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D799E" w:rsidRPr="00B93D52" w:rsidP="00DD799E">
      <w:pPr>
        <w:spacing w:line="360" w:lineRule="auto"/>
        <w:jc w:val="center"/>
        <w:rPr>
          <w:rFonts w:ascii="Times New Roman" w:hAnsi="Times New Roman" w:cs="Times New Roman"/>
          <w:b/>
          <w:szCs w:val="26"/>
        </w:rPr>
      </w:pPr>
      <w:r w:rsidRPr="00B93D52">
        <w:rPr>
          <w:rFonts w:ascii="Times New Roman" w:hAnsi="Times New Roman" w:cs="Times New Roman"/>
          <w:b/>
          <w:szCs w:val="26"/>
        </w:rPr>
        <w:t>1. Zámery a opatrenia rozpočtovej politiky v roku 2006</w:t>
      </w:r>
    </w:p>
    <w:p w:rsidR="00DD799E" w:rsidRPr="001548C7" w:rsidP="00DD799E">
      <w:pPr>
        <w:numPr>
          <w:ilvl w:val="1"/>
          <w:numId w:val="72"/>
        </w:numPr>
        <w:tabs>
          <w:tab w:val="left" w:pos="720"/>
        </w:tabs>
        <w:spacing w:line="360" w:lineRule="auto"/>
        <w:jc w:val="center"/>
        <w:rPr>
          <w:rFonts w:ascii="Times New Roman" w:hAnsi="Times New Roman" w:cs="Times New Roman"/>
          <w:b/>
        </w:rPr>
      </w:pPr>
      <w:r>
        <w:rPr>
          <w:rFonts w:ascii="Times New Roman" w:hAnsi="Times New Roman" w:cs="Times New Roman"/>
          <w:b/>
        </w:rPr>
        <w:t xml:space="preserve"> </w:t>
      </w:r>
      <w:r w:rsidRPr="001548C7">
        <w:rPr>
          <w:rFonts w:ascii="Times New Roman" w:hAnsi="Times New Roman" w:cs="Times New Roman"/>
          <w:b/>
        </w:rPr>
        <w:t>Činitele determinujúce zostavenie rozpočtu verejnej správy na rok 2006</w:t>
      </w:r>
    </w:p>
    <w:p w:rsidR="00DD799E" w:rsidP="00DD799E">
      <w:pPr>
        <w:spacing w:line="360" w:lineRule="auto"/>
        <w:ind w:firstLine="360"/>
        <w:jc w:val="both"/>
        <w:rPr>
          <w:rFonts w:ascii="Times New Roman" w:hAnsi="Times New Roman" w:cs="Times New Roman"/>
          <w:b/>
        </w:rPr>
      </w:pPr>
    </w:p>
    <w:p w:rsidR="00DD799E" w:rsidRPr="00AA6AB2" w:rsidP="00DD799E">
      <w:pPr>
        <w:spacing w:line="360" w:lineRule="auto"/>
        <w:ind w:firstLine="720"/>
        <w:jc w:val="both"/>
        <w:rPr>
          <w:rFonts w:ascii="Times New Roman" w:hAnsi="Times New Roman" w:cs="Times New Roman"/>
          <w:bCs/>
        </w:rPr>
      </w:pPr>
      <w:r w:rsidRPr="00AA6AB2">
        <w:rPr>
          <w:rFonts w:ascii="Times New Roman" w:hAnsi="Times New Roman" w:cs="Times New Roman"/>
        </w:rPr>
        <w:t xml:space="preserve">Hlavným cieľom fiškálnej politiky v roku 2006 bolo podporovať rast ekonomiky, smerovať k dlhodobo udržateľnej pozícii verejných financií, znižovať mieru prerozdeľovania prostredníctvom verejných financií a zabezpečiť, aby realizácia rozpočtu v roku 2006 predstavovala ďalší krok k splneniu Maastrichtských kritérií na zavedenie eura v roku 2009. Vychádzajúc z týchto zámerov a ekonomických podmienok sa deficit verejných financií na roky 2006 až 2008 rozpočtoval tak, aby deficit rozpočtu verejnej správy, vyjadrený v metodike ESA 95, bol v roku 2006 bez vplyvu zavedenia II. piliera dôchodkového systému na úrovni </w:t>
      </w:r>
      <w:r>
        <w:rPr>
          <w:rFonts w:ascii="Times New Roman" w:hAnsi="Times New Roman" w:cs="Times New Roman"/>
          <w:bCs/>
        </w:rPr>
        <w:t xml:space="preserve">2,9 % </w:t>
      </w:r>
      <w:r w:rsidRPr="00AA6AB2">
        <w:rPr>
          <w:rFonts w:ascii="Times New Roman" w:hAnsi="Times New Roman" w:cs="Times New Roman"/>
          <w:bCs/>
        </w:rPr>
        <w:t>HDP. Pokles rozpočt</w:t>
      </w:r>
      <w:r w:rsidRPr="00AA6AB2">
        <w:rPr>
          <w:rFonts w:ascii="Times New Roman" w:hAnsi="Times New Roman" w:cs="Times New Roman"/>
          <w:bCs/>
        </w:rPr>
        <w:t>ovaného deficitu verejnej správy z úrovne 3,4 % HDP</w:t>
      </w:r>
      <w:r>
        <w:rPr>
          <w:rFonts w:ascii="Times New Roman" w:hAnsi="Times New Roman" w:cs="Times New Roman"/>
          <w:bCs/>
        </w:rPr>
        <w:t xml:space="preserve">   </w:t>
      </w:r>
      <w:r w:rsidRPr="00AA6AB2">
        <w:rPr>
          <w:rFonts w:ascii="Times New Roman" w:hAnsi="Times New Roman" w:cs="Times New Roman"/>
          <w:bCs/>
        </w:rPr>
        <w:t xml:space="preserve"> v  roku 2005 zároveň plní podmienky reformovaného Paktu stability a rastu, podľa ktorého je nevyhnutné znižovať štrukturálny deficit o najmenej 0,5 % ročne, až pokiaľ sa verejné financie nedostanú do t</w:t>
      </w:r>
      <w:r w:rsidRPr="00AA6AB2">
        <w:rPr>
          <w:rFonts w:ascii="Times New Roman" w:hAnsi="Times New Roman" w:cs="Times New Roman"/>
          <w:bCs/>
        </w:rPr>
        <w:t xml:space="preserve">akmer vyrovnanej pozície. </w:t>
      </w:r>
    </w:p>
    <w:p w:rsidR="00DD799E" w:rsidRPr="00AA6AB2" w:rsidP="00DD799E">
      <w:pPr>
        <w:spacing w:line="360" w:lineRule="auto"/>
        <w:ind w:firstLine="720"/>
        <w:jc w:val="both"/>
        <w:rPr>
          <w:rFonts w:ascii="Times New Roman" w:hAnsi="Times New Roman" w:cs="Times New Roman"/>
        </w:rPr>
      </w:pPr>
      <w:r w:rsidRPr="00AA6AB2">
        <w:rPr>
          <w:rFonts w:ascii="Times New Roman" w:hAnsi="Times New Roman" w:cs="Times New Roman"/>
        </w:rPr>
        <w:t>Rozpočet</w:t>
      </w:r>
      <w:r w:rsidR="00DE0EF0">
        <w:rPr>
          <w:rFonts w:ascii="Times New Roman" w:hAnsi="Times New Roman" w:cs="Times New Roman"/>
        </w:rPr>
        <w:t xml:space="preserve"> </w:t>
      </w:r>
      <w:r w:rsidRPr="00AA6AB2">
        <w:rPr>
          <w:rFonts w:ascii="Times New Roman" w:hAnsi="Times New Roman" w:cs="Times New Roman"/>
        </w:rPr>
        <w:t xml:space="preserve">verejnej správy na roky 2006 až 2008 bol postavený na makroekonomických predpokladoch, ktoré potvrdzujú </w:t>
      </w:r>
      <w:r w:rsidRPr="00AA6AB2">
        <w:rPr>
          <w:rFonts w:ascii="Times New Roman" w:hAnsi="Times New Roman" w:cs="Times New Roman"/>
          <w:bCs/>
        </w:rPr>
        <w:t xml:space="preserve">zdravý stav slovenskej ekonomiky. </w:t>
      </w:r>
      <w:r>
        <w:rPr>
          <w:rFonts w:ascii="Times New Roman" w:hAnsi="Times New Roman" w:cs="Times New Roman"/>
          <w:bCs/>
        </w:rPr>
        <w:t>V</w:t>
      </w:r>
      <w:r w:rsidRPr="00AA6AB2">
        <w:rPr>
          <w:rFonts w:ascii="Times New Roman" w:hAnsi="Times New Roman" w:cs="Times New Roman"/>
        </w:rPr>
        <w:t xml:space="preserve"> týchto troch rokoch </w:t>
      </w:r>
      <w:r>
        <w:rPr>
          <w:rFonts w:ascii="Times New Roman" w:hAnsi="Times New Roman" w:cs="Times New Roman"/>
        </w:rPr>
        <w:t xml:space="preserve">sa predpokladal </w:t>
      </w:r>
      <w:r w:rsidRPr="00AA6AB2">
        <w:rPr>
          <w:rFonts w:ascii="Times New Roman" w:hAnsi="Times New Roman" w:cs="Times New Roman"/>
        </w:rPr>
        <w:t>dynamický rast hospodárstva na úrovni v priemere  5,7 % ročne, infláci</w:t>
      </w:r>
      <w:r>
        <w:rPr>
          <w:rFonts w:ascii="Times New Roman" w:hAnsi="Times New Roman" w:cs="Times New Roman"/>
        </w:rPr>
        <w:t>a</w:t>
      </w:r>
      <w:r w:rsidRPr="00AA6AB2">
        <w:rPr>
          <w:rFonts w:ascii="Times New Roman" w:hAnsi="Times New Roman" w:cs="Times New Roman"/>
        </w:rPr>
        <w:t xml:space="preserve"> menej ako 2,2 % a rast zamestnanosti každoročne o 0,8 až 0,9 %. Prognózy ministerstva financií boli pritom v porovnaní s predpokladmi medzinárodných aj domácich verejných a súkromných inštitúcií realistické. Súčasný rýchly hospodársky rast je vyvážený, položený na zdravých základoch a je udržateľný.</w:t>
      </w:r>
    </w:p>
    <w:p w:rsidR="00DD799E" w:rsidRPr="00AA6AB2" w:rsidP="00DD799E">
      <w:pPr>
        <w:spacing w:line="360" w:lineRule="auto"/>
        <w:ind w:firstLine="720"/>
        <w:jc w:val="both"/>
        <w:rPr>
          <w:rFonts w:ascii="Times New Roman" w:hAnsi="Times New Roman" w:cs="Times New Roman"/>
        </w:rPr>
      </w:pPr>
      <w:r w:rsidRPr="00AA6AB2">
        <w:rPr>
          <w:rFonts w:ascii="Times New Roman" w:hAnsi="Times New Roman" w:cs="Times New Roman"/>
        </w:rPr>
        <w:t xml:space="preserve">Rozhodujúcou otázkou pri tvorbe rozpočtu v  roku 2006 bola štruktúra výdavkov. Ich rozdelenie medzi jednotlivé oblasti reflektovalo </w:t>
      </w:r>
      <w:r>
        <w:rPr>
          <w:rFonts w:ascii="Times New Roman" w:hAnsi="Times New Roman" w:cs="Times New Roman"/>
        </w:rPr>
        <w:t>priority</w:t>
      </w:r>
      <w:r w:rsidRPr="00AA6AB2">
        <w:rPr>
          <w:rFonts w:ascii="Times New Roman" w:hAnsi="Times New Roman" w:cs="Times New Roman"/>
        </w:rPr>
        <w:t>, ktoré boli formulované v </w:t>
      </w:r>
      <w:r w:rsidRPr="00AA6AB2">
        <w:rPr>
          <w:rFonts w:ascii="Times New Roman" w:hAnsi="Times New Roman" w:cs="Times New Roman"/>
          <w:bCs/>
        </w:rPr>
        <w:t>Stratégii konkur</w:t>
      </w:r>
      <w:r w:rsidRPr="00AA6AB2">
        <w:rPr>
          <w:rFonts w:ascii="Times New Roman" w:hAnsi="Times New Roman" w:cs="Times New Roman"/>
          <w:bCs/>
        </w:rPr>
        <w:t>encieschopnosti Slovenska do roku 2010</w:t>
      </w:r>
      <w:r w:rsidRPr="00AA6AB2">
        <w:rPr>
          <w:rFonts w:ascii="Times New Roman" w:hAnsi="Times New Roman" w:cs="Times New Roman"/>
        </w:rPr>
        <w:t>, schvál</w:t>
      </w:r>
      <w:r>
        <w:rPr>
          <w:rFonts w:ascii="Times New Roman" w:hAnsi="Times New Roman" w:cs="Times New Roman"/>
        </w:rPr>
        <w:t>ené</w:t>
      </w:r>
      <w:r w:rsidRPr="00AA6AB2">
        <w:rPr>
          <w:rFonts w:ascii="Times New Roman" w:hAnsi="Times New Roman" w:cs="Times New Roman"/>
        </w:rPr>
        <w:t xml:space="preserve"> vo februári 2005. Vysoký nárast dosiahli výdavky na výstavbu diaľnic, vysokoškolské vzdelávanie, vedu, ale aj súdnictvo a podpor</w:t>
      </w:r>
      <w:r>
        <w:rPr>
          <w:rFonts w:ascii="Times New Roman" w:hAnsi="Times New Roman" w:cs="Times New Roman"/>
        </w:rPr>
        <w:t>u</w:t>
      </w:r>
      <w:r w:rsidRPr="00AA6AB2">
        <w:rPr>
          <w:rFonts w:ascii="Times New Roman" w:hAnsi="Times New Roman" w:cs="Times New Roman"/>
        </w:rPr>
        <w:t xml:space="preserve"> podnikania. Faktom však je, že rýchle rástli aj výdavky do poľnohospodárstva, obrany či životného prostredia, ktorých dopad na konkurencieschopnosť je podstatne nižší.  </w:t>
      </w:r>
    </w:p>
    <w:p w:rsidR="00DD799E" w:rsidRPr="00AA6AB2" w:rsidP="00DD799E">
      <w:pPr>
        <w:spacing w:line="360" w:lineRule="auto"/>
        <w:ind w:firstLine="709"/>
        <w:jc w:val="both"/>
        <w:rPr>
          <w:rFonts w:ascii="Times New Roman" w:hAnsi="Times New Roman" w:cs="Times New Roman"/>
        </w:rPr>
      </w:pPr>
      <w:r w:rsidRPr="00AA6AB2">
        <w:rPr>
          <w:rFonts w:ascii="Times New Roman" w:hAnsi="Times New Roman" w:cs="Times New Roman"/>
        </w:rPr>
        <w:t>Realizáciou rozpočtu verejnej správy v roku 2006 sa verejné financie priblíži</w:t>
      </w:r>
      <w:r>
        <w:rPr>
          <w:rFonts w:ascii="Times New Roman" w:hAnsi="Times New Roman" w:cs="Times New Roman"/>
        </w:rPr>
        <w:t>li</w:t>
      </w:r>
      <w:r w:rsidRPr="00AA6AB2">
        <w:rPr>
          <w:rFonts w:ascii="Times New Roman" w:hAnsi="Times New Roman" w:cs="Times New Roman"/>
        </w:rPr>
        <w:t xml:space="preserve"> úrovni, ktorá je </w:t>
      </w:r>
      <w:r w:rsidRPr="00AA6AB2">
        <w:rPr>
          <w:rFonts w:ascii="Times New Roman" w:hAnsi="Times New Roman" w:cs="Times New Roman"/>
          <w:bCs/>
        </w:rPr>
        <w:t>dlhodobo udržateľná</w:t>
      </w:r>
      <w:r w:rsidRPr="00AA6AB2">
        <w:rPr>
          <w:rFonts w:ascii="Times New Roman" w:hAnsi="Times New Roman" w:cs="Times New Roman"/>
        </w:rPr>
        <w:t xml:space="preserve">. Naštartovanie dôchodkovej reformy spolu so znižovaním deficitu prispievajú k príprave verejných financií na starnutie obyvateľstva, ktorému sa v najbližších desaťročiach nevyhne ani Slovensko. Kým v súčasnosti pripadá na jedného občana v poproduktívnom veku šesť občanov v produktívnom veku, v roku 2050 to budú už len dvaja. Nevyhnutným predpokladom pre prípravu Slovenska na tento vývoj je znižovanie deficitu verejných financií, zastavenie nárastu verejného dlhu a jeho postupné znižovanie. </w:t>
      </w:r>
    </w:p>
    <w:p w:rsidR="00DD799E" w:rsidRPr="00AA6AB2" w:rsidP="00DD799E">
      <w:pPr>
        <w:spacing w:line="360" w:lineRule="auto"/>
        <w:ind w:firstLine="709"/>
        <w:jc w:val="both"/>
        <w:rPr>
          <w:rFonts w:ascii="Times New Roman" w:hAnsi="Times New Roman" w:cs="Times New Roman"/>
        </w:rPr>
      </w:pPr>
      <w:r w:rsidRPr="00AA6AB2">
        <w:rPr>
          <w:rFonts w:ascii="Times New Roman" w:hAnsi="Times New Roman" w:cs="Times New Roman"/>
        </w:rPr>
        <w:t xml:space="preserve">Rozpočet verejnej správy na rok 2006 predpokladal, že podiel </w:t>
      </w:r>
      <w:r w:rsidRPr="00AA6AB2">
        <w:rPr>
          <w:rFonts w:ascii="Times New Roman" w:hAnsi="Times New Roman" w:cs="Times New Roman"/>
        </w:rPr>
        <w:t>hrubého verejného dlhu na HDP, ktorý na konci roku 2002 dosahoval  43,3 % HDP</w:t>
      </w:r>
      <w:r w:rsidR="000E783B">
        <w:rPr>
          <w:rFonts w:ascii="Times New Roman" w:hAnsi="Times New Roman" w:cs="Times New Roman"/>
        </w:rPr>
        <w:t>,</w:t>
      </w:r>
      <w:r w:rsidRPr="00AA6AB2">
        <w:rPr>
          <w:rFonts w:ascii="Times New Roman" w:hAnsi="Times New Roman" w:cs="Times New Roman"/>
        </w:rPr>
        <w:t xml:space="preserve"> klesne do konca roku 2006 na úroveň 38,3 %. Hoci časť tohto vývoja spôsobilo </w:t>
      </w:r>
      <w:r>
        <w:rPr>
          <w:rFonts w:ascii="Times New Roman" w:hAnsi="Times New Roman" w:cs="Times New Roman"/>
        </w:rPr>
        <w:t>za</w:t>
      </w:r>
      <w:r w:rsidRPr="00AA6AB2">
        <w:rPr>
          <w:rFonts w:ascii="Times New Roman" w:hAnsi="Times New Roman" w:cs="Times New Roman"/>
        </w:rPr>
        <w:t>v</w:t>
      </w:r>
      <w:r>
        <w:rPr>
          <w:rFonts w:ascii="Times New Roman" w:hAnsi="Times New Roman" w:cs="Times New Roman"/>
        </w:rPr>
        <w:t>ed</w:t>
      </w:r>
      <w:r w:rsidRPr="00AA6AB2">
        <w:rPr>
          <w:rFonts w:ascii="Times New Roman" w:hAnsi="Times New Roman" w:cs="Times New Roman"/>
        </w:rPr>
        <w:t>enie</w:t>
      </w:r>
      <w:r>
        <w:rPr>
          <w:rFonts w:ascii="Times New Roman" w:hAnsi="Times New Roman" w:cs="Times New Roman"/>
        </w:rPr>
        <w:t xml:space="preserve"> systému</w:t>
      </w:r>
      <w:r w:rsidRPr="00AA6AB2">
        <w:rPr>
          <w:rFonts w:ascii="Times New Roman" w:hAnsi="Times New Roman" w:cs="Times New Roman"/>
        </w:rPr>
        <w:t xml:space="preserve"> štátnej pokladnice</w:t>
      </w:r>
      <w:r>
        <w:rPr>
          <w:rFonts w:ascii="Times New Roman" w:hAnsi="Times New Roman" w:cs="Times New Roman"/>
        </w:rPr>
        <w:t>,</w:t>
      </w:r>
      <w:r w:rsidRPr="00AA6AB2">
        <w:rPr>
          <w:rFonts w:ascii="Times New Roman" w:hAnsi="Times New Roman" w:cs="Times New Roman"/>
        </w:rPr>
        <w:t xml:space="preserve"> jednoznačne je možné konštatovať, že vzhľadom na rýchly rast e</w:t>
      </w:r>
      <w:r w:rsidRPr="00AA6AB2">
        <w:rPr>
          <w:rFonts w:ascii="Times New Roman" w:hAnsi="Times New Roman" w:cs="Times New Roman"/>
        </w:rPr>
        <w:t xml:space="preserve">konomiky a klesajúci deficit, </w:t>
      </w:r>
      <w:r w:rsidRPr="00AA6AB2">
        <w:rPr>
          <w:rFonts w:ascii="Times New Roman" w:hAnsi="Times New Roman" w:cs="Times New Roman"/>
          <w:bCs/>
        </w:rPr>
        <w:t>začínajú verejné financie znižovať finančné bremeno budúcich generácií</w:t>
      </w:r>
      <w:r w:rsidRPr="00AA6AB2">
        <w:rPr>
          <w:rFonts w:ascii="Times New Roman" w:hAnsi="Times New Roman" w:cs="Times New Roman"/>
        </w:rPr>
        <w:t xml:space="preserve">. </w:t>
      </w:r>
    </w:p>
    <w:p w:rsidR="00DD799E" w:rsidRPr="00AA6AB2" w:rsidP="00DD799E">
      <w:pPr>
        <w:spacing w:line="360" w:lineRule="auto"/>
        <w:ind w:firstLine="708"/>
        <w:jc w:val="both"/>
        <w:rPr>
          <w:rFonts w:ascii="Times New Roman" w:hAnsi="Times New Roman" w:cs="Times New Roman"/>
        </w:rPr>
      </w:pPr>
      <w:r w:rsidRPr="00AA6AB2">
        <w:rPr>
          <w:rFonts w:ascii="Times New Roman" w:hAnsi="Times New Roman" w:cs="Times New Roman"/>
        </w:rPr>
        <w:t>Realizácia schváleného rozpočtu na rok 2006 sa stala veľmi dôležitým predpokladom k tomu, aby  Slovensko udržateľným spôsobom naplnilo kľúčové Maastrichtské kritérium – zníženie deficitu verejných financií na úroveň troch percent HDP. Bez nákladov vzniku kapitalizačného piliera by bol tento cieľ splnený už v roku 2006, zahrnutie nákladov dôchodkovej reformy</w:t>
      </w:r>
      <w:r>
        <w:rPr>
          <w:rFonts w:ascii="Times New Roman" w:hAnsi="Times New Roman" w:cs="Times New Roman"/>
        </w:rPr>
        <w:t xml:space="preserve"> však </w:t>
      </w:r>
      <w:r w:rsidRPr="00AA6AB2">
        <w:rPr>
          <w:rFonts w:ascii="Times New Roman" w:hAnsi="Times New Roman" w:cs="Times New Roman"/>
        </w:rPr>
        <w:t xml:space="preserve">posunulo pokles deficitu verejných financií na trojpercentnú úroveň na rok 2007. Z vývoja ekonomiky a zo zámerov hospodárskej politiky vyplýva, že v roku 2007 bude možné splniť aj všetky ostatné Maastrichtské kritériá a  </w:t>
      </w:r>
      <w:r w:rsidRPr="00AA6AB2">
        <w:rPr>
          <w:rFonts w:ascii="Times New Roman" w:hAnsi="Times New Roman" w:cs="Times New Roman"/>
          <w:bCs/>
        </w:rPr>
        <w:t>Slovensko bude</w:t>
      </w:r>
      <w:r w:rsidRPr="00AA6AB2">
        <w:rPr>
          <w:rFonts w:ascii="Times New Roman" w:hAnsi="Times New Roman" w:cs="Times New Roman"/>
        </w:rPr>
        <w:t xml:space="preserve"> </w:t>
      </w:r>
      <w:r w:rsidRPr="00AA6AB2">
        <w:rPr>
          <w:rFonts w:ascii="Times New Roman" w:hAnsi="Times New Roman" w:cs="Times New Roman"/>
          <w:bCs/>
        </w:rPr>
        <w:t>pripravené na zavedenie eura v roku 2009</w:t>
      </w:r>
      <w:r w:rsidRPr="00AA6AB2">
        <w:rPr>
          <w:rFonts w:ascii="Times New Roman" w:hAnsi="Times New Roman" w:cs="Times New Roman"/>
        </w:rPr>
        <w:t>.</w:t>
      </w:r>
    </w:p>
    <w:p w:rsidR="00DD799E" w:rsidRPr="00AA6AB2" w:rsidP="00DD799E">
      <w:pPr>
        <w:spacing w:after="120" w:line="360" w:lineRule="auto"/>
        <w:ind w:firstLine="709"/>
        <w:jc w:val="both"/>
        <w:rPr>
          <w:rFonts w:ascii="Times New Roman" w:hAnsi="Times New Roman" w:cs="Times New Roman"/>
        </w:rPr>
      </w:pPr>
      <w:r w:rsidRPr="00AA6AB2">
        <w:rPr>
          <w:rFonts w:ascii="Times New Roman" w:hAnsi="Times New Roman" w:cs="Times New Roman"/>
        </w:rPr>
        <w:t xml:space="preserve">Znižovanie deficitu verejných financií nie je dôležité iba z pohľadu splnenia kritérií pre zavedenie eura a pripravenosti verejných financií na starnutie obyvateľstva, ale aj z pohľadu aktuálneho stavu slovenskej ekonomiky. Deficit verejných financií </w:t>
      </w:r>
      <w:r w:rsidR="00C651EB">
        <w:rPr>
          <w:rFonts w:ascii="Times New Roman" w:hAnsi="Times New Roman" w:cs="Times New Roman"/>
        </w:rPr>
        <w:t xml:space="preserve">bez vplyvu druhého piliera </w:t>
      </w:r>
      <w:r w:rsidR="00C651EB">
        <w:rPr>
          <w:rFonts w:ascii="Times New Roman" w:hAnsi="Times New Roman" w:cs="Times New Roman"/>
        </w:rPr>
        <w:t xml:space="preserve">dôchodkovej reformy </w:t>
      </w:r>
      <w:r w:rsidRPr="00AA6AB2">
        <w:rPr>
          <w:rFonts w:ascii="Times New Roman" w:hAnsi="Times New Roman" w:cs="Times New Roman"/>
        </w:rPr>
        <w:t xml:space="preserve">v roku 2006 </w:t>
      </w:r>
      <w:r w:rsidR="00C651EB">
        <w:rPr>
          <w:rFonts w:ascii="Times New Roman" w:hAnsi="Times New Roman" w:cs="Times New Roman"/>
        </w:rPr>
        <w:t xml:space="preserve">nemal </w:t>
      </w:r>
      <w:r w:rsidRPr="00AA6AB2">
        <w:rPr>
          <w:rFonts w:ascii="Times New Roman" w:hAnsi="Times New Roman" w:cs="Times New Roman"/>
        </w:rPr>
        <w:t>prekroči</w:t>
      </w:r>
      <w:r w:rsidR="00C651EB">
        <w:rPr>
          <w:rFonts w:ascii="Times New Roman" w:hAnsi="Times New Roman" w:cs="Times New Roman"/>
        </w:rPr>
        <w:t>ť</w:t>
      </w:r>
      <w:r w:rsidRPr="00AA6AB2">
        <w:rPr>
          <w:rFonts w:ascii="Times New Roman" w:hAnsi="Times New Roman" w:cs="Times New Roman"/>
        </w:rPr>
        <w:t xml:space="preserve"> plánovanú úroveň 2,9 % HDP</w:t>
      </w:r>
      <w:r>
        <w:rPr>
          <w:rFonts w:ascii="Times New Roman" w:hAnsi="Times New Roman" w:cs="Times New Roman"/>
        </w:rPr>
        <w:t>. V</w:t>
      </w:r>
      <w:r w:rsidRPr="00AA6AB2">
        <w:rPr>
          <w:rFonts w:ascii="Times New Roman" w:hAnsi="Times New Roman" w:cs="Times New Roman"/>
        </w:rPr>
        <w:t> roku 2006 ne</w:t>
      </w:r>
      <w:r>
        <w:rPr>
          <w:rFonts w:ascii="Times New Roman" w:hAnsi="Times New Roman" w:cs="Times New Roman"/>
        </w:rPr>
        <w:t>nastalo</w:t>
      </w:r>
      <w:r w:rsidRPr="00AA6AB2">
        <w:rPr>
          <w:rFonts w:ascii="Times New Roman" w:hAnsi="Times New Roman" w:cs="Times New Roman"/>
        </w:rPr>
        <w:t> čerpani</w:t>
      </w:r>
      <w:r>
        <w:rPr>
          <w:rFonts w:ascii="Times New Roman" w:hAnsi="Times New Roman" w:cs="Times New Roman"/>
        </w:rPr>
        <w:t>e</w:t>
      </w:r>
      <w:r w:rsidRPr="00AA6AB2">
        <w:rPr>
          <w:rFonts w:ascii="Times New Roman" w:hAnsi="Times New Roman" w:cs="Times New Roman"/>
        </w:rPr>
        <w:t xml:space="preserve"> výrazného množstva zdrojov </w:t>
      </w:r>
      <w:r>
        <w:rPr>
          <w:rFonts w:ascii="Times New Roman" w:hAnsi="Times New Roman" w:cs="Times New Roman"/>
        </w:rPr>
        <w:t>nerealizovaných</w:t>
      </w:r>
      <w:r w:rsidRPr="00AA6AB2">
        <w:rPr>
          <w:rFonts w:ascii="Times New Roman" w:hAnsi="Times New Roman" w:cs="Times New Roman"/>
        </w:rPr>
        <w:t xml:space="preserve"> v roku 2005 a nadpríjmy </w:t>
      </w:r>
      <w:r>
        <w:rPr>
          <w:rFonts w:ascii="Times New Roman" w:hAnsi="Times New Roman" w:cs="Times New Roman"/>
        </w:rPr>
        <w:t xml:space="preserve">sa </w:t>
      </w:r>
      <w:r w:rsidRPr="00AA6AB2">
        <w:rPr>
          <w:rFonts w:ascii="Times New Roman" w:hAnsi="Times New Roman" w:cs="Times New Roman"/>
        </w:rPr>
        <w:t xml:space="preserve">nepoužili na zvyšovanie výdavkov, ale na zníženie deficitu verejných financií. </w:t>
      </w:r>
      <w:r w:rsidRPr="00AA6AB2">
        <w:rPr>
          <w:rFonts w:ascii="Times New Roman" w:hAnsi="Times New Roman" w:cs="Times New Roman"/>
        </w:rPr>
        <w:t xml:space="preserve"> </w:t>
      </w:r>
    </w:p>
    <w:p w:rsidR="00DD799E" w:rsidRPr="00AA6AB2" w:rsidP="00DD799E">
      <w:pPr>
        <w:spacing w:line="360" w:lineRule="auto"/>
        <w:jc w:val="both"/>
        <w:rPr>
          <w:rFonts w:ascii="Times New Roman" w:hAnsi="Times New Roman" w:cs="Times New Roman"/>
        </w:rPr>
      </w:pPr>
      <w:r w:rsidRPr="00AA6AB2">
        <w:rPr>
          <w:rFonts w:ascii="Times New Roman" w:hAnsi="Times New Roman" w:cs="Times New Roman"/>
        </w:rPr>
        <w:tab/>
        <w:t xml:space="preserve">Pri tvorbe rozpočtu sa </w:t>
      </w:r>
      <w:r w:rsidR="00E27102">
        <w:rPr>
          <w:rFonts w:ascii="Times New Roman" w:hAnsi="Times New Roman" w:cs="Times New Roman"/>
        </w:rPr>
        <w:t xml:space="preserve">nedôsledne </w:t>
      </w:r>
      <w:r w:rsidRPr="00AA6AB2">
        <w:rPr>
          <w:rFonts w:ascii="Times New Roman" w:hAnsi="Times New Roman" w:cs="Times New Roman"/>
        </w:rPr>
        <w:t xml:space="preserve">využívalo </w:t>
      </w:r>
      <w:r w:rsidRPr="00AA6AB2">
        <w:rPr>
          <w:rFonts w:ascii="Times New Roman" w:hAnsi="Times New Roman" w:cs="Times New Roman"/>
          <w:bCs/>
        </w:rPr>
        <w:t>programové rozpočtovanie</w:t>
      </w:r>
      <w:r w:rsidRPr="00AA6AB2">
        <w:rPr>
          <w:rFonts w:ascii="Times New Roman" w:hAnsi="Times New Roman" w:cs="Times New Roman"/>
        </w:rPr>
        <w:t>,</w:t>
      </w:r>
      <w:r w:rsidR="00E27102">
        <w:rPr>
          <w:rFonts w:ascii="Times New Roman" w:hAnsi="Times New Roman" w:cs="Times New Roman"/>
        </w:rPr>
        <w:t xml:space="preserve"> to by však malo byť </w:t>
      </w:r>
      <w:r w:rsidRPr="00AA6AB2">
        <w:rPr>
          <w:rFonts w:ascii="Times New Roman" w:hAnsi="Times New Roman" w:cs="Times New Roman"/>
        </w:rPr>
        <w:t>v nasledujúcich rokoch hlavným nástrojom na zefektívňovanie verejných výdavkov a ich transparentnosti. Jednoznačná väzba poskytovaných zdrojov a dosahovaných výsledkov musí byť prítomná vždy pri využívaní verejných zdrojov tak, aby výdavky verejných financií smerovali do oblastí, ktoré prinesú spoločnosti najväčší prínos. Čoraz väčšiu úlohu v</w:t>
      </w:r>
      <w:r>
        <w:rPr>
          <w:rFonts w:ascii="Times New Roman" w:hAnsi="Times New Roman" w:cs="Times New Roman"/>
        </w:rPr>
        <w:t>o</w:t>
      </w:r>
      <w:r w:rsidRPr="00AA6AB2">
        <w:rPr>
          <w:rFonts w:ascii="Times New Roman" w:hAnsi="Times New Roman" w:cs="Times New Roman"/>
        </w:rPr>
        <w:t xml:space="preserve"> verejných financi</w:t>
      </w:r>
      <w:r>
        <w:rPr>
          <w:rFonts w:ascii="Times New Roman" w:hAnsi="Times New Roman" w:cs="Times New Roman"/>
        </w:rPr>
        <w:t xml:space="preserve">ách </w:t>
      </w:r>
      <w:r w:rsidRPr="00AA6AB2">
        <w:rPr>
          <w:rFonts w:ascii="Times New Roman" w:hAnsi="Times New Roman" w:cs="Times New Roman"/>
        </w:rPr>
        <w:t>zohrávajú jednotlivé kapitoly štátneho rozpočtu, ktorých kompetencie, ale súčasne aj zodpovednosť, v rozpočtovom procese postupne narastajú.</w:t>
      </w:r>
      <w:r w:rsidR="00E27102">
        <w:rPr>
          <w:rFonts w:ascii="Times New Roman" w:hAnsi="Times New Roman" w:cs="Times New Roman"/>
        </w:rPr>
        <w:t xml:space="preserve"> Pokus o </w:t>
      </w:r>
      <w:r w:rsidRPr="00AA6AB2">
        <w:rPr>
          <w:rFonts w:ascii="Times New Roman" w:hAnsi="Times New Roman" w:cs="Times New Roman"/>
        </w:rPr>
        <w:t xml:space="preserve"> </w:t>
      </w:r>
      <w:r w:rsidR="00E27102">
        <w:rPr>
          <w:rFonts w:ascii="Times New Roman" w:hAnsi="Times New Roman" w:cs="Times New Roman"/>
        </w:rPr>
        <w:t>p</w:t>
      </w:r>
      <w:r w:rsidRPr="00AA6AB2">
        <w:rPr>
          <w:rFonts w:ascii="Times New Roman" w:hAnsi="Times New Roman" w:cs="Times New Roman"/>
        </w:rPr>
        <w:t xml:space="preserve">rogramové rozpočtovanie </w:t>
      </w:r>
      <w:r w:rsidR="00E27102">
        <w:rPr>
          <w:rFonts w:ascii="Times New Roman" w:hAnsi="Times New Roman" w:cs="Times New Roman"/>
        </w:rPr>
        <w:t>však výrazne prispel</w:t>
      </w:r>
      <w:r w:rsidRPr="00AA6AB2">
        <w:rPr>
          <w:rFonts w:ascii="Times New Roman" w:hAnsi="Times New Roman" w:cs="Times New Roman"/>
        </w:rPr>
        <w:t xml:space="preserve"> k transparentnosti </w:t>
      </w:r>
      <w:r>
        <w:rPr>
          <w:rFonts w:ascii="Times New Roman" w:hAnsi="Times New Roman" w:cs="Times New Roman"/>
        </w:rPr>
        <w:t xml:space="preserve">zostavovania </w:t>
      </w:r>
      <w:r w:rsidRPr="00AA6AB2">
        <w:rPr>
          <w:rFonts w:ascii="Times New Roman" w:hAnsi="Times New Roman" w:cs="Times New Roman"/>
        </w:rPr>
        <w:t>štátneho rozpočtu</w:t>
      </w:r>
      <w:r>
        <w:rPr>
          <w:rFonts w:ascii="Times New Roman" w:hAnsi="Times New Roman" w:cs="Times New Roman"/>
        </w:rPr>
        <w:t xml:space="preserve"> </w:t>
      </w:r>
      <w:r w:rsidRPr="00AA6AB2">
        <w:rPr>
          <w:rFonts w:ascii="Times New Roman" w:hAnsi="Times New Roman" w:cs="Times New Roman"/>
        </w:rPr>
        <w:t>a k informovanosti o tom, do ktorých oblastí smerujú jeho zdro</w:t>
      </w:r>
      <w:r w:rsidRPr="00AA6AB2">
        <w:rPr>
          <w:rFonts w:ascii="Times New Roman" w:hAnsi="Times New Roman" w:cs="Times New Roman"/>
        </w:rPr>
        <w:t xml:space="preserve">je. </w:t>
      </w:r>
      <w:r w:rsidR="00E27102">
        <w:rPr>
          <w:rFonts w:ascii="Times New Roman" w:hAnsi="Times New Roman" w:cs="Times New Roman"/>
        </w:rPr>
        <w:t xml:space="preserve">Zanedbateľný </w:t>
      </w:r>
      <w:r w:rsidRPr="00AA6AB2">
        <w:rPr>
          <w:rFonts w:ascii="Times New Roman" w:hAnsi="Times New Roman" w:cs="Times New Roman"/>
        </w:rPr>
        <w:t xml:space="preserve">pokrok sa </w:t>
      </w:r>
      <w:r w:rsidR="00E27102">
        <w:rPr>
          <w:rFonts w:ascii="Times New Roman" w:hAnsi="Times New Roman" w:cs="Times New Roman"/>
        </w:rPr>
        <w:t xml:space="preserve">však </w:t>
      </w:r>
      <w:r w:rsidRPr="00AA6AB2">
        <w:rPr>
          <w:rFonts w:ascii="Times New Roman" w:hAnsi="Times New Roman" w:cs="Times New Roman"/>
        </w:rPr>
        <w:t xml:space="preserve">podarilo dosiahnuť pri formulovaní cieľov a ich merateľných ukazovateľov. Väčšina kapitol stále nedokázala alebo nechcela jednoznačne a verejne zadefinovať svoje ciele, ktoré by bolo možné konkrétne hodnotiť a aj medzinárodne porovnávať.  </w:t>
      </w:r>
    </w:p>
    <w:p w:rsidR="00DD799E" w:rsidRPr="00AA6AB2" w:rsidP="00DD799E">
      <w:pPr>
        <w:spacing w:line="360" w:lineRule="auto"/>
        <w:jc w:val="both"/>
        <w:rPr>
          <w:rFonts w:ascii="Times New Roman" w:hAnsi="Times New Roman" w:cs="Times New Roman"/>
        </w:rPr>
      </w:pPr>
      <w:r w:rsidRPr="00AA6AB2">
        <w:rPr>
          <w:rFonts w:ascii="Times New Roman" w:hAnsi="Times New Roman" w:cs="Times New Roman"/>
        </w:rPr>
        <w:tab/>
        <w:t xml:space="preserve">Najväčšou neistotou pri tvorbe rozpočtu na roky 2006 až 2008, najmä rokov 2007 </w:t>
      </w:r>
      <w:r>
        <w:rPr>
          <w:rFonts w:ascii="Times New Roman" w:hAnsi="Times New Roman" w:cs="Times New Roman"/>
        </w:rPr>
        <w:t xml:space="preserve"> </w:t>
      </w:r>
      <w:r w:rsidRPr="00AA6AB2">
        <w:rPr>
          <w:rFonts w:ascii="Times New Roman" w:hAnsi="Times New Roman" w:cs="Times New Roman"/>
        </w:rPr>
        <w:t xml:space="preserve">a 2008, bolo neschválenie základného rámca európskeho rozpočtu – Finančnej perspektívy na roky 2007 až 2013. Vzhľadom na to, že v čase prípravy rozpočtu nebolo známe koľko zdrojov bude môcť Slovensko v týchto rokoch získať a ani to, do ktorých oblastí budú tieto prostriedky smerovať, bol predpokladaný objem prostriedkov z budúceho programovacieho obdobia sumárne vyčlenený v kapitole VPS. Druhú neznámu vo vývoji verejných financií predstavoval odhad záujmu občanov o účasť v druhom pilieri dôchodkového systému, a to z dôvodu, že zákonná lehota určená na rozhodnutie občanov pre vstup do nového systému skončila až 30. júna 2006. Dopad reformy dôchodkového systému na </w:t>
      </w:r>
      <w:r w:rsidRPr="00AA6AB2">
        <w:rPr>
          <w:rFonts w:ascii="Times New Roman" w:hAnsi="Times New Roman" w:cs="Times New Roman"/>
        </w:rPr>
        <w:t xml:space="preserve">deficit verejných financií sa v roku 2006 predpokladal vo výške 1,3 % HDP.    </w:t>
      </w:r>
    </w:p>
    <w:p w:rsidR="000E783B" w:rsidP="00DD799E">
      <w:pPr>
        <w:spacing w:line="360" w:lineRule="auto"/>
        <w:ind w:firstLine="709"/>
        <w:jc w:val="both"/>
        <w:rPr>
          <w:rFonts w:ascii="Times New Roman" w:hAnsi="Times New Roman" w:cs="Times New Roman"/>
        </w:rPr>
      </w:pPr>
      <w:r w:rsidRPr="00AA6AB2" w:rsidR="00DD799E">
        <w:rPr>
          <w:rFonts w:ascii="Times New Roman" w:hAnsi="Times New Roman" w:cs="Times New Roman"/>
        </w:rPr>
        <w:t>Na rozdiel od predchádzajúcich rokov sa rozpočet na roky 2006 až 2008 pripravoval</w:t>
      </w:r>
      <w:r w:rsidR="00DD799E">
        <w:rPr>
          <w:rFonts w:ascii="Times New Roman" w:hAnsi="Times New Roman" w:cs="Times New Roman"/>
        </w:rPr>
        <w:t xml:space="preserve"> </w:t>
      </w:r>
    </w:p>
    <w:p w:rsidR="00DD799E" w:rsidRPr="00AA6AB2" w:rsidP="000E783B">
      <w:pPr>
        <w:spacing w:line="360" w:lineRule="auto"/>
        <w:jc w:val="both"/>
        <w:rPr>
          <w:rFonts w:ascii="Times New Roman" w:hAnsi="Times New Roman" w:cs="Times New Roman"/>
        </w:rPr>
      </w:pPr>
      <w:r w:rsidRPr="00AA6AB2">
        <w:rPr>
          <w:rFonts w:ascii="Times New Roman" w:hAnsi="Times New Roman" w:cs="Times New Roman"/>
        </w:rPr>
        <w:t xml:space="preserve">v </w:t>
      </w:r>
      <w:r w:rsidRPr="00AA6AB2">
        <w:rPr>
          <w:rFonts w:ascii="Times New Roman" w:hAnsi="Times New Roman" w:cs="Times New Roman"/>
          <w:bCs/>
        </w:rPr>
        <w:t xml:space="preserve">podstatne stabilnejšom legislatívnom prostredí. </w:t>
      </w:r>
      <w:r w:rsidRPr="00AA6AB2">
        <w:rPr>
          <w:rFonts w:ascii="Times New Roman" w:hAnsi="Times New Roman" w:cs="Times New Roman"/>
        </w:rPr>
        <w:t>Dopady väčšiny reforiem na verejné financie sú už relatívne presne kvantifikované</w:t>
      </w:r>
      <w:r>
        <w:rPr>
          <w:rFonts w:ascii="Times New Roman" w:hAnsi="Times New Roman" w:cs="Times New Roman"/>
        </w:rPr>
        <w:t>,</w:t>
      </w:r>
      <w:r w:rsidRPr="00AA6AB2">
        <w:rPr>
          <w:rFonts w:ascii="Times New Roman" w:hAnsi="Times New Roman" w:cs="Times New Roman"/>
        </w:rPr>
        <w:t xml:space="preserve"> a preto istota pri tvorbe rozpočtu bola z pohľadu </w:t>
      </w:r>
      <w:r>
        <w:rPr>
          <w:rFonts w:ascii="Times New Roman" w:hAnsi="Times New Roman" w:cs="Times New Roman"/>
        </w:rPr>
        <w:t>národnej</w:t>
      </w:r>
      <w:r w:rsidRPr="00AA6AB2">
        <w:rPr>
          <w:rFonts w:ascii="Times New Roman" w:hAnsi="Times New Roman" w:cs="Times New Roman"/>
        </w:rPr>
        <w:t xml:space="preserve"> legislatívy v porovnaní s minulosťou podstatne vyššia. </w:t>
      </w:r>
    </w:p>
    <w:p w:rsidR="00DD799E" w:rsidP="00DD799E">
      <w:pPr>
        <w:ind w:firstLine="360"/>
        <w:rPr>
          <w:rFonts w:ascii="Times New Roman" w:hAnsi="Times New Roman" w:cs="Times New Roman"/>
        </w:rPr>
      </w:pPr>
    </w:p>
    <w:p w:rsidR="00B75FFC" w:rsidRPr="00AA6AB2" w:rsidP="00DD799E">
      <w:pPr>
        <w:ind w:firstLine="360"/>
        <w:rPr>
          <w:rFonts w:ascii="Times New Roman" w:hAnsi="Times New Roman" w:cs="Times New Roman"/>
        </w:rPr>
      </w:pPr>
    </w:p>
    <w:p w:rsidR="00DD799E" w:rsidRPr="00F057BD" w:rsidP="00245B1C">
      <w:pPr>
        <w:numPr>
          <w:ilvl w:val="1"/>
          <w:numId w:val="72"/>
        </w:numPr>
        <w:tabs>
          <w:tab w:val="left" w:pos="720"/>
        </w:tabs>
        <w:spacing w:line="360" w:lineRule="auto"/>
        <w:jc w:val="center"/>
        <w:rPr>
          <w:rFonts w:ascii="Times New Roman" w:hAnsi="Times New Roman" w:cs="Times New Roman"/>
          <w:b/>
          <w:iCs/>
        </w:rPr>
      </w:pPr>
      <w:r w:rsidR="00885980">
        <w:rPr>
          <w:rFonts w:ascii="Times New Roman" w:hAnsi="Times New Roman" w:cs="Times New Roman"/>
          <w:b/>
        </w:rPr>
        <w:t xml:space="preserve"> </w:t>
      </w:r>
      <w:r w:rsidRPr="00F057BD">
        <w:rPr>
          <w:rFonts w:ascii="Times New Roman" w:hAnsi="Times New Roman" w:cs="Times New Roman"/>
          <w:b/>
        </w:rPr>
        <w:t>Základné makroekonomické ukazovatele, z ktorých sa vychádzalo pri príprave rozpočtu na rok 2006</w:t>
      </w:r>
    </w:p>
    <w:p w:rsidR="00DD799E" w:rsidRPr="00AF7A1B" w:rsidP="00245B1C">
      <w:pPr>
        <w:spacing w:line="360" w:lineRule="auto"/>
        <w:rPr>
          <w:rFonts w:ascii="Times New Roman" w:hAnsi="Times New Roman" w:cs="Times New Roman"/>
          <w:bCs/>
          <w:iCs/>
          <w:u w:val="single"/>
        </w:rPr>
      </w:pPr>
    </w:p>
    <w:p w:rsidR="00DD799E" w:rsidRPr="00AA6AB2" w:rsidP="00245B1C">
      <w:pPr>
        <w:spacing w:line="360" w:lineRule="auto"/>
        <w:ind w:firstLine="709"/>
        <w:jc w:val="both"/>
        <w:rPr>
          <w:rFonts w:ascii="Times New Roman" w:hAnsi="Times New Roman" w:cs="Times New Roman"/>
        </w:rPr>
      </w:pPr>
      <w:r w:rsidRPr="00AA6AB2">
        <w:rPr>
          <w:rFonts w:ascii="Times New Roman" w:hAnsi="Times New Roman" w:cs="Times New Roman"/>
        </w:rPr>
        <w:t xml:space="preserve">Makroekonomický rámec rozpočtu do roku 2008 bol postavený na aktualizovaných odhadoch vývoja v roku 2005 a hlavných predpokladoch o vývoji vnútorných a vonkajších podmienok ekonomiky SR. Na strane vnútorných podmienok sa predpokladalo, že sa budú úspešne plniť strednodobé zámery fiškálnej politiky, finalizácia štrukturálnych reforiem bude efektívna, zvýšený prílev priamych zahraničných investícií (PZI) na Slovensko bude pokračovať, </w:t>
      </w:r>
      <w:r>
        <w:rPr>
          <w:rFonts w:ascii="Times New Roman" w:hAnsi="Times New Roman" w:cs="Times New Roman"/>
        </w:rPr>
        <w:t xml:space="preserve">resp. </w:t>
      </w:r>
      <w:r w:rsidRPr="00AA6AB2">
        <w:rPr>
          <w:rFonts w:ascii="Times New Roman" w:hAnsi="Times New Roman" w:cs="Times New Roman"/>
        </w:rPr>
        <w:t>kulminovať</w:t>
      </w:r>
      <w:r>
        <w:rPr>
          <w:rFonts w:ascii="Times New Roman" w:hAnsi="Times New Roman" w:cs="Times New Roman"/>
        </w:rPr>
        <w:t>.</w:t>
      </w:r>
      <w:r w:rsidRPr="00AA6AB2">
        <w:rPr>
          <w:rFonts w:ascii="Times New Roman" w:hAnsi="Times New Roman" w:cs="Times New Roman"/>
        </w:rPr>
        <w:t xml:space="preserve"> Na strane vonkajších podmienok sa očakávalo, že ekonomiky EÚ budú postupne akcelerovať a svetové ceny energetických surovín budú relatívne stabilné. Projektované trendy sú výsledkom procesu z</w:t>
      </w:r>
      <w:r>
        <w:rPr>
          <w:rFonts w:ascii="Times New Roman" w:hAnsi="Times New Roman" w:cs="Times New Roman"/>
        </w:rPr>
        <w:t>jednocovania</w:t>
      </w:r>
      <w:r w:rsidRPr="00AA6AB2">
        <w:rPr>
          <w:rFonts w:ascii="Times New Roman" w:hAnsi="Times New Roman" w:cs="Times New Roman"/>
        </w:rPr>
        <w:t xml:space="preserve"> fiškálnych, menových a sektorových zámerov, ako aj niektorých expertných odhadov, napr. týkajúcich sa vplyvov PZI na rast investícií, zamestnanosti, exportu a dovozu v jednotlivých rokoch, zmien v očakávaniach ekonomických subjektov, vývoja svetových cien, konkurencieschopnosti SR v kontexte nových vonkajších podmienok. Pri týchto predpokladoch sa vychádzalo z</w:t>
      </w:r>
      <w:r>
        <w:rPr>
          <w:rFonts w:ascii="Times New Roman" w:hAnsi="Times New Roman" w:cs="Times New Roman"/>
        </w:rPr>
        <w:t>o</w:t>
      </w:r>
      <w:r w:rsidRPr="00AA6AB2">
        <w:rPr>
          <w:rFonts w:ascii="Times New Roman" w:hAnsi="Times New Roman" w:cs="Times New Roman"/>
        </w:rPr>
        <w:t xml:space="preserve"> zámerov a postupov týkajúcich sa vstupu do eurozóny a procesu prípravy na prijatie eura. Predpokladom bolo, že najneskôr v polovici roka 2006 Slovensko vstúpi do kurzového režimu ERM II, v roku 2007 bude plniť všetky Maastrichtské kritériá a k 1.1.2009 sa začne v SR používať jednotná mena euro. Predkladané prognózy zároveň uvažovali s platnosťou novej  Finančnej perspektívy EU od roku 2007.</w:t>
      </w:r>
    </w:p>
    <w:p w:rsidR="00DD799E" w:rsidRPr="00AA6AB2" w:rsidP="005645FB">
      <w:pPr>
        <w:spacing w:line="360" w:lineRule="auto"/>
        <w:ind w:firstLine="720"/>
        <w:jc w:val="both"/>
        <w:rPr>
          <w:rFonts w:ascii="Times New Roman" w:hAnsi="Times New Roman" w:cs="Times New Roman"/>
        </w:rPr>
      </w:pPr>
      <w:r w:rsidRPr="00AA6AB2">
        <w:rPr>
          <w:rFonts w:ascii="Times New Roman" w:hAnsi="Times New Roman" w:cs="Times New Roman"/>
          <w:bCs/>
          <w:iCs/>
        </w:rPr>
        <w:t>Prognóza makroekonomického vývoja</w:t>
      </w:r>
      <w:r w:rsidRPr="00AA6AB2">
        <w:rPr>
          <w:rFonts w:ascii="Times New Roman" w:hAnsi="Times New Roman" w:cs="Times New Roman"/>
          <w:bCs/>
          <w:i/>
          <w:iCs/>
        </w:rPr>
        <w:t xml:space="preserve"> </w:t>
      </w:r>
      <w:r w:rsidRPr="00AA6AB2">
        <w:rPr>
          <w:rFonts w:ascii="Times New Roman" w:hAnsi="Times New Roman" w:cs="Times New Roman"/>
        </w:rPr>
        <w:t xml:space="preserve"> predpokladala aj pre horizont do roku 2008 trendy a charakter vývoja, ktoré sa očakávali pri tvorbe viacročného rozpočtu na roky 2005 až 2007, ako aj pri aktualizácii konvergenčného programu SR do roku 2010 (november 2004):</w:t>
      </w:r>
    </w:p>
    <w:p w:rsidR="00DD799E" w:rsidRPr="00AA6AB2" w:rsidP="005645FB">
      <w:pPr>
        <w:numPr>
          <w:ilvl w:val="0"/>
          <w:numId w:val="83"/>
        </w:numPr>
        <w:tabs>
          <w:tab w:val="clear" w:pos="360"/>
        </w:tabs>
        <w:spacing w:line="360" w:lineRule="auto"/>
        <w:ind w:left="0" w:firstLine="360"/>
        <w:jc w:val="both"/>
        <w:rPr>
          <w:rFonts w:ascii="Times New Roman" w:hAnsi="Times New Roman" w:cs="Times New Roman"/>
        </w:rPr>
      </w:pPr>
      <w:r w:rsidRPr="00AA6AB2">
        <w:rPr>
          <w:rFonts w:ascii="Times New Roman" w:hAnsi="Times New Roman" w:cs="Times New Roman"/>
        </w:rPr>
        <w:t>pretrvávajúci relatívne vysoký rast HDP, ktorý nespôsobuje vnútornú a vonkajšiu nerovnováhu v ekonomike (inflačné tlaky a riziká pre bežný účet platobnej bilancie); vývoj HDP bude blízky úrovni potenciálneho produktu (v rokoch 2006 a 2007 možno očakávať  mierne kladnú produkčnú medzeru);</w:t>
      </w:r>
    </w:p>
    <w:p w:rsidR="00DD799E" w:rsidRPr="00AA6AB2" w:rsidP="005645FB">
      <w:pPr>
        <w:numPr>
          <w:ilvl w:val="0"/>
          <w:numId w:val="83"/>
        </w:numPr>
        <w:tabs>
          <w:tab w:val="clear" w:pos="360"/>
        </w:tabs>
        <w:spacing w:line="360" w:lineRule="auto"/>
        <w:ind w:left="0" w:firstLine="360"/>
        <w:jc w:val="both"/>
        <w:rPr>
          <w:rFonts w:ascii="Times New Roman" w:hAnsi="Times New Roman" w:cs="Times New Roman"/>
        </w:rPr>
      </w:pPr>
      <w:r w:rsidRPr="00AA6AB2">
        <w:rPr>
          <w:rFonts w:ascii="Times New Roman" w:hAnsi="Times New Roman" w:cs="Times New Roman"/>
        </w:rPr>
        <w:t xml:space="preserve">rast založený na kvalitatívnych zmenách – na zvyšovaní celkovej produktivity faktorov (práce a kapitálu) a celkovej konkurencieschopnosti, najmä vplyvom pôsobenia zahraničných investícií na zelenej lúke; </w:t>
      </w:r>
    </w:p>
    <w:p w:rsidR="00DD799E" w:rsidRPr="00AA6AB2" w:rsidP="005645FB">
      <w:pPr>
        <w:numPr>
          <w:ilvl w:val="0"/>
          <w:numId w:val="83"/>
        </w:numPr>
        <w:tabs>
          <w:tab w:val="clear" w:pos="360"/>
        </w:tabs>
        <w:spacing w:line="360" w:lineRule="auto"/>
        <w:ind w:left="0" w:firstLine="360"/>
        <w:jc w:val="both"/>
        <w:rPr>
          <w:rFonts w:ascii="Times New Roman" w:hAnsi="Times New Roman" w:cs="Times New Roman"/>
        </w:rPr>
      </w:pPr>
      <w:r w:rsidRPr="00AA6AB2">
        <w:rPr>
          <w:rFonts w:ascii="Times New Roman" w:hAnsi="Times New Roman" w:cs="Times New Roman"/>
        </w:rPr>
        <w:t xml:space="preserve">rast stimulovaný najmä domácim dopytom (spotrebou a investíciami), ale aj zahraničným dopytom; do roku 2006 s väčším príspevkom domáceho dopytu, po roku 2006 aj s kladným reálnym príspevkom čistého zahraničného dopytu; </w:t>
      </w:r>
    </w:p>
    <w:p w:rsidR="00DD799E" w:rsidRPr="00AA6AB2" w:rsidP="005645FB">
      <w:pPr>
        <w:numPr>
          <w:ilvl w:val="0"/>
          <w:numId w:val="83"/>
        </w:numPr>
        <w:tabs>
          <w:tab w:val="clear" w:pos="360"/>
        </w:tabs>
        <w:spacing w:line="360" w:lineRule="auto"/>
        <w:ind w:left="0" w:firstLine="360"/>
        <w:jc w:val="both"/>
        <w:rPr>
          <w:rFonts w:ascii="Times New Roman" w:hAnsi="Times New Roman" w:cs="Times New Roman"/>
        </w:rPr>
      </w:pPr>
      <w:r w:rsidRPr="00AA6AB2">
        <w:rPr>
          <w:rFonts w:ascii="Times New Roman" w:hAnsi="Times New Roman" w:cs="Times New Roman"/>
        </w:rPr>
        <w:t xml:space="preserve">klesajúcu, resp. nízku mieru inflácie, reflektujúcu znižovanie vplyvu úprav regulovaných cien a nepriamych daní a rovnovážny charakter dynamiky vývoja ekonomiky, </w:t>
      </w:r>
    </w:p>
    <w:p w:rsidR="00DD799E" w:rsidRPr="00AA6AB2" w:rsidP="005645FB">
      <w:pPr>
        <w:numPr>
          <w:ilvl w:val="0"/>
          <w:numId w:val="83"/>
        </w:numPr>
        <w:tabs>
          <w:tab w:val="clear" w:pos="360"/>
        </w:tabs>
        <w:spacing w:line="360" w:lineRule="auto"/>
        <w:ind w:left="0" w:firstLine="360"/>
        <w:jc w:val="both"/>
        <w:rPr>
          <w:rFonts w:ascii="Times New Roman" w:hAnsi="Times New Roman" w:cs="Times New Roman"/>
        </w:rPr>
      </w:pPr>
      <w:r w:rsidRPr="00AA6AB2">
        <w:rPr>
          <w:rFonts w:ascii="Times New Roman" w:hAnsi="Times New Roman" w:cs="Times New Roman"/>
        </w:rPr>
        <w:t>reálny rast miezd primeraný rastu produktivity práce a vývoju inflácie, ktorý nespôsobuje inflačné tlaky a vytvára predpoklady pre trvalý rast životnej úrovne;</w:t>
      </w:r>
    </w:p>
    <w:p w:rsidR="00DD799E" w:rsidRPr="00AA6AB2" w:rsidP="005645FB">
      <w:pPr>
        <w:numPr>
          <w:ilvl w:val="0"/>
          <w:numId w:val="83"/>
        </w:numPr>
        <w:tabs>
          <w:tab w:val="clear" w:pos="360"/>
        </w:tabs>
        <w:spacing w:line="360" w:lineRule="auto"/>
        <w:ind w:left="0" w:firstLine="360"/>
        <w:jc w:val="both"/>
        <w:rPr>
          <w:rFonts w:ascii="Times New Roman" w:hAnsi="Times New Roman" w:cs="Times New Roman"/>
        </w:rPr>
      </w:pPr>
      <w:r w:rsidRPr="00AA6AB2">
        <w:rPr>
          <w:rFonts w:ascii="Times New Roman" w:hAnsi="Times New Roman" w:cs="Times New Roman"/>
        </w:rPr>
        <w:t>po roku 2006 aj výraznejšie zlepšenie bilancie bežného účtu (mierne prebytky možno očakávať až po roku 2008); prechodné prehĺbenie deficitu v rokoch 2005 a 2006 bude odrážať najmä zvýšené dovozy investičného charakteru súvisiace s rozvojom nových výrob (automobilový priemysel), ako aj zvýšenú spotrebu;</w:t>
      </w:r>
    </w:p>
    <w:p w:rsidR="00DD799E" w:rsidRPr="00AA6AB2" w:rsidP="005645FB">
      <w:pPr>
        <w:numPr>
          <w:ilvl w:val="0"/>
          <w:numId w:val="83"/>
        </w:numPr>
        <w:tabs>
          <w:tab w:val="clear" w:pos="360"/>
        </w:tabs>
        <w:spacing w:line="360" w:lineRule="auto"/>
        <w:ind w:left="0" w:firstLine="360"/>
        <w:jc w:val="both"/>
        <w:rPr>
          <w:rFonts w:ascii="Times New Roman" w:hAnsi="Times New Roman" w:cs="Times New Roman"/>
        </w:rPr>
      </w:pPr>
      <w:r w:rsidRPr="00AA6AB2">
        <w:rPr>
          <w:rFonts w:ascii="Times New Roman" w:hAnsi="Times New Roman" w:cs="Times New Roman"/>
        </w:rPr>
        <w:t>rovnovážny rast ekonomiky bude sprevádzaný rastom štrukturálnej zamestnanosti, ktorý bude korešpondovať tvorbe nových pracovných príležitostí z titulu zakladania a rozširovania výrob (predpokladaný pozitívny vplyv PZI), ale aj úspešnosti štrukturálnych reforiem; ďalšími impulzmi by mali byť financie z rozpočtu EÚ</w:t>
      </w:r>
      <w:r w:rsidRPr="00AA6AB2">
        <w:rPr>
          <w:rFonts w:ascii="Times New Roman" w:hAnsi="Times New Roman" w:cs="Times New Roman"/>
        </w:rPr>
        <w:t xml:space="preserve"> a verejné investície, predovšetkým v oblasti infraštruktúry;</w:t>
      </w:r>
    </w:p>
    <w:p w:rsidR="00DD799E" w:rsidRPr="00AA6AB2" w:rsidP="005645FB">
      <w:pPr>
        <w:numPr>
          <w:ilvl w:val="0"/>
          <w:numId w:val="83"/>
        </w:numPr>
        <w:tabs>
          <w:tab w:val="clear" w:pos="360"/>
        </w:tabs>
        <w:spacing w:line="360" w:lineRule="auto"/>
        <w:ind w:left="0" w:firstLine="360"/>
        <w:jc w:val="both"/>
        <w:rPr>
          <w:rFonts w:ascii="Times New Roman" w:hAnsi="Times New Roman" w:cs="Times New Roman"/>
        </w:rPr>
      </w:pPr>
      <w:r w:rsidRPr="00AA6AB2">
        <w:rPr>
          <w:rFonts w:ascii="Times New Roman" w:hAnsi="Times New Roman" w:cs="Times New Roman"/>
        </w:rPr>
        <w:t>miera nezamestnanosti sa bude znižovať len postupne, odrážať bude vývoj zamestnanosti, ale aj vývoj ekonomicky aktívneho obyvateľstva – nástup silnejších populačných ročníkov na trh práce a súča</w:t>
      </w:r>
      <w:r w:rsidRPr="00AA6AB2">
        <w:rPr>
          <w:rFonts w:ascii="Times New Roman" w:hAnsi="Times New Roman" w:cs="Times New Roman"/>
        </w:rPr>
        <w:t>sné zvyšovanie veku odchodu do dôchodku;</w:t>
      </w:r>
    </w:p>
    <w:p w:rsidR="00DD799E" w:rsidRPr="00AA6AB2" w:rsidP="005645FB">
      <w:pPr>
        <w:numPr>
          <w:ilvl w:val="0"/>
          <w:numId w:val="83"/>
        </w:numPr>
        <w:tabs>
          <w:tab w:val="clear" w:pos="360"/>
        </w:tabs>
        <w:spacing w:line="360" w:lineRule="auto"/>
        <w:ind w:left="0" w:firstLine="360"/>
        <w:jc w:val="both"/>
        <w:rPr>
          <w:rFonts w:ascii="Times New Roman" w:hAnsi="Times New Roman" w:cs="Times New Roman"/>
        </w:rPr>
      </w:pPr>
      <w:r w:rsidRPr="00AA6AB2">
        <w:rPr>
          <w:rFonts w:ascii="Times New Roman" w:hAnsi="Times New Roman" w:cs="Times New Roman"/>
        </w:rPr>
        <w:t>zvýšený príliv fondov EÚ výrazne podporí investície a čiastočne aj súkromnú a vládnu spotrebu.</w:t>
      </w:r>
    </w:p>
    <w:p w:rsidR="00DD799E" w:rsidRPr="00AA6AB2" w:rsidP="00DD799E">
      <w:pPr>
        <w:jc w:val="both"/>
        <w:rPr>
          <w:rFonts w:ascii="Times New Roman" w:hAnsi="Times New Roman" w:cs="Times New Roman"/>
        </w:rPr>
      </w:pPr>
    </w:p>
    <w:p w:rsidR="00DD799E" w:rsidRPr="00AA6AB2" w:rsidP="00DD799E">
      <w:pPr>
        <w:pStyle w:val="BodyTextIndent"/>
        <w:ind w:left="0"/>
        <w:jc w:val="both"/>
        <w:rPr>
          <w:rFonts w:ascii="Times New Roman" w:hAnsi="Times New Roman" w:cs="Times New Roman"/>
        </w:rPr>
      </w:pPr>
      <w:r w:rsidRPr="00AA6AB2">
        <w:rPr>
          <w:rFonts w:ascii="Times New Roman" w:hAnsi="Times New Roman" w:cs="Times New Roman"/>
        </w:rPr>
        <w:t xml:space="preserve">Očakávaný vývoj hlavných makroekonomických indikátorov je obsiahnutý v nasledujúcej tabuľke: </w:t>
      </w:r>
    </w:p>
    <w:p w:rsidR="00DD799E" w:rsidRPr="001548C7" w:rsidP="00DD799E">
      <w:pPr>
        <w:jc w:val="both"/>
        <w:rPr>
          <w:rFonts w:ascii="Times New Roman" w:hAnsi="Times New Roman" w:cs="Times New Roman"/>
          <w:sz w:val="22"/>
          <w:szCs w:val="22"/>
        </w:rPr>
      </w:pPr>
    </w:p>
    <w:tbl>
      <w:tblPr>
        <w:tblW w:w="8352" w:type="dxa"/>
        <w:jc w:val="center"/>
        <w:tblCellMar>
          <w:top w:w="0" w:type="dxa"/>
          <w:left w:w="70" w:type="dxa"/>
          <w:bottom w:w="0" w:type="dxa"/>
          <w:right w:w="70" w:type="dxa"/>
        </w:tblCellMar>
      </w:tblPr>
      <w:tblGrid>
        <w:gridCol w:w="3804"/>
        <w:gridCol w:w="1133"/>
        <w:gridCol w:w="919"/>
        <w:gridCol w:w="946"/>
        <w:gridCol w:w="840"/>
        <w:gridCol w:w="710"/>
      </w:tblGrid>
      <w:tr>
        <w:tblPrEx>
          <w:tblW w:w="8352" w:type="dxa"/>
          <w:jc w:val="center"/>
          <w:tblCellMar>
            <w:top w:w="0" w:type="dxa"/>
            <w:left w:w="70" w:type="dxa"/>
            <w:bottom w:w="0" w:type="dxa"/>
            <w:right w:w="70" w:type="dxa"/>
          </w:tblCellMar>
        </w:tblPrEx>
        <w:trPr>
          <w:trHeight w:hRule="auto" w:val="0"/>
          <w:jc w:val="center"/>
        </w:trPr>
        <w:tc>
          <w:tcPr>
            <w:tcW w:w="8352" w:type="dxa"/>
            <w:gridSpan w:val="6"/>
            <w:tcBorders>
              <w:top w:val="single" w:sz="4" w:space="0" w:color="auto"/>
              <w:left w:val="single" w:sz="4" w:space="0" w:color="auto"/>
              <w:bottom w:val="single" w:sz="4" w:space="0" w:color="auto"/>
              <w:right w:val="single" w:sz="4" w:space="0" w:color="auto"/>
              <w:tl2br w:val="nil"/>
              <w:tr2bl w:val="nil"/>
            </w:tcBorders>
            <w:textDirection w:val="lrTb"/>
            <w:vAlign w:val="top"/>
          </w:tcPr>
          <w:p w:rsidR="00DD799E" w:rsidRPr="001548C7" w:rsidP="00DD799E">
            <w:pPr>
              <w:spacing w:before="40" w:after="40"/>
              <w:jc w:val="center"/>
              <w:rPr>
                <w:rFonts w:ascii="Times New Roman" w:hAnsi="Times New Roman" w:cs="Times New Roman"/>
                <w:b/>
                <w:bCs/>
                <w:color w:val="FFFFFF"/>
                <w:sz w:val="20"/>
              </w:rPr>
            </w:pPr>
            <w:r>
              <w:rPr>
                <w:rFonts w:ascii="Times New Roman" w:hAnsi="Times New Roman" w:cs="Times New Roman"/>
                <w:b/>
                <w:bCs/>
                <w:sz w:val="20"/>
                <w:szCs w:val="20"/>
              </w:rPr>
              <w:t>Makroekonomické predpokl</w:t>
            </w:r>
            <w:r>
              <w:rPr>
                <w:rFonts w:ascii="Times New Roman" w:hAnsi="Times New Roman" w:cs="Times New Roman"/>
                <w:b/>
                <w:bCs/>
                <w:sz w:val="20"/>
                <w:szCs w:val="20"/>
              </w:rPr>
              <w:t>ady MF SR</w:t>
            </w:r>
          </w:p>
        </w:tc>
      </w:tr>
      <w:tr>
        <w:tblPrEx>
          <w:tblW w:w="8352" w:type="dxa"/>
          <w:jc w:val="center"/>
          <w:tblCellMar>
            <w:top w:w="0" w:type="dxa"/>
            <w:left w:w="70" w:type="dxa"/>
            <w:bottom w:w="0" w:type="dxa"/>
            <w:right w:w="70" w:type="dxa"/>
          </w:tblCellMar>
        </w:tblPrEx>
        <w:trPr>
          <w:trHeight w:hRule="auto" w:val="0"/>
          <w:jc w:val="center"/>
        </w:trPr>
        <w:tc>
          <w:tcPr>
            <w:tcW w:w="3804" w:type="dxa"/>
            <w:vMerge w:val="restart"/>
            <w:tcBorders>
              <w:top w:val="single" w:sz="4" w:space="0" w:color="auto"/>
              <w:left w:val="single" w:sz="4" w:space="0" w:color="auto"/>
              <w:bottom w:val="nil"/>
              <w:right w:val="single" w:sz="4" w:space="0" w:color="auto"/>
              <w:tl2br w:val="nil"/>
              <w:tr2bl w:val="nil"/>
            </w:tcBorders>
            <w:textDirection w:val="lrTb"/>
            <w:vAlign w:val="center"/>
          </w:tcPr>
          <w:p w:rsidR="005645FB" w:rsidRPr="00294DD1" w:rsidP="00DD799E">
            <w:pPr>
              <w:spacing w:before="20" w:after="20"/>
              <w:jc w:val="both"/>
              <w:rPr>
                <w:rFonts w:ascii="Times New Roman" w:hAnsi="Times New Roman" w:cs="Times New Roman"/>
                <w:sz w:val="20"/>
                <w:szCs w:val="20"/>
              </w:rPr>
            </w:pPr>
          </w:p>
        </w:tc>
        <w:tc>
          <w:tcPr>
            <w:tcW w:w="1133" w:type="dxa"/>
            <w:vMerge w:val="restart"/>
            <w:tcBorders>
              <w:top w:val="single" w:sz="4" w:space="0" w:color="auto"/>
              <w:left w:val="single" w:sz="4" w:space="0" w:color="auto"/>
              <w:bottom w:val="nil"/>
              <w:right w:val="single" w:sz="4" w:space="0" w:color="auto"/>
              <w:tl2br w:val="nil"/>
              <w:tr2bl w:val="nil"/>
            </w:tcBorders>
            <w:textDirection w:val="lrTb"/>
            <w:vAlign w:val="center"/>
          </w:tcPr>
          <w:p w:rsidR="005645FB" w:rsidP="00DD799E">
            <w:pPr>
              <w:spacing w:before="20" w:after="20"/>
              <w:jc w:val="center"/>
              <w:rPr>
                <w:rFonts w:ascii="Times New Roman" w:hAnsi="Times New Roman" w:cs="Times New Roman"/>
                <w:b/>
                <w:sz w:val="20"/>
                <w:szCs w:val="20"/>
              </w:rPr>
            </w:pPr>
            <w:r w:rsidRPr="00294DD1">
              <w:rPr>
                <w:rFonts w:ascii="Times New Roman" w:hAnsi="Times New Roman" w:cs="Times New Roman"/>
                <w:b/>
                <w:sz w:val="20"/>
                <w:szCs w:val="20"/>
              </w:rPr>
              <w:t>Skutočnosť</w:t>
            </w:r>
          </w:p>
          <w:p w:rsidR="005645FB" w:rsidRPr="00294DD1" w:rsidP="00DD799E">
            <w:pPr>
              <w:spacing w:before="20" w:after="20"/>
              <w:jc w:val="center"/>
              <w:rPr>
                <w:rFonts w:ascii="Times New Roman" w:hAnsi="Times New Roman" w:cs="Times New Roman"/>
                <w:b/>
                <w:sz w:val="20"/>
                <w:szCs w:val="20"/>
              </w:rPr>
            </w:pPr>
            <w:r w:rsidRPr="00294DD1">
              <w:rPr>
                <w:rFonts w:ascii="Times New Roman" w:hAnsi="Times New Roman" w:cs="Times New Roman"/>
                <w:b/>
                <w:bCs/>
                <w:sz w:val="20"/>
                <w:szCs w:val="20"/>
              </w:rPr>
              <w:t>2004</w:t>
            </w:r>
          </w:p>
        </w:tc>
        <w:tc>
          <w:tcPr>
            <w:tcW w:w="3415" w:type="dxa"/>
            <w:gridSpan w:val="4"/>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645FB" w:rsidRPr="00294DD1" w:rsidP="005645FB">
            <w:pPr>
              <w:spacing w:after="120"/>
              <w:jc w:val="center"/>
              <w:rPr>
                <w:rFonts w:ascii="Times New Roman" w:hAnsi="Times New Roman" w:cs="Times New Roman"/>
                <w:sz w:val="20"/>
                <w:szCs w:val="20"/>
              </w:rPr>
            </w:pPr>
            <w:r w:rsidRPr="00294DD1">
              <w:rPr>
                <w:rFonts w:ascii="Times New Roman" w:hAnsi="Times New Roman" w:cs="Times New Roman"/>
                <w:b/>
                <w:sz w:val="20"/>
                <w:szCs w:val="20"/>
              </w:rPr>
              <w:t>Prognóza</w:t>
            </w:r>
          </w:p>
        </w:tc>
      </w:tr>
      <w:tr>
        <w:tblPrEx>
          <w:tblW w:w="8352" w:type="dxa"/>
          <w:jc w:val="center"/>
          <w:tblCellMar>
            <w:top w:w="0" w:type="dxa"/>
            <w:left w:w="70" w:type="dxa"/>
            <w:bottom w:w="0" w:type="dxa"/>
            <w:right w:w="70" w:type="dxa"/>
          </w:tblCellMar>
        </w:tblPrEx>
        <w:trPr>
          <w:trHeight w:hRule="auto" w:val="0"/>
          <w:jc w:val="center"/>
        </w:trPr>
        <w:tc>
          <w:tcPr>
            <w:tcW w:w="3804" w:type="dxa"/>
            <w:vMerge/>
            <w:tcBorders>
              <w:top w:val="nil"/>
              <w:left w:val="single" w:sz="4" w:space="0" w:color="auto"/>
              <w:bottom w:val="single" w:sz="4" w:space="0" w:color="auto"/>
              <w:right w:val="single" w:sz="4" w:space="0" w:color="auto"/>
              <w:tl2br w:val="nil"/>
              <w:tr2bl w:val="nil"/>
            </w:tcBorders>
            <w:textDirection w:val="lrTb"/>
            <w:vAlign w:val="center"/>
          </w:tcPr>
          <w:p w:rsidR="005645FB" w:rsidRPr="00294DD1" w:rsidP="00DD799E">
            <w:pPr>
              <w:spacing w:before="20" w:after="20"/>
              <w:jc w:val="both"/>
              <w:rPr>
                <w:rFonts w:ascii="Times New Roman" w:hAnsi="Times New Roman" w:cs="Times New Roman"/>
                <w:sz w:val="20"/>
                <w:szCs w:val="20"/>
              </w:rPr>
            </w:pPr>
          </w:p>
        </w:tc>
        <w:tc>
          <w:tcPr>
            <w:tcW w:w="1133" w:type="dxa"/>
            <w:vMerge/>
            <w:tcBorders>
              <w:top w:val="nil"/>
              <w:left w:val="single" w:sz="4" w:space="0" w:color="auto"/>
              <w:bottom w:val="single" w:sz="4" w:space="0" w:color="auto"/>
              <w:right w:val="single" w:sz="4" w:space="0" w:color="auto"/>
              <w:tl2br w:val="nil"/>
              <w:tr2bl w:val="nil"/>
            </w:tcBorders>
            <w:textDirection w:val="lrTb"/>
            <w:vAlign w:val="center"/>
          </w:tcPr>
          <w:p w:rsidR="005645FB" w:rsidRPr="00294DD1" w:rsidP="00DD799E">
            <w:pPr>
              <w:spacing w:before="20" w:after="20"/>
              <w:jc w:val="center"/>
              <w:rPr>
                <w:rFonts w:ascii="Times New Roman" w:hAnsi="Times New Roman" w:cs="Times New Roman"/>
                <w:b/>
                <w:bCs/>
                <w:sz w:val="20"/>
                <w:szCs w:val="20"/>
              </w:rPr>
            </w:pPr>
          </w:p>
        </w:tc>
        <w:tc>
          <w:tcPr>
            <w:tcW w:w="919" w:type="dxa"/>
            <w:tcBorders>
              <w:top w:val="nil"/>
              <w:left w:val="nil"/>
              <w:bottom w:val="single" w:sz="4" w:space="0" w:color="auto"/>
              <w:right w:val="nil"/>
              <w:tl2br w:val="nil"/>
              <w:tr2bl w:val="nil"/>
            </w:tcBorders>
            <w:textDirection w:val="lrTb"/>
            <w:vAlign w:val="center"/>
          </w:tcPr>
          <w:p w:rsidR="005645FB" w:rsidRPr="00294DD1" w:rsidP="00DD799E">
            <w:pPr>
              <w:spacing w:before="20" w:after="20"/>
              <w:jc w:val="center"/>
              <w:rPr>
                <w:rFonts w:ascii="Times New Roman" w:hAnsi="Times New Roman" w:cs="Times New Roman"/>
                <w:b/>
                <w:bCs/>
                <w:sz w:val="20"/>
                <w:szCs w:val="20"/>
              </w:rPr>
            </w:pPr>
            <w:r w:rsidRPr="00294DD1">
              <w:rPr>
                <w:rFonts w:ascii="Times New Roman" w:hAnsi="Times New Roman" w:cs="Times New Roman"/>
                <w:b/>
                <w:bCs/>
                <w:sz w:val="20"/>
                <w:szCs w:val="20"/>
              </w:rPr>
              <w:t>2005</w:t>
            </w:r>
          </w:p>
        </w:tc>
        <w:tc>
          <w:tcPr>
            <w:tcW w:w="946" w:type="dxa"/>
            <w:tcBorders>
              <w:top w:val="nil"/>
              <w:left w:val="nil"/>
              <w:bottom w:val="single" w:sz="4" w:space="0" w:color="auto"/>
              <w:right w:val="nil"/>
              <w:tl2br w:val="nil"/>
              <w:tr2bl w:val="nil"/>
            </w:tcBorders>
            <w:textDirection w:val="lrTb"/>
            <w:vAlign w:val="center"/>
          </w:tcPr>
          <w:p w:rsidR="005645FB" w:rsidRPr="00294DD1" w:rsidP="00DD799E">
            <w:pPr>
              <w:spacing w:before="20" w:after="20"/>
              <w:jc w:val="center"/>
              <w:rPr>
                <w:rFonts w:ascii="Times New Roman" w:hAnsi="Times New Roman" w:cs="Times New Roman"/>
                <w:b/>
                <w:bCs/>
                <w:sz w:val="20"/>
                <w:szCs w:val="20"/>
              </w:rPr>
            </w:pPr>
            <w:r w:rsidRPr="00294DD1">
              <w:rPr>
                <w:rFonts w:ascii="Times New Roman" w:hAnsi="Times New Roman" w:cs="Times New Roman"/>
                <w:b/>
                <w:bCs/>
                <w:sz w:val="20"/>
                <w:szCs w:val="20"/>
              </w:rPr>
              <w:t>2006</w:t>
            </w:r>
          </w:p>
        </w:tc>
        <w:tc>
          <w:tcPr>
            <w:tcW w:w="840" w:type="dxa"/>
            <w:tcBorders>
              <w:top w:val="nil"/>
              <w:left w:val="nil"/>
              <w:bottom w:val="single" w:sz="4" w:space="0" w:color="auto"/>
              <w:right w:val="nil"/>
              <w:tl2br w:val="nil"/>
              <w:tr2bl w:val="nil"/>
            </w:tcBorders>
            <w:textDirection w:val="lrTb"/>
            <w:vAlign w:val="center"/>
          </w:tcPr>
          <w:p w:rsidR="005645FB" w:rsidRPr="00294DD1" w:rsidP="00DD799E">
            <w:pPr>
              <w:spacing w:before="20" w:after="20"/>
              <w:jc w:val="center"/>
              <w:rPr>
                <w:rFonts w:ascii="Times New Roman" w:hAnsi="Times New Roman" w:cs="Times New Roman"/>
                <w:b/>
                <w:bCs/>
                <w:sz w:val="20"/>
                <w:szCs w:val="20"/>
              </w:rPr>
            </w:pPr>
            <w:r w:rsidRPr="00294DD1">
              <w:rPr>
                <w:rFonts w:ascii="Times New Roman" w:hAnsi="Times New Roman" w:cs="Times New Roman"/>
                <w:b/>
                <w:bCs/>
                <w:sz w:val="20"/>
                <w:szCs w:val="20"/>
              </w:rPr>
              <w:t>2007</w:t>
            </w:r>
          </w:p>
        </w:tc>
        <w:tc>
          <w:tcPr>
            <w:tcW w:w="710" w:type="dxa"/>
            <w:tcBorders>
              <w:top w:val="nil"/>
              <w:left w:val="nil"/>
              <w:bottom w:val="single" w:sz="4" w:space="0" w:color="auto"/>
              <w:right w:val="single" w:sz="4" w:space="0" w:color="auto"/>
              <w:tl2br w:val="nil"/>
              <w:tr2bl w:val="nil"/>
            </w:tcBorders>
            <w:textDirection w:val="lrTb"/>
            <w:vAlign w:val="center"/>
          </w:tcPr>
          <w:p w:rsidR="005645FB" w:rsidRPr="00294DD1" w:rsidP="00DD799E">
            <w:pPr>
              <w:spacing w:before="20" w:after="20"/>
              <w:jc w:val="center"/>
              <w:rPr>
                <w:rFonts w:ascii="Times New Roman" w:hAnsi="Times New Roman" w:cs="Times New Roman"/>
                <w:b/>
                <w:bCs/>
                <w:sz w:val="20"/>
                <w:szCs w:val="20"/>
              </w:rPr>
            </w:pPr>
            <w:r w:rsidRPr="00294DD1">
              <w:rPr>
                <w:rFonts w:ascii="Times New Roman" w:hAnsi="Times New Roman" w:cs="Times New Roman"/>
                <w:b/>
                <w:bCs/>
                <w:sz w:val="20"/>
                <w:szCs w:val="20"/>
              </w:rPr>
              <w:t>2008</w:t>
            </w:r>
          </w:p>
        </w:tc>
      </w:tr>
      <w:tr>
        <w:tblPrEx>
          <w:tblW w:w="8352" w:type="dxa"/>
          <w:jc w:val="center"/>
          <w:tblCellMar>
            <w:top w:w="0" w:type="dxa"/>
            <w:left w:w="70" w:type="dxa"/>
            <w:bottom w:w="0" w:type="dxa"/>
            <w:right w:w="70" w:type="dxa"/>
          </w:tblCellMar>
        </w:tblPrEx>
        <w:trPr>
          <w:trHeight w:val="282"/>
          <w:jc w:val="center"/>
        </w:trPr>
        <w:tc>
          <w:tcPr>
            <w:tcW w:w="3804" w:type="dxa"/>
            <w:tcBorders>
              <w:top w:val="single" w:sz="4" w:space="0" w:color="auto"/>
              <w:left w:val="single" w:sz="4" w:space="0" w:color="auto"/>
              <w:bottom w:val="nil"/>
              <w:right w:val="single" w:sz="4" w:space="0" w:color="auto"/>
              <w:tl2br w:val="nil"/>
              <w:tr2bl w:val="nil"/>
            </w:tcBorders>
            <w:textDirection w:val="lrTb"/>
            <w:vAlign w:val="center"/>
          </w:tcPr>
          <w:p w:rsidR="00DD799E" w:rsidRPr="001548C7" w:rsidP="00DD799E">
            <w:pPr>
              <w:spacing w:before="20" w:after="20"/>
              <w:rPr>
                <w:rFonts w:ascii="Times New Roman" w:hAnsi="Times New Roman" w:cs="Times New Roman"/>
                <w:sz w:val="20"/>
              </w:rPr>
            </w:pPr>
            <w:r w:rsidRPr="001548C7">
              <w:rPr>
                <w:rFonts w:ascii="Times New Roman" w:hAnsi="Times New Roman" w:cs="Times New Roman"/>
                <w:sz w:val="20"/>
              </w:rPr>
              <w:t>HDP (b. c. , mld. Sk)</w:t>
            </w:r>
          </w:p>
        </w:tc>
        <w:tc>
          <w:tcPr>
            <w:tcW w:w="1133" w:type="dxa"/>
            <w:tcBorders>
              <w:top w:val="single" w:sz="4" w:space="0" w:color="auto"/>
              <w:left w:val="single" w:sz="4" w:space="0" w:color="auto"/>
              <w:bottom w:val="nil"/>
              <w:right w:val="single" w:sz="4" w:space="0" w:color="auto"/>
              <w:tl2br w:val="nil"/>
              <w:tr2bl w:val="nil"/>
            </w:tcBorders>
            <w:textDirection w:val="lrTb"/>
            <w:vAlign w:val="center"/>
          </w:tcPr>
          <w:p w:rsidR="00DD799E" w:rsidRPr="001548C7" w:rsidP="00DD799E">
            <w:pPr>
              <w:spacing w:before="20" w:after="20"/>
              <w:jc w:val="right"/>
              <w:rPr>
                <w:rFonts w:ascii="Times New Roman" w:hAnsi="Times New Roman" w:cs="Times New Roman"/>
                <w:sz w:val="20"/>
              </w:rPr>
            </w:pPr>
            <w:r w:rsidRPr="001548C7">
              <w:rPr>
                <w:rFonts w:ascii="Times New Roman" w:hAnsi="Times New Roman" w:cs="Times New Roman"/>
                <w:sz w:val="20"/>
              </w:rPr>
              <w:t>1 325,5</w:t>
            </w:r>
          </w:p>
        </w:tc>
        <w:tc>
          <w:tcPr>
            <w:tcW w:w="919" w:type="dxa"/>
            <w:tcBorders>
              <w:top w:val="single" w:sz="4" w:space="0" w:color="auto"/>
              <w:left w:val="nil"/>
              <w:bottom w:val="nil"/>
              <w:right w:val="nil"/>
              <w:tl2br w:val="nil"/>
              <w:tr2bl w:val="nil"/>
            </w:tcBorders>
            <w:textDirection w:val="lrTb"/>
            <w:vAlign w:val="bottom"/>
          </w:tcPr>
          <w:p w:rsidR="00DD799E" w:rsidRPr="001548C7" w:rsidP="00DD799E">
            <w:pPr>
              <w:spacing w:before="20" w:after="20"/>
              <w:jc w:val="right"/>
              <w:rPr>
                <w:rFonts w:ascii="Times New Roman" w:hAnsi="Times New Roman" w:cs="Times New Roman"/>
                <w:sz w:val="20"/>
              </w:rPr>
            </w:pPr>
            <w:r w:rsidRPr="001548C7">
              <w:rPr>
                <w:rFonts w:ascii="Times New Roman" w:hAnsi="Times New Roman" w:cs="Times New Roman"/>
                <w:sz w:val="20"/>
              </w:rPr>
              <w:t>1 429,8</w:t>
            </w:r>
          </w:p>
        </w:tc>
        <w:tc>
          <w:tcPr>
            <w:tcW w:w="946" w:type="dxa"/>
            <w:tcBorders>
              <w:top w:val="single" w:sz="4" w:space="0" w:color="auto"/>
              <w:left w:val="nil"/>
              <w:bottom w:val="nil"/>
              <w:right w:val="nil"/>
              <w:tl2br w:val="nil"/>
              <w:tr2bl w:val="nil"/>
            </w:tcBorders>
            <w:textDirection w:val="lrTb"/>
            <w:vAlign w:val="bottom"/>
          </w:tcPr>
          <w:p w:rsidR="00DD799E" w:rsidRPr="001548C7" w:rsidP="00DD799E">
            <w:pPr>
              <w:spacing w:before="20" w:after="20"/>
              <w:jc w:val="right"/>
              <w:rPr>
                <w:rFonts w:ascii="Times New Roman" w:hAnsi="Times New Roman" w:cs="Times New Roman"/>
                <w:sz w:val="20"/>
              </w:rPr>
            </w:pPr>
            <w:r w:rsidRPr="001548C7">
              <w:rPr>
                <w:rFonts w:ascii="Times New Roman" w:hAnsi="Times New Roman" w:cs="Times New Roman"/>
                <w:sz w:val="20"/>
              </w:rPr>
              <w:t>1 531,4</w:t>
            </w:r>
          </w:p>
        </w:tc>
        <w:tc>
          <w:tcPr>
            <w:tcW w:w="840" w:type="dxa"/>
            <w:tcBorders>
              <w:top w:val="single" w:sz="4" w:space="0" w:color="auto"/>
              <w:left w:val="nil"/>
              <w:bottom w:val="nil"/>
              <w:right w:val="nil"/>
              <w:tl2br w:val="nil"/>
              <w:tr2bl w:val="nil"/>
            </w:tcBorders>
            <w:textDirection w:val="lrTb"/>
            <w:vAlign w:val="bottom"/>
          </w:tcPr>
          <w:p w:rsidR="00DD799E" w:rsidRPr="001548C7" w:rsidP="00DD799E">
            <w:pPr>
              <w:spacing w:before="20" w:after="20"/>
              <w:jc w:val="right"/>
              <w:rPr>
                <w:rFonts w:ascii="Times New Roman" w:hAnsi="Times New Roman" w:cs="Times New Roman"/>
                <w:sz w:val="20"/>
              </w:rPr>
            </w:pPr>
            <w:r w:rsidRPr="001548C7">
              <w:rPr>
                <w:rFonts w:ascii="Times New Roman" w:hAnsi="Times New Roman" w:cs="Times New Roman"/>
                <w:sz w:val="20"/>
              </w:rPr>
              <w:t>1 648,2</w:t>
            </w:r>
          </w:p>
        </w:tc>
        <w:tc>
          <w:tcPr>
            <w:tcW w:w="710" w:type="dxa"/>
            <w:tcBorders>
              <w:top w:val="single" w:sz="4" w:space="0" w:color="auto"/>
              <w:left w:val="nil"/>
              <w:bottom w:val="nil"/>
              <w:right w:val="single" w:sz="4" w:space="0" w:color="auto"/>
              <w:tl2br w:val="nil"/>
              <w:tr2bl w:val="nil"/>
            </w:tcBorders>
            <w:tcMar>
              <w:left w:w="0" w:type="dxa"/>
              <w:right w:w="28" w:type="dxa"/>
            </w:tcMar>
            <w:textDirection w:val="lrTb"/>
            <w:vAlign w:val="bottom"/>
          </w:tcPr>
          <w:p w:rsidR="00DD799E" w:rsidRPr="001548C7" w:rsidP="00DD799E">
            <w:pPr>
              <w:spacing w:before="20" w:after="20"/>
              <w:ind w:left="-70" w:right="-301" w:hanging="324"/>
              <w:jc w:val="center"/>
              <w:rPr>
                <w:rFonts w:ascii="Times New Roman" w:hAnsi="Times New Roman" w:cs="Times New Roman"/>
                <w:sz w:val="20"/>
              </w:rPr>
            </w:pPr>
            <w:r>
              <w:rPr>
                <w:rFonts w:ascii="Times New Roman" w:hAnsi="Times New Roman" w:cs="Times New Roman"/>
                <w:sz w:val="20"/>
              </w:rPr>
              <w:t xml:space="preserve">    </w:t>
            </w:r>
            <w:r w:rsidRPr="001548C7">
              <w:rPr>
                <w:rFonts w:ascii="Times New Roman" w:hAnsi="Times New Roman" w:cs="Times New Roman"/>
                <w:sz w:val="20"/>
              </w:rPr>
              <w:t>1 767,7</w:t>
            </w:r>
          </w:p>
        </w:tc>
      </w:tr>
      <w:tr>
        <w:tblPrEx>
          <w:tblW w:w="8352" w:type="dxa"/>
          <w:jc w:val="center"/>
          <w:tblCellMar>
            <w:top w:w="0" w:type="dxa"/>
            <w:left w:w="70" w:type="dxa"/>
            <w:bottom w:w="0" w:type="dxa"/>
            <w:right w:w="70" w:type="dxa"/>
          </w:tblCellMar>
        </w:tblPrEx>
        <w:trPr>
          <w:trHeight w:val="358"/>
          <w:jc w:val="center"/>
        </w:trPr>
        <w:tc>
          <w:tcPr>
            <w:tcW w:w="3804" w:type="dxa"/>
            <w:tcBorders>
              <w:top w:val="nil"/>
              <w:left w:val="single" w:sz="4" w:space="0" w:color="auto"/>
              <w:bottom w:val="nil"/>
              <w:right w:val="single" w:sz="4" w:space="0" w:color="auto"/>
              <w:tl2br w:val="nil"/>
              <w:tr2bl w:val="nil"/>
            </w:tcBorders>
            <w:textDirection w:val="lrTb"/>
            <w:vAlign w:val="center"/>
          </w:tcPr>
          <w:p w:rsidR="00DD799E" w:rsidRPr="001548C7" w:rsidP="00DD799E">
            <w:pPr>
              <w:spacing w:before="20" w:after="20"/>
              <w:rPr>
                <w:rFonts w:ascii="Times New Roman" w:hAnsi="Times New Roman" w:cs="Times New Roman"/>
                <w:sz w:val="20"/>
              </w:rPr>
            </w:pPr>
            <w:r w:rsidRPr="001548C7">
              <w:rPr>
                <w:rFonts w:ascii="Times New Roman" w:hAnsi="Times New Roman" w:cs="Times New Roman"/>
                <w:sz w:val="20"/>
              </w:rPr>
              <w:t>Tempo rastu HDP (s. c., %)</w:t>
            </w:r>
          </w:p>
        </w:tc>
        <w:tc>
          <w:tcPr>
            <w:tcW w:w="1133" w:type="dxa"/>
            <w:tcBorders>
              <w:top w:val="nil"/>
              <w:left w:val="single" w:sz="4" w:space="0" w:color="auto"/>
              <w:bottom w:val="nil"/>
              <w:right w:val="single" w:sz="4" w:space="0" w:color="auto"/>
              <w:tl2br w:val="nil"/>
              <w:tr2bl w:val="nil"/>
            </w:tcBorders>
            <w:textDirection w:val="lrTb"/>
            <w:vAlign w:val="center"/>
          </w:tcPr>
          <w:p w:rsidR="00DD799E" w:rsidRPr="001548C7" w:rsidP="00DD799E">
            <w:pPr>
              <w:spacing w:before="20" w:after="20"/>
              <w:jc w:val="right"/>
              <w:rPr>
                <w:rFonts w:ascii="Times New Roman" w:hAnsi="Times New Roman" w:cs="Times New Roman"/>
                <w:sz w:val="20"/>
              </w:rPr>
            </w:pPr>
            <w:r w:rsidRPr="001548C7">
              <w:rPr>
                <w:rFonts w:ascii="Times New Roman" w:hAnsi="Times New Roman" w:cs="Times New Roman"/>
                <w:sz w:val="20"/>
              </w:rPr>
              <w:t>5,5</w:t>
            </w:r>
          </w:p>
        </w:tc>
        <w:tc>
          <w:tcPr>
            <w:tcW w:w="919" w:type="dxa"/>
            <w:tcBorders>
              <w:top w:val="nil"/>
              <w:left w:val="nil"/>
              <w:bottom w:val="nil"/>
              <w:right w:val="nil"/>
              <w:tl2br w:val="nil"/>
              <w:tr2bl w:val="nil"/>
            </w:tcBorders>
            <w:textDirection w:val="lrTb"/>
            <w:vAlign w:val="center"/>
          </w:tcPr>
          <w:p w:rsidR="00DD799E" w:rsidRPr="001548C7" w:rsidP="00DD799E">
            <w:pPr>
              <w:spacing w:before="20" w:after="20"/>
              <w:jc w:val="right"/>
              <w:rPr>
                <w:rFonts w:ascii="Times New Roman" w:hAnsi="Times New Roman" w:cs="Times New Roman"/>
                <w:sz w:val="20"/>
              </w:rPr>
            </w:pPr>
            <w:r w:rsidRPr="001548C7">
              <w:rPr>
                <w:rFonts w:ascii="Times New Roman" w:hAnsi="Times New Roman" w:cs="Times New Roman"/>
                <w:sz w:val="20"/>
              </w:rPr>
              <w:t>5,1</w:t>
            </w:r>
          </w:p>
        </w:tc>
        <w:tc>
          <w:tcPr>
            <w:tcW w:w="946" w:type="dxa"/>
            <w:tcBorders>
              <w:top w:val="nil"/>
              <w:left w:val="nil"/>
              <w:bottom w:val="nil"/>
              <w:right w:val="nil"/>
              <w:tl2br w:val="nil"/>
              <w:tr2bl w:val="nil"/>
            </w:tcBorders>
            <w:textDirection w:val="lrTb"/>
            <w:vAlign w:val="center"/>
          </w:tcPr>
          <w:p w:rsidR="00DD799E" w:rsidRPr="001548C7" w:rsidP="00DD799E">
            <w:pPr>
              <w:spacing w:before="20" w:after="20"/>
              <w:jc w:val="right"/>
              <w:rPr>
                <w:rFonts w:ascii="Times New Roman" w:hAnsi="Times New Roman" w:cs="Times New Roman"/>
                <w:sz w:val="20"/>
              </w:rPr>
            </w:pPr>
            <w:r w:rsidRPr="001548C7">
              <w:rPr>
                <w:rFonts w:ascii="Times New Roman" w:hAnsi="Times New Roman" w:cs="Times New Roman"/>
                <w:sz w:val="20"/>
              </w:rPr>
              <w:t>5,4</w:t>
            </w:r>
          </w:p>
        </w:tc>
        <w:tc>
          <w:tcPr>
            <w:tcW w:w="840" w:type="dxa"/>
            <w:tcBorders>
              <w:top w:val="nil"/>
              <w:left w:val="nil"/>
              <w:bottom w:val="nil"/>
              <w:right w:val="nil"/>
              <w:tl2br w:val="nil"/>
              <w:tr2bl w:val="nil"/>
            </w:tcBorders>
            <w:textDirection w:val="lrTb"/>
            <w:vAlign w:val="center"/>
          </w:tcPr>
          <w:p w:rsidR="00DD799E" w:rsidRPr="001548C7" w:rsidP="00DD799E">
            <w:pPr>
              <w:spacing w:before="20" w:after="20"/>
              <w:jc w:val="right"/>
              <w:rPr>
                <w:rFonts w:ascii="Times New Roman" w:hAnsi="Times New Roman" w:cs="Times New Roman"/>
                <w:sz w:val="20"/>
              </w:rPr>
            </w:pPr>
            <w:r w:rsidRPr="001548C7">
              <w:rPr>
                <w:rFonts w:ascii="Times New Roman" w:hAnsi="Times New Roman" w:cs="Times New Roman"/>
                <w:sz w:val="20"/>
              </w:rPr>
              <w:t>6,1</w:t>
            </w:r>
          </w:p>
        </w:tc>
        <w:tc>
          <w:tcPr>
            <w:tcW w:w="710" w:type="dxa"/>
            <w:tcBorders>
              <w:top w:val="nil"/>
              <w:left w:val="nil"/>
              <w:bottom w:val="nil"/>
              <w:right w:val="single" w:sz="4" w:space="0" w:color="auto"/>
              <w:tl2br w:val="nil"/>
              <w:tr2bl w:val="nil"/>
            </w:tcBorders>
            <w:textDirection w:val="lrTb"/>
            <w:vAlign w:val="center"/>
          </w:tcPr>
          <w:p w:rsidR="00DD799E" w:rsidRPr="001548C7" w:rsidP="00DD799E">
            <w:pPr>
              <w:spacing w:before="20" w:after="20"/>
              <w:jc w:val="center"/>
              <w:rPr>
                <w:rFonts w:ascii="Times New Roman" w:hAnsi="Times New Roman" w:cs="Times New Roman"/>
                <w:sz w:val="20"/>
              </w:rPr>
            </w:pPr>
            <w:r>
              <w:rPr>
                <w:rFonts w:ascii="Times New Roman" w:hAnsi="Times New Roman" w:cs="Times New Roman"/>
                <w:sz w:val="20"/>
              </w:rPr>
              <w:t xml:space="preserve">      </w:t>
            </w:r>
            <w:r w:rsidRPr="001548C7">
              <w:rPr>
                <w:rFonts w:ascii="Times New Roman" w:hAnsi="Times New Roman" w:cs="Times New Roman"/>
                <w:sz w:val="20"/>
              </w:rPr>
              <w:t>5,6</w:t>
            </w:r>
          </w:p>
        </w:tc>
      </w:tr>
      <w:tr>
        <w:tblPrEx>
          <w:tblW w:w="8352" w:type="dxa"/>
          <w:jc w:val="center"/>
          <w:tblCellMar>
            <w:top w:w="0" w:type="dxa"/>
            <w:left w:w="70" w:type="dxa"/>
            <w:bottom w:w="0" w:type="dxa"/>
            <w:right w:w="70" w:type="dxa"/>
          </w:tblCellMar>
        </w:tblPrEx>
        <w:trPr>
          <w:trHeight w:val="349"/>
          <w:jc w:val="center"/>
        </w:trPr>
        <w:tc>
          <w:tcPr>
            <w:tcW w:w="3804" w:type="dxa"/>
            <w:tcBorders>
              <w:top w:val="nil"/>
              <w:left w:val="single" w:sz="4" w:space="0" w:color="auto"/>
              <w:bottom w:val="nil"/>
              <w:right w:val="single" w:sz="4" w:space="0" w:color="auto"/>
              <w:tl2br w:val="nil"/>
              <w:tr2bl w:val="nil"/>
            </w:tcBorders>
            <w:textDirection w:val="lrTb"/>
            <w:vAlign w:val="center"/>
          </w:tcPr>
          <w:p w:rsidR="00DD799E" w:rsidRPr="001548C7" w:rsidP="00DD799E">
            <w:pPr>
              <w:spacing w:before="20" w:after="20"/>
              <w:rPr>
                <w:rFonts w:ascii="Times New Roman" w:hAnsi="Times New Roman" w:cs="Times New Roman"/>
                <w:sz w:val="20"/>
              </w:rPr>
            </w:pPr>
            <w:r w:rsidRPr="001548C7">
              <w:rPr>
                <w:rFonts w:ascii="Times New Roman" w:hAnsi="Times New Roman" w:cs="Times New Roman"/>
                <w:sz w:val="20"/>
              </w:rPr>
              <w:t>Priemerná ročná miera inflácie (%)</w:t>
            </w:r>
          </w:p>
        </w:tc>
        <w:tc>
          <w:tcPr>
            <w:tcW w:w="1133" w:type="dxa"/>
            <w:tcBorders>
              <w:top w:val="nil"/>
              <w:left w:val="single" w:sz="4" w:space="0" w:color="auto"/>
              <w:bottom w:val="nil"/>
              <w:right w:val="single" w:sz="4" w:space="0" w:color="auto"/>
              <w:tl2br w:val="nil"/>
              <w:tr2bl w:val="nil"/>
            </w:tcBorders>
            <w:textDirection w:val="lrTb"/>
            <w:vAlign w:val="center"/>
          </w:tcPr>
          <w:p w:rsidR="00DD799E" w:rsidRPr="001548C7" w:rsidP="00DD799E">
            <w:pPr>
              <w:spacing w:before="20" w:after="20"/>
              <w:jc w:val="right"/>
              <w:rPr>
                <w:rFonts w:ascii="Times New Roman" w:hAnsi="Times New Roman" w:cs="Times New Roman"/>
                <w:sz w:val="20"/>
              </w:rPr>
            </w:pPr>
            <w:r w:rsidRPr="001548C7">
              <w:rPr>
                <w:rFonts w:ascii="Times New Roman" w:hAnsi="Times New Roman" w:cs="Times New Roman"/>
                <w:sz w:val="20"/>
              </w:rPr>
              <w:t>7,5</w:t>
            </w:r>
          </w:p>
        </w:tc>
        <w:tc>
          <w:tcPr>
            <w:tcW w:w="919" w:type="dxa"/>
            <w:tcBorders>
              <w:top w:val="nil"/>
              <w:left w:val="nil"/>
              <w:bottom w:val="nil"/>
              <w:right w:val="nil"/>
              <w:tl2br w:val="nil"/>
              <w:tr2bl w:val="nil"/>
            </w:tcBorders>
            <w:textDirection w:val="lrTb"/>
            <w:vAlign w:val="center"/>
          </w:tcPr>
          <w:p w:rsidR="00DD799E" w:rsidRPr="001548C7" w:rsidP="00DD799E">
            <w:pPr>
              <w:spacing w:before="20" w:after="20"/>
              <w:jc w:val="right"/>
              <w:rPr>
                <w:rFonts w:ascii="Times New Roman" w:hAnsi="Times New Roman" w:cs="Times New Roman"/>
                <w:sz w:val="20"/>
              </w:rPr>
            </w:pPr>
            <w:r w:rsidRPr="001548C7">
              <w:rPr>
                <w:rFonts w:ascii="Times New Roman" w:hAnsi="Times New Roman" w:cs="Times New Roman"/>
                <w:sz w:val="20"/>
              </w:rPr>
              <w:t>2,8</w:t>
            </w:r>
          </w:p>
        </w:tc>
        <w:tc>
          <w:tcPr>
            <w:tcW w:w="946" w:type="dxa"/>
            <w:tcBorders>
              <w:top w:val="nil"/>
              <w:left w:val="nil"/>
              <w:bottom w:val="nil"/>
              <w:right w:val="nil"/>
              <w:tl2br w:val="nil"/>
              <w:tr2bl w:val="nil"/>
            </w:tcBorders>
            <w:textDirection w:val="lrTb"/>
            <w:vAlign w:val="center"/>
          </w:tcPr>
          <w:p w:rsidR="00DD799E" w:rsidRPr="001548C7" w:rsidP="00DD799E">
            <w:pPr>
              <w:spacing w:before="20" w:after="20"/>
              <w:jc w:val="right"/>
              <w:rPr>
                <w:rFonts w:ascii="Times New Roman" w:hAnsi="Times New Roman" w:cs="Times New Roman"/>
                <w:sz w:val="20"/>
              </w:rPr>
            </w:pPr>
            <w:r w:rsidRPr="001548C7">
              <w:rPr>
                <w:rFonts w:ascii="Times New Roman" w:hAnsi="Times New Roman" w:cs="Times New Roman"/>
                <w:sz w:val="20"/>
              </w:rPr>
              <w:t>2,5</w:t>
            </w:r>
          </w:p>
        </w:tc>
        <w:tc>
          <w:tcPr>
            <w:tcW w:w="840" w:type="dxa"/>
            <w:tcBorders>
              <w:top w:val="nil"/>
              <w:left w:val="nil"/>
              <w:bottom w:val="nil"/>
              <w:right w:val="nil"/>
              <w:tl2br w:val="nil"/>
              <w:tr2bl w:val="nil"/>
            </w:tcBorders>
            <w:textDirection w:val="lrTb"/>
            <w:vAlign w:val="center"/>
          </w:tcPr>
          <w:p w:rsidR="00DD799E" w:rsidRPr="001548C7" w:rsidP="00DD799E">
            <w:pPr>
              <w:spacing w:before="20" w:after="20"/>
              <w:jc w:val="right"/>
              <w:rPr>
                <w:rFonts w:ascii="Times New Roman" w:hAnsi="Times New Roman" w:cs="Times New Roman"/>
                <w:sz w:val="20"/>
              </w:rPr>
            </w:pPr>
            <w:r w:rsidRPr="001548C7">
              <w:rPr>
                <w:rFonts w:ascii="Times New Roman" w:hAnsi="Times New Roman" w:cs="Times New Roman"/>
                <w:sz w:val="20"/>
              </w:rPr>
              <w:t>2,0</w:t>
            </w:r>
          </w:p>
        </w:tc>
        <w:tc>
          <w:tcPr>
            <w:tcW w:w="710" w:type="dxa"/>
            <w:tcBorders>
              <w:top w:val="nil"/>
              <w:left w:val="nil"/>
              <w:bottom w:val="nil"/>
              <w:right w:val="single" w:sz="4" w:space="0" w:color="auto"/>
              <w:tl2br w:val="nil"/>
              <w:tr2bl w:val="nil"/>
            </w:tcBorders>
            <w:textDirection w:val="lrTb"/>
            <w:vAlign w:val="center"/>
          </w:tcPr>
          <w:p w:rsidR="00DD799E" w:rsidRPr="001548C7" w:rsidP="00DD799E">
            <w:pPr>
              <w:spacing w:before="20" w:after="20"/>
              <w:jc w:val="center"/>
              <w:rPr>
                <w:rFonts w:ascii="Times New Roman" w:hAnsi="Times New Roman" w:cs="Times New Roman"/>
                <w:sz w:val="20"/>
              </w:rPr>
            </w:pPr>
            <w:r>
              <w:rPr>
                <w:rFonts w:ascii="Times New Roman" w:hAnsi="Times New Roman" w:cs="Times New Roman"/>
                <w:sz w:val="20"/>
              </w:rPr>
              <w:t xml:space="preserve">      </w:t>
            </w:r>
            <w:r w:rsidRPr="001548C7">
              <w:rPr>
                <w:rFonts w:ascii="Times New Roman" w:hAnsi="Times New Roman" w:cs="Times New Roman"/>
                <w:sz w:val="20"/>
              </w:rPr>
              <w:t>2,0</w:t>
            </w:r>
          </w:p>
        </w:tc>
      </w:tr>
      <w:tr>
        <w:tblPrEx>
          <w:tblW w:w="8352" w:type="dxa"/>
          <w:jc w:val="center"/>
          <w:tblCellMar>
            <w:top w:w="0" w:type="dxa"/>
            <w:left w:w="70" w:type="dxa"/>
            <w:bottom w:w="0" w:type="dxa"/>
            <w:right w:w="70" w:type="dxa"/>
          </w:tblCellMar>
        </w:tblPrEx>
        <w:trPr>
          <w:trHeight w:val="166"/>
          <w:jc w:val="center"/>
        </w:trPr>
        <w:tc>
          <w:tcPr>
            <w:tcW w:w="3804" w:type="dxa"/>
            <w:tcBorders>
              <w:top w:val="nil"/>
              <w:left w:val="single" w:sz="4" w:space="0" w:color="auto"/>
              <w:bottom w:val="nil"/>
              <w:right w:val="single" w:sz="4" w:space="0" w:color="auto"/>
              <w:tl2br w:val="nil"/>
              <w:tr2bl w:val="nil"/>
            </w:tcBorders>
            <w:textDirection w:val="lrTb"/>
            <w:vAlign w:val="center"/>
          </w:tcPr>
          <w:p w:rsidR="00DD799E" w:rsidRPr="001548C7" w:rsidP="00DD799E">
            <w:pPr>
              <w:spacing w:before="20" w:after="20"/>
              <w:rPr>
                <w:rFonts w:ascii="Times New Roman" w:hAnsi="Times New Roman" w:cs="Times New Roman"/>
                <w:sz w:val="20"/>
              </w:rPr>
            </w:pPr>
            <w:r w:rsidRPr="001548C7">
              <w:rPr>
                <w:rFonts w:ascii="Times New Roman" w:hAnsi="Times New Roman" w:cs="Times New Roman"/>
                <w:sz w:val="20"/>
              </w:rPr>
              <w:t>Produktivita</w:t>
            </w:r>
            <w:r w:rsidRPr="001548C7">
              <w:rPr>
                <w:rFonts w:ascii="Times New Roman" w:hAnsi="Times New Roman" w:cs="Times New Roman"/>
                <w:sz w:val="20"/>
              </w:rPr>
              <w:t xml:space="preserve"> práce (reálny rast, %)</w:t>
            </w:r>
          </w:p>
        </w:tc>
        <w:tc>
          <w:tcPr>
            <w:tcW w:w="1133" w:type="dxa"/>
            <w:tcBorders>
              <w:top w:val="nil"/>
              <w:left w:val="single" w:sz="4" w:space="0" w:color="auto"/>
              <w:bottom w:val="nil"/>
              <w:right w:val="single" w:sz="4" w:space="0" w:color="auto"/>
              <w:tl2br w:val="nil"/>
              <w:tr2bl w:val="nil"/>
            </w:tcBorders>
            <w:textDirection w:val="lrTb"/>
            <w:vAlign w:val="center"/>
          </w:tcPr>
          <w:p w:rsidR="00DD799E" w:rsidRPr="001548C7" w:rsidP="00DD799E">
            <w:pPr>
              <w:spacing w:before="20" w:after="20"/>
              <w:jc w:val="right"/>
              <w:rPr>
                <w:rFonts w:ascii="Times New Roman" w:hAnsi="Times New Roman" w:cs="Times New Roman"/>
                <w:sz w:val="20"/>
              </w:rPr>
            </w:pPr>
            <w:r w:rsidRPr="001548C7">
              <w:rPr>
                <w:rFonts w:ascii="Times New Roman" w:hAnsi="Times New Roman" w:cs="Times New Roman"/>
                <w:sz w:val="20"/>
              </w:rPr>
              <w:t>5.2</w:t>
            </w:r>
          </w:p>
        </w:tc>
        <w:tc>
          <w:tcPr>
            <w:tcW w:w="919" w:type="dxa"/>
            <w:tcBorders>
              <w:top w:val="nil"/>
              <w:left w:val="nil"/>
              <w:bottom w:val="nil"/>
              <w:right w:val="nil"/>
              <w:tl2br w:val="nil"/>
              <w:tr2bl w:val="nil"/>
            </w:tcBorders>
            <w:textDirection w:val="lrTb"/>
            <w:vAlign w:val="center"/>
          </w:tcPr>
          <w:p w:rsidR="00DD799E" w:rsidRPr="001548C7" w:rsidP="00DD799E">
            <w:pPr>
              <w:spacing w:before="20" w:after="20"/>
              <w:jc w:val="right"/>
              <w:rPr>
                <w:rFonts w:ascii="Times New Roman" w:hAnsi="Times New Roman" w:cs="Times New Roman"/>
                <w:sz w:val="20"/>
              </w:rPr>
            </w:pPr>
            <w:r w:rsidRPr="001548C7">
              <w:rPr>
                <w:rFonts w:ascii="Times New Roman" w:hAnsi="Times New Roman" w:cs="Times New Roman"/>
                <w:sz w:val="20"/>
              </w:rPr>
              <w:t>3,3</w:t>
            </w:r>
          </w:p>
        </w:tc>
        <w:tc>
          <w:tcPr>
            <w:tcW w:w="946" w:type="dxa"/>
            <w:tcBorders>
              <w:top w:val="nil"/>
              <w:left w:val="nil"/>
              <w:bottom w:val="nil"/>
              <w:right w:val="nil"/>
              <w:tl2br w:val="nil"/>
              <w:tr2bl w:val="nil"/>
            </w:tcBorders>
            <w:textDirection w:val="lrTb"/>
            <w:vAlign w:val="center"/>
          </w:tcPr>
          <w:p w:rsidR="00DD799E" w:rsidRPr="001548C7" w:rsidP="00DD799E">
            <w:pPr>
              <w:spacing w:before="20" w:after="20"/>
              <w:jc w:val="right"/>
              <w:rPr>
                <w:rFonts w:ascii="Times New Roman" w:hAnsi="Times New Roman" w:cs="Times New Roman"/>
                <w:sz w:val="20"/>
              </w:rPr>
            </w:pPr>
            <w:r w:rsidRPr="001548C7">
              <w:rPr>
                <w:rFonts w:ascii="Times New Roman" w:hAnsi="Times New Roman" w:cs="Times New Roman"/>
                <w:sz w:val="20"/>
              </w:rPr>
              <w:t>4,4</w:t>
            </w:r>
          </w:p>
        </w:tc>
        <w:tc>
          <w:tcPr>
            <w:tcW w:w="840" w:type="dxa"/>
            <w:tcBorders>
              <w:top w:val="nil"/>
              <w:left w:val="nil"/>
              <w:bottom w:val="nil"/>
              <w:right w:val="nil"/>
              <w:tl2br w:val="nil"/>
              <w:tr2bl w:val="nil"/>
            </w:tcBorders>
            <w:textDirection w:val="lrTb"/>
            <w:vAlign w:val="center"/>
          </w:tcPr>
          <w:p w:rsidR="00DD799E" w:rsidRPr="001548C7" w:rsidP="00DD799E">
            <w:pPr>
              <w:spacing w:before="20" w:after="20"/>
              <w:jc w:val="right"/>
              <w:rPr>
                <w:rFonts w:ascii="Times New Roman" w:hAnsi="Times New Roman" w:cs="Times New Roman"/>
                <w:sz w:val="20"/>
              </w:rPr>
            </w:pPr>
            <w:r w:rsidRPr="001548C7">
              <w:rPr>
                <w:rFonts w:ascii="Times New Roman" w:hAnsi="Times New Roman" w:cs="Times New Roman"/>
                <w:sz w:val="20"/>
              </w:rPr>
              <w:t>5,3</w:t>
            </w:r>
          </w:p>
        </w:tc>
        <w:tc>
          <w:tcPr>
            <w:tcW w:w="710" w:type="dxa"/>
            <w:tcBorders>
              <w:top w:val="nil"/>
              <w:left w:val="nil"/>
              <w:bottom w:val="nil"/>
              <w:right w:val="single" w:sz="4" w:space="0" w:color="auto"/>
              <w:tl2br w:val="nil"/>
              <w:tr2bl w:val="nil"/>
            </w:tcBorders>
            <w:textDirection w:val="lrTb"/>
            <w:vAlign w:val="center"/>
          </w:tcPr>
          <w:p w:rsidR="00DD799E" w:rsidRPr="001548C7" w:rsidP="00DD799E">
            <w:pPr>
              <w:spacing w:before="20" w:after="20"/>
              <w:jc w:val="center"/>
              <w:rPr>
                <w:rFonts w:ascii="Times New Roman" w:hAnsi="Times New Roman" w:cs="Times New Roman"/>
                <w:sz w:val="20"/>
              </w:rPr>
            </w:pPr>
            <w:r>
              <w:rPr>
                <w:rFonts w:ascii="Times New Roman" w:hAnsi="Times New Roman" w:cs="Times New Roman"/>
                <w:sz w:val="20"/>
              </w:rPr>
              <w:t xml:space="preserve">      </w:t>
            </w:r>
            <w:r w:rsidRPr="001548C7">
              <w:rPr>
                <w:rFonts w:ascii="Times New Roman" w:hAnsi="Times New Roman" w:cs="Times New Roman"/>
                <w:sz w:val="20"/>
              </w:rPr>
              <w:t>4,7</w:t>
            </w:r>
          </w:p>
        </w:tc>
      </w:tr>
      <w:tr>
        <w:tblPrEx>
          <w:tblW w:w="8352" w:type="dxa"/>
          <w:jc w:val="center"/>
          <w:tblCellMar>
            <w:top w:w="0" w:type="dxa"/>
            <w:left w:w="70" w:type="dxa"/>
            <w:bottom w:w="0" w:type="dxa"/>
            <w:right w:w="70" w:type="dxa"/>
          </w:tblCellMar>
        </w:tblPrEx>
        <w:trPr>
          <w:trHeight w:hRule="auto" w:val="0"/>
          <w:jc w:val="center"/>
        </w:trPr>
        <w:tc>
          <w:tcPr>
            <w:tcW w:w="3804" w:type="dxa"/>
            <w:tcBorders>
              <w:top w:val="nil"/>
              <w:left w:val="single" w:sz="4" w:space="0" w:color="auto"/>
              <w:bottom w:val="single" w:sz="4" w:space="0" w:color="auto"/>
              <w:right w:val="single" w:sz="4" w:space="0" w:color="auto"/>
              <w:tl2br w:val="nil"/>
              <w:tr2bl w:val="nil"/>
            </w:tcBorders>
            <w:textDirection w:val="lrTb"/>
            <w:vAlign w:val="center"/>
          </w:tcPr>
          <w:p w:rsidR="00DD799E" w:rsidRPr="001548C7" w:rsidP="00DD799E">
            <w:pPr>
              <w:pStyle w:val="FootnoteText"/>
              <w:spacing w:before="20" w:after="20"/>
              <w:rPr>
                <w:rFonts w:ascii="Times New Roman" w:hAnsi="Times New Roman" w:cs="Times New Roman"/>
              </w:rPr>
            </w:pPr>
            <w:r w:rsidRPr="001548C7">
              <w:rPr>
                <w:rFonts w:ascii="Times New Roman" w:hAnsi="Times New Roman" w:cs="Times New Roman"/>
              </w:rPr>
              <w:t>Priemerná miera evidovanej nezamestnanosti (%)</w:t>
            </w:r>
            <w:r>
              <w:rPr>
                <w:rFonts w:ascii="Times New Roman" w:hAnsi="Times New Roman" w:cs="Times New Roman"/>
              </w:rPr>
              <w:t xml:space="preserve"> </w:t>
            </w:r>
            <w:r w:rsidRPr="001548C7">
              <w:rPr>
                <w:rFonts w:ascii="Times New Roman" w:hAnsi="Times New Roman" w:cs="Times New Roman"/>
              </w:rPr>
              <w:t>(z disponibilného počtu podľa ÚPSVaR)</w:t>
            </w:r>
          </w:p>
        </w:tc>
        <w:tc>
          <w:tcPr>
            <w:tcW w:w="1133" w:type="dxa"/>
            <w:tcBorders>
              <w:top w:val="nil"/>
              <w:left w:val="single" w:sz="4" w:space="0" w:color="auto"/>
              <w:bottom w:val="single" w:sz="4" w:space="0" w:color="auto"/>
              <w:right w:val="single" w:sz="4" w:space="0" w:color="auto"/>
              <w:tl2br w:val="nil"/>
              <w:tr2bl w:val="nil"/>
            </w:tcBorders>
            <w:textDirection w:val="lrTb"/>
            <w:vAlign w:val="center"/>
          </w:tcPr>
          <w:p w:rsidR="00DD799E" w:rsidRPr="001548C7" w:rsidP="00DD799E">
            <w:pPr>
              <w:spacing w:before="20" w:after="20"/>
              <w:jc w:val="right"/>
              <w:rPr>
                <w:rFonts w:ascii="Times New Roman" w:hAnsi="Times New Roman" w:cs="Times New Roman"/>
                <w:sz w:val="20"/>
              </w:rPr>
            </w:pPr>
            <w:r w:rsidRPr="001548C7">
              <w:rPr>
                <w:rFonts w:ascii="Times New Roman" w:hAnsi="Times New Roman" w:cs="Times New Roman"/>
                <w:sz w:val="20"/>
              </w:rPr>
              <w:t>14,3</w:t>
            </w:r>
          </w:p>
        </w:tc>
        <w:tc>
          <w:tcPr>
            <w:tcW w:w="919" w:type="dxa"/>
            <w:tcBorders>
              <w:top w:val="nil"/>
              <w:left w:val="nil"/>
              <w:bottom w:val="single" w:sz="4" w:space="0" w:color="auto"/>
              <w:right w:val="nil"/>
              <w:tl2br w:val="nil"/>
              <w:tr2bl w:val="nil"/>
            </w:tcBorders>
            <w:textDirection w:val="lrTb"/>
            <w:vAlign w:val="center"/>
          </w:tcPr>
          <w:p w:rsidR="00DD799E" w:rsidRPr="001548C7" w:rsidP="00DD799E">
            <w:pPr>
              <w:spacing w:before="20" w:after="20"/>
              <w:jc w:val="right"/>
              <w:rPr>
                <w:rFonts w:ascii="Times New Roman" w:hAnsi="Times New Roman" w:cs="Times New Roman"/>
                <w:sz w:val="20"/>
              </w:rPr>
            </w:pPr>
            <w:r w:rsidRPr="001548C7">
              <w:rPr>
                <w:rFonts w:ascii="Times New Roman" w:hAnsi="Times New Roman" w:cs="Times New Roman"/>
                <w:sz w:val="20"/>
              </w:rPr>
              <w:t>11,9</w:t>
            </w:r>
          </w:p>
        </w:tc>
        <w:tc>
          <w:tcPr>
            <w:tcW w:w="946" w:type="dxa"/>
            <w:tcBorders>
              <w:top w:val="nil"/>
              <w:left w:val="nil"/>
              <w:bottom w:val="single" w:sz="4" w:space="0" w:color="auto"/>
              <w:right w:val="nil"/>
              <w:tl2br w:val="nil"/>
              <w:tr2bl w:val="nil"/>
            </w:tcBorders>
            <w:textDirection w:val="lrTb"/>
            <w:vAlign w:val="center"/>
          </w:tcPr>
          <w:p w:rsidR="00DD799E" w:rsidRPr="001548C7" w:rsidP="00DD799E">
            <w:pPr>
              <w:spacing w:before="20" w:after="20"/>
              <w:jc w:val="right"/>
              <w:rPr>
                <w:rFonts w:ascii="Times New Roman" w:hAnsi="Times New Roman" w:cs="Times New Roman"/>
                <w:sz w:val="20"/>
              </w:rPr>
            </w:pPr>
            <w:r w:rsidRPr="001548C7">
              <w:rPr>
                <w:rFonts w:ascii="Times New Roman" w:hAnsi="Times New Roman" w:cs="Times New Roman"/>
                <w:sz w:val="20"/>
              </w:rPr>
              <w:t>11,6</w:t>
            </w:r>
          </w:p>
        </w:tc>
        <w:tc>
          <w:tcPr>
            <w:tcW w:w="840" w:type="dxa"/>
            <w:tcBorders>
              <w:top w:val="nil"/>
              <w:left w:val="nil"/>
              <w:bottom w:val="single" w:sz="4" w:space="0" w:color="auto"/>
              <w:right w:val="nil"/>
              <w:tl2br w:val="nil"/>
              <w:tr2bl w:val="nil"/>
            </w:tcBorders>
            <w:textDirection w:val="lrTb"/>
            <w:vAlign w:val="center"/>
          </w:tcPr>
          <w:p w:rsidR="00DD799E" w:rsidRPr="001548C7" w:rsidP="00DD799E">
            <w:pPr>
              <w:spacing w:before="20" w:after="20"/>
              <w:jc w:val="right"/>
              <w:rPr>
                <w:rFonts w:ascii="Times New Roman" w:hAnsi="Times New Roman" w:cs="Times New Roman"/>
                <w:sz w:val="20"/>
              </w:rPr>
            </w:pPr>
            <w:r w:rsidRPr="001548C7">
              <w:rPr>
                <w:rFonts w:ascii="Times New Roman" w:hAnsi="Times New Roman" w:cs="Times New Roman"/>
                <w:sz w:val="20"/>
              </w:rPr>
              <w:t>11,4</w:t>
            </w:r>
          </w:p>
        </w:tc>
        <w:tc>
          <w:tcPr>
            <w:tcW w:w="710" w:type="dxa"/>
            <w:tcBorders>
              <w:top w:val="nil"/>
              <w:left w:val="nil"/>
              <w:bottom w:val="single" w:sz="4" w:space="0" w:color="auto"/>
              <w:right w:val="single" w:sz="4" w:space="0" w:color="auto"/>
              <w:tl2br w:val="nil"/>
              <w:tr2bl w:val="nil"/>
            </w:tcBorders>
            <w:textDirection w:val="lrTb"/>
            <w:vAlign w:val="center"/>
          </w:tcPr>
          <w:p w:rsidR="00DD799E" w:rsidRPr="001548C7" w:rsidP="00DD799E">
            <w:pPr>
              <w:spacing w:before="20" w:after="20"/>
              <w:jc w:val="center"/>
              <w:rPr>
                <w:rFonts w:ascii="Times New Roman" w:hAnsi="Times New Roman" w:cs="Times New Roman"/>
                <w:sz w:val="20"/>
              </w:rPr>
            </w:pPr>
            <w:r>
              <w:rPr>
                <w:rFonts w:ascii="Times New Roman" w:hAnsi="Times New Roman" w:cs="Times New Roman"/>
                <w:sz w:val="20"/>
              </w:rPr>
              <w:t xml:space="preserve">    </w:t>
            </w:r>
            <w:r w:rsidRPr="001548C7">
              <w:rPr>
                <w:rFonts w:ascii="Times New Roman" w:hAnsi="Times New Roman" w:cs="Times New Roman"/>
                <w:sz w:val="20"/>
              </w:rPr>
              <w:t>11,1</w:t>
            </w:r>
          </w:p>
        </w:tc>
      </w:tr>
    </w:tbl>
    <w:p w:rsidR="00DD799E" w:rsidP="00DD799E">
      <w:pPr>
        <w:spacing w:before="120"/>
        <w:rPr>
          <w:rFonts w:ascii="Times New Roman" w:hAnsi="Times New Roman" w:cs="Times New Roman"/>
          <w:sz w:val="20"/>
          <w:szCs w:val="20"/>
        </w:rPr>
      </w:pPr>
      <w:r>
        <w:rPr>
          <w:rFonts w:ascii="Times New Roman" w:hAnsi="Times New Roman" w:cs="Times New Roman"/>
          <w:sz w:val="20"/>
          <w:szCs w:val="20"/>
        </w:rPr>
        <w:t xml:space="preserve">       </w:t>
      </w:r>
      <w:r w:rsidRPr="00EB3526">
        <w:rPr>
          <w:rFonts w:ascii="Times New Roman" w:hAnsi="Times New Roman" w:cs="Times New Roman"/>
          <w:sz w:val="20"/>
          <w:szCs w:val="20"/>
        </w:rPr>
        <w:t>Zdroj: M</w:t>
      </w:r>
      <w:r>
        <w:rPr>
          <w:rFonts w:ascii="Times New Roman" w:hAnsi="Times New Roman" w:cs="Times New Roman"/>
          <w:sz w:val="20"/>
          <w:szCs w:val="20"/>
        </w:rPr>
        <w:t>inisterstvo financií</w:t>
      </w:r>
      <w:r w:rsidRPr="00EB3526">
        <w:rPr>
          <w:rFonts w:ascii="Times New Roman" w:hAnsi="Times New Roman" w:cs="Times New Roman"/>
          <w:sz w:val="20"/>
          <w:szCs w:val="20"/>
        </w:rPr>
        <w:t xml:space="preserve"> SR</w:t>
      </w:r>
    </w:p>
    <w:p w:rsidR="00DD799E" w:rsidRPr="001548C7" w:rsidP="00DD799E">
      <w:pPr>
        <w:spacing w:before="120"/>
        <w:rPr>
          <w:rFonts w:ascii="Times New Roman" w:hAnsi="Times New Roman" w:cs="Times New Roman"/>
          <w:sz w:val="22"/>
          <w:szCs w:val="22"/>
        </w:rPr>
      </w:pPr>
    </w:p>
    <w:p w:rsidR="00DD799E" w:rsidRPr="00AA6AB2" w:rsidP="00DD799E">
      <w:pPr>
        <w:spacing w:line="360" w:lineRule="auto"/>
        <w:ind w:firstLine="708"/>
        <w:jc w:val="both"/>
        <w:rPr>
          <w:rFonts w:ascii="Times New Roman" w:hAnsi="Times New Roman" w:cs="Times New Roman"/>
          <w:szCs w:val="22"/>
        </w:rPr>
      </w:pPr>
      <w:r w:rsidRPr="00AA6AB2">
        <w:rPr>
          <w:rFonts w:ascii="Times New Roman" w:hAnsi="Times New Roman" w:cs="Times New Roman"/>
          <w:szCs w:val="22"/>
        </w:rPr>
        <w:t xml:space="preserve">Podľa prognózy sa predpokladalo, že ekonomika SR sa nachádza približne na úrovni svojho potenciálneho produktu a v rokoch 2006 a 2007 mierne prevýši svoju potenciálnu úroveň cca o 0,2 % resp. 0,1 % s uzavretím medzery od roku 2008. Očakávalo sa, že vysoký rast ekonomiky bude výsledkom štrukturálnych zmien na ponukovej strane (najmä v automobilovom priemysle), ktoré sa premietnu do vyššieho rastu potenciálneho produktu. Odhady hodnôt produkčnej medzery neznamenali riziko pre menovú politiku; navyše, fiškálna politika by mala v tých rokoch pôsobiť relatívne </w:t>
      </w:r>
      <w:r w:rsidRPr="00AA6AB2">
        <w:rPr>
          <w:rFonts w:ascii="Times New Roman" w:hAnsi="Times New Roman" w:cs="Times New Roman"/>
          <w:szCs w:val="22"/>
        </w:rPr>
        <w:t>reštriktívne, v súlade s deklarovanými zámermi v dosahovaní Maastrichtských kritérií (ich plnenie najneskôr v roku 2007).</w:t>
      </w:r>
    </w:p>
    <w:p w:rsidR="00DD799E" w:rsidRPr="00AA6AB2" w:rsidP="00DD799E">
      <w:pPr>
        <w:spacing w:line="360" w:lineRule="auto"/>
        <w:ind w:firstLine="708"/>
        <w:jc w:val="both"/>
        <w:rPr>
          <w:rFonts w:ascii="Times New Roman" w:hAnsi="Times New Roman" w:cs="Times New Roman"/>
          <w:szCs w:val="22"/>
        </w:rPr>
      </w:pPr>
      <w:r w:rsidRPr="00AA6AB2">
        <w:rPr>
          <w:rFonts w:ascii="Times New Roman" w:hAnsi="Times New Roman" w:cs="Times New Roman"/>
          <w:szCs w:val="22"/>
        </w:rPr>
        <w:t xml:space="preserve">Očakávalo sa, že domáci dopyt bude v sledovanom horizonte naďalej podporený najmä rastom </w:t>
      </w:r>
      <w:r w:rsidRPr="00AA6AB2">
        <w:rPr>
          <w:rFonts w:ascii="Times New Roman" w:hAnsi="Times New Roman" w:cs="Times New Roman"/>
          <w:bCs/>
          <w:szCs w:val="22"/>
        </w:rPr>
        <w:t>konečnej spotreby domácností</w:t>
      </w:r>
      <w:r w:rsidRPr="00AA6AB2">
        <w:rPr>
          <w:rFonts w:ascii="Times New Roman" w:hAnsi="Times New Roman" w:cs="Times New Roman"/>
          <w:szCs w:val="22"/>
        </w:rPr>
        <w:t xml:space="preserve">, ktorý by sa mal pohybovať v intervale medzi 4,1 % a 5,2 %. Klesajúca miera inflácie, reálny rast produktivity práce, klesajúce úrokové sadzby a pozitívne výsledky hospodárenia podnikov budú vytvárať predpoklady pre reálny rast priemerných miezd, zamestnanosti a disponibilných dôchodkov. V roku 2005 rast reálnej mzdy krátkodobo predbehol rast produktivity práce. Išlo však len o efekt spôsobený úpravou nominálnych miezd o minuloročnú (7,5 %) a pôvodne očakávanú mieru inflácie. Predpokladalo sa, že v roku 2006 tento efekt nebude pôsobiť; rast miezd sa mal opäť dostať pod úroveň rastu produktivity, a preto sa neočakávali inflačné tlaky vyvolané nadmerným dopytom, príp. stratou konkurencieschopnosti. </w:t>
      </w:r>
    </w:p>
    <w:p w:rsidR="00DD799E" w:rsidRPr="00AA6AB2" w:rsidP="00DD799E">
      <w:pPr>
        <w:spacing w:line="360" w:lineRule="auto"/>
        <w:ind w:firstLine="708"/>
        <w:jc w:val="both"/>
        <w:rPr>
          <w:rFonts w:ascii="Times New Roman" w:hAnsi="Times New Roman" w:cs="Times New Roman"/>
          <w:szCs w:val="22"/>
        </w:rPr>
      </w:pPr>
      <w:r w:rsidRPr="00AA6AB2">
        <w:rPr>
          <w:rFonts w:ascii="Times New Roman" w:hAnsi="Times New Roman" w:cs="Times New Roman"/>
          <w:szCs w:val="22"/>
        </w:rPr>
        <w:t>Ďalším predpokladom bolo, že ukončením procesu deregulácií a liberalizácie bude dynamika spotrebiteľských cien v rokoch 2006 až 2008 ovplyvňovaná najmä vývojom cien obchodovateľných tovarov a trhových služieb. Ceny potravín mala ovplyvniť realizácia reformy spoločnej poľnohospodárskej politiky EÚ, ktorá bola spojená s postupným každoročným poklesom intervenčných cien komodít až do roku 2007, čo malo zmierniť jej prorastový vplyv na zvyšovanie cien potravín. Ceny obchodovateľných tovarov mali mať stabilizovaný vývoj, ktorý mal kopírovať predovšetkým mierny cenový rast v eurozóne, pričom rast cien mala tlmiť apreciácia slovenskej koruny a rozvinuté konkurenčné prostredie. Ďalšie inflačné faktory, ako rast reálnych miezd, zamestnanosti a lepšie úverové možnosti nemali za daných podmienok predstavovať vážnejšie riziko vzniku dopytom ťaha</w:t>
      </w:r>
      <w:r w:rsidRPr="00AA6AB2">
        <w:rPr>
          <w:rFonts w:ascii="Times New Roman" w:hAnsi="Times New Roman" w:cs="Times New Roman"/>
          <w:szCs w:val="22"/>
        </w:rPr>
        <w:t>nej inflácie.</w:t>
      </w:r>
    </w:p>
    <w:p w:rsidR="00D455C2" w:rsidP="00DD799E">
      <w:pPr>
        <w:spacing w:line="360" w:lineRule="auto"/>
        <w:ind w:firstLine="708"/>
        <w:jc w:val="both"/>
        <w:rPr>
          <w:rFonts w:ascii="Times New Roman" w:hAnsi="Times New Roman" w:cs="Times New Roman"/>
          <w:szCs w:val="22"/>
        </w:rPr>
      </w:pPr>
      <w:r w:rsidRPr="00AA6AB2" w:rsidR="00DD799E">
        <w:rPr>
          <w:rFonts w:ascii="Times New Roman" w:hAnsi="Times New Roman" w:cs="Times New Roman"/>
          <w:szCs w:val="22"/>
        </w:rPr>
        <w:t xml:space="preserve">Projektovaný vysoký rast ekonomiky mal priniesť očakávaný progres aj na trhu práce. Avšak nesúlad vo vzdelanostnej štruktúre na strane dopytu a ponuky a regionálne rozdiely v tvorbe pracovných príležitostí sa mali eliminovať len postupne. Na rast ekonomiky a vývoj na trhu práce mal mierne vplývať aj demografický faktor – pretrvávajúci rast ekonomicky aktívneho obyvateľstva, avšak na nízkej úrovni; v porovnaní s krajinami EÚ faktor starnutia obyvateľstva nepredstavuje pre SR v sledovanom horizonte vážnejšie riziko. </w:t>
      </w:r>
    </w:p>
    <w:p w:rsidR="00DD799E" w:rsidP="00D455C2">
      <w:pPr>
        <w:spacing w:line="360" w:lineRule="auto"/>
        <w:jc w:val="both"/>
        <w:rPr>
          <w:rFonts w:ascii="Times New Roman" w:hAnsi="Times New Roman" w:cs="Times New Roman"/>
          <w:szCs w:val="22"/>
        </w:rPr>
      </w:pPr>
      <w:r w:rsidRPr="00AA6AB2">
        <w:rPr>
          <w:rFonts w:ascii="Times New Roman" w:hAnsi="Times New Roman" w:cs="Times New Roman"/>
          <w:szCs w:val="22"/>
        </w:rPr>
        <w:t>Miera nezamestnanosti sa mala znižovať postupne. Predpokladaná výška priemernej evidovanej miery nezamestnanosti v roku 2006 bola 11,6 %.</w:t>
      </w:r>
    </w:p>
    <w:p w:rsidR="00DE3128" w:rsidRPr="00AA6AB2" w:rsidP="00DD799E">
      <w:pPr>
        <w:rPr>
          <w:rFonts w:ascii="Times New Roman" w:hAnsi="Times New Roman" w:cs="Times New Roman"/>
          <w:szCs w:val="22"/>
        </w:rPr>
      </w:pPr>
    </w:p>
    <w:p w:rsidR="00DD799E" w:rsidRPr="00F057BD" w:rsidP="00DD799E">
      <w:pPr>
        <w:numPr>
          <w:ilvl w:val="1"/>
          <w:numId w:val="72"/>
        </w:numPr>
        <w:tabs>
          <w:tab w:val="left" w:pos="720"/>
        </w:tabs>
        <w:jc w:val="center"/>
        <w:rPr>
          <w:rFonts w:ascii="Times New Roman" w:hAnsi="Times New Roman" w:cs="Times New Roman"/>
          <w:b/>
          <w:bCs/>
        </w:rPr>
      </w:pPr>
      <w:r w:rsidRPr="00AA6AB2">
        <w:rPr>
          <w:rFonts w:ascii="Times New Roman" w:hAnsi="Times New Roman" w:cs="Times New Roman"/>
        </w:rPr>
        <w:t xml:space="preserve"> </w:t>
      </w:r>
      <w:r w:rsidRPr="00F057BD">
        <w:rPr>
          <w:rFonts w:ascii="Times New Roman" w:hAnsi="Times New Roman" w:cs="Times New Roman"/>
          <w:b/>
          <w:bCs/>
        </w:rPr>
        <w:t>Monitorovanie rozpočtového hospodárenia v priebehu roka</w:t>
      </w:r>
    </w:p>
    <w:p w:rsidR="00DD799E" w:rsidRPr="00AA6AB2" w:rsidP="00DD799E">
      <w:pPr>
        <w:rPr>
          <w:rFonts w:ascii="Times New Roman" w:hAnsi="Times New Roman" w:cs="Times New Roman"/>
          <w:szCs w:val="22"/>
        </w:rPr>
      </w:pPr>
    </w:p>
    <w:p w:rsidR="00DD799E" w:rsidRPr="00AA6AB2" w:rsidP="00DD799E">
      <w:pPr>
        <w:rPr>
          <w:rFonts w:ascii="Times New Roman" w:hAnsi="Times New Roman" w:cs="Times New Roman"/>
          <w:szCs w:val="22"/>
        </w:rPr>
      </w:pPr>
    </w:p>
    <w:p w:rsidR="00DD799E" w:rsidRPr="00AA6AB2" w:rsidP="00DD799E">
      <w:pPr>
        <w:spacing w:line="360" w:lineRule="auto"/>
        <w:ind w:firstLine="360"/>
        <w:jc w:val="both"/>
        <w:rPr>
          <w:rFonts w:ascii="Times New Roman" w:hAnsi="Times New Roman" w:cs="Times New Roman"/>
          <w:szCs w:val="22"/>
        </w:rPr>
      </w:pPr>
      <w:r w:rsidRPr="00AA6AB2">
        <w:rPr>
          <w:rFonts w:ascii="Times New Roman" w:hAnsi="Times New Roman" w:cs="Times New Roman"/>
          <w:szCs w:val="22"/>
        </w:rPr>
        <w:t xml:space="preserve">Ministerstvo financií SR v priebehu roka 2006 pravidelne vypracovávalo mesačné hodnotiace správy  o plnení štátneho rozpočtu na hotovostnej báze a štvrťročné správy o vývoji rozpočtu verejnej správy v metodike ESA 95. Správy sa zameriavali nielen na monitorovanie príjmovej a výdavkovej strany rozpočtu, ale aj na možné riziká, ktoré by mohli ovplyvniť plnenie schváleného rozpočtu. </w:t>
      </w:r>
    </w:p>
    <w:p w:rsidR="00DD799E" w:rsidRPr="00AA6AB2" w:rsidP="00DD799E">
      <w:pPr>
        <w:spacing w:line="360" w:lineRule="auto"/>
        <w:ind w:firstLine="360"/>
        <w:jc w:val="both"/>
        <w:rPr>
          <w:rFonts w:ascii="Times New Roman" w:hAnsi="Times New Roman" w:cs="Times New Roman"/>
          <w:szCs w:val="22"/>
        </w:rPr>
      </w:pPr>
      <w:r w:rsidRPr="00AA6AB2">
        <w:rPr>
          <w:rFonts w:ascii="Times New Roman" w:hAnsi="Times New Roman" w:cs="Times New Roman"/>
          <w:szCs w:val="22"/>
        </w:rPr>
        <w:t>Správy prezentovali najnovšie výsledky analýz a prognóz makroekonomického a fiškálneho vývoja a ich hodnotenie z hľadiska možných rizík plnenia rozpočtu v roku 2006. Zameriavali sa najmä na monitoring a analýzu tých faktorov a zložiek verejných financií, ktoré mohli potenciálne spôsobiť najväčší odklon od  schváleného rozpočtu na rok 2006, a tak najviac ovplyvniť úspešnosť dosiahnutia plánovaného cieľa vlády pre rok</w:t>
      </w:r>
      <w:r w:rsidRPr="00AA6AB2">
        <w:rPr>
          <w:rFonts w:ascii="Times New Roman" w:hAnsi="Times New Roman" w:cs="Times New Roman"/>
          <w:szCs w:val="22"/>
        </w:rPr>
        <w:t xml:space="preserve"> 2006.</w:t>
      </w:r>
    </w:p>
    <w:p w:rsidR="00DD799E" w:rsidRPr="00AA6AB2" w:rsidP="00DD799E">
      <w:pPr>
        <w:spacing w:line="360" w:lineRule="auto"/>
        <w:ind w:firstLine="360"/>
        <w:jc w:val="both"/>
        <w:rPr>
          <w:rFonts w:ascii="Times New Roman" w:hAnsi="Times New Roman" w:cs="Times New Roman"/>
          <w:szCs w:val="22"/>
        </w:rPr>
      </w:pPr>
      <w:r w:rsidRPr="00AA6AB2">
        <w:rPr>
          <w:rFonts w:ascii="Times New Roman" w:hAnsi="Times New Roman" w:cs="Times New Roman"/>
          <w:szCs w:val="22"/>
        </w:rPr>
        <w:t xml:space="preserve">Štvrťročné hodnotiace správy o vývoji rozpočtu verejnej správy boli súčasťou Správy o makroekonomickom prostredí a vývoji verejných financií SR a predikciách do konca roka. </w:t>
      </w:r>
      <w:r w:rsidRPr="00AA6AB2">
        <w:rPr>
          <w:rFonts w:ascii="Times New Roman" w:hAnsi="Times New Roman" w:cs="Times New Roman"/>
          <w:color w:val="000000"/>
          <w:szCs w:val="22"/>
        </w:rPr>
        <w:t>Ministerstvo financií SR pripravuje tento materiál</w:t>
      </w:r>
      <w:r>
        <w:rPr>
          <w:rStyle w:val="FootnoteReference"/>
          <w:rFonts w:ascii="Times New Roman" w:hAnsi="Times New Roman" w:cs="Times New Roman"/>
          <w:color w:val="000000"/>
          <w:szCs w:val="22"/>
          <w:rtl w:val="0"/>
        </w:rPr>
        <w:footnoteReference w:id="0"/>
      </w:r>
      <w:r w:rsidRPr="009C7C06" w:rsidR="009C7C06">
        <w:rPr>
          <w:rFonts w:ascii="Times New Roman" w:hAnsi="Times New Roman" w:cs="Times New Roman"/>
          <w:color w:val="000000"/>
          <w:vertAlign w:val="superscript"/>
        </w:rPr>
        <w:t>)</w:t>
      </w:r>
      <w:r w:rsidRPr="00AA6AB2">
        <w:rPr>
          <w:rFonts w:ascii="Times New Roman" w:hAnsi="Times New Roman" w:cs="Times New Roman"/>
          <w:color w:val="000000"/>
          <w:szCs w:val="22"/>
        </w:rPr>
        <w:t xml:space="preserve"> </w:t>
      </w:r>
      <w:r w:rsidRPr="00AA6AB2">
        <w:rPr>
          <w:rFonts w:ascii="Times New Roman" w:hAnsi="Times New Roman" w:cs="Times New Roman"/>
          <w:szCs w:val="22"/>
        </w:rPr>
        <w:t>pravidelne v štvrťročný</w:t>
      </w:r>
      <w:r w:rsidRPr="00AA6AB2">
        <w:rPr>
          <w:rFonts w:ascii="Times New Roman" w:hAnsi="Times New Roman" w:cs="Times New Roman"/>
          <w:szCs w:val="22"/>
        </w:rPr>
        <w:t xml:space="preserve">ch intervaloch na rokovanie vlády s </w:t>
      </w:r>
      <w:r w:rsidRPr="00AA6AB2">
        <w:rPr>
          <w:rFonts w:ascii="Times New Roman" w:hAnsi="Times New Roman" w:cs="Times New Roman"/>
          <w:color w:val="000000"/>
          <w:szCs w:val="22"/>
        </w:rPr>
        <w:t>cieľom analyzovať vývoj a posúdiť, či sa podarí splniť rozpočtovaný cieľ v oblasti deficitu verejnej správy. Ak je identifikované riziko prekročenia deficitu, súčasťou materiálu je návrh opatrení.</w:t>
      </w:r>
    </w:p>
    <w:p w:rsidR="00DD799E" w:rsidRPr="00AA6AB2" w:rsidP="00DD799E">
      <w:pPr>
        <w:spacing w:line="360" w:lineRule="auto"/>
        <w:ind w:firstLine="360"/>
        <w:jc w:val="both"/>
        <w:rPr>
          <w:rFonts w:ascii="Times New Roman" w:hAnsi="Times New Roman" w:cs="Times New Roman"/>
          <w:highlight w:val="lightGray"/>
        </w:rPr>
      </w:pPr>
    </w:p>
    <w:p w:rsidR="00DD799E" w:rsidP="00DD799E">
      <w:pPr>
        <w:pStyle w:val="Heading1"/>
        <w:rPr>
          <w:rFonts w:ascii="Times New Roman" w:hAnsi="Times New Roman" w:cs="Times New Roman"/>
          <w:bCs w:val="0"/>
        </w:rPr>
      </w:pPr>
      <w:r w:rsidR="000E783B">
        <w:rPr>
          <w:rFonts w:ascii="Times New Roman" w:hAnsi="Times New Roman" w:cs="Times New Roman"/>
          <w:bCs w:val="0"/>
        </w:rPr>
        <w:br w:type="page"/>
      </w:r>
      <w:r>
        <w:rPr>
          <w:rFonts w:ascii="Times New Roman" w:hAnsi="Times New Roman" w:cs="Times New Roman"/>
          <w:bCs w:val="0"/>
        </w:rPr>
        <w:t>2. Výsledky rozpočtov</w:t>
      </w:r>
      <w:r>
        <w:rPr>
          <w:rFonts w:ascii="Times New Roman" w:hAnsi="Times New Roman" w:cs="Times New Roman"/>
          <w:bCs w:val="0"/>
        </w:rPr>
        <w:t>ého hospodárenia</w:t>
      </w:r>
    </w:p>
    <w:p w:rsidR="00DD799E" w:rsidP="00DD799E">
      <w:pPr>
        <w:pStyle w:val="Heading1"/>
        <w:rPr>
          <w:rFonts w:ascii="Times New Roman" w:hAnsi="Times New Roman" w:cs="Times New Roman"/>
          <w:bCs w:val="0"/>
        </w:rPr>
      </w:pPr>
      <w:r w:rsidR="00C651EB">
        <w:rPr>
          <w:rFonts w:ascii="Times New Roman" w:hAnsi="Times New Roman" w:cs="Times New Roman"/>
          <w:bCs w:val="0"/>
        </w:rPr>
        <w:t xml:space="preserve"> </w:t>
      </w:r>
    </w:p>
    <w:p w:rsidR="00DD799E" w:rsidRPr="00C04F45" w:rsidP="00DD799E">
      <w:pPr>
        <w:autoSpaceDE/>
        <w:autoSpaceDN/>
        <w:spacing w:before="120" w:line="360" w:lineRule="auto"/>
        <w:ind w:firstLine="709"/>
        <w:jc w:val="both"/>
        <w:rPr>
          <w:rFonts w:ascii="Times New Roman" w:hAnsi="Times New Roman" w:cs="Times New Roman"/>
        </w:rPr>
      </w:pPr>
      <w:r w:rsidRPr="00C04F45">
        <w:rPr>
          <w:rFonts w:ascii="Times New Roman" w:hAnsi="Times New Roman" w:cs="Times New Roman"/>
          <w:bCs/>
        </w:rPr>
        <w:t xml:space="preserve">Štátny rozpočet na rok 2006 schválila Národná rada SR zákonom č. 655 z 13. decembra 2005. Celkové príjmy sa rozpočtovali sumou 272 717,0 mil. Sk, celkové výdavky 330 185,1 mil. Sk a schodok bol určený sumou 57 468,1 mil. Sk. </w:t>
      </w:r>
      <w:r w:rsidRPr="00C04F45">
        <w:rPr>
          <w:rFonts w:ascii="Times New Roman" w:hAnsi="Times New Roman" w:cs="Times New Roman"/>
        </w:rPr>
        <w:t xml:space="preserve">V zmysle zákona o rozpočtových pravidlách verejnej správy  sú verejnými prostriedkami aj prostriedky Európskej únie poskytnuté Slovenskej republike z rozpočtu Európskej únie a odvody Slovenskej republiky do rozpočtu Európskej únie. V súlade s tým sa </w:t>
      </w:r>
      <w:r w:rsidR="00C651EB">
        <w:rPr>
          <w:rFonts w:ascii="Times New Roman" w:hAnsi="Times New Roman" w:cs="Times New Roman"/>
        </w:rPr>
        <w:t xml:space="preserve">v ŠR </w:t>
      </w:r>
      <w:r w:rsidRPr="00C04F45">
        <w:rPr>
          <w:rFonts w:ascii="Times New Roman" w:hAnsi="Times New Roman" w:cs="Times New Roman"/>
        </w:rPr>
        <w:t>na rok 2006 rozpočtovali príjmy  z rozpočtu EÚ  v celkovej výške 27 880,3 mil. Sk (v roku 2005: 26 507,7 mil. Sk) a na strane výdavkov odvody peňažných prostriedkov do rozpočtu  EÚ v celkovej výške 14 105,4 mil. Sk (v roku 2005: 13 188,6 mil. Sk).</w:t>
      </w:r>
    </w:p>
    <w:p w:rsidR="00DD799E" w:rsidRPr="00C04F45" w:rsidP="00DD799E">
      <w:pPr>
        <w:pStyle w:val="FootnoteText"/>
        <w:spacing w:line="360" w:lineRule="auto"/>
        <w:ind w:firstLine="709"/>
        <w:jc w:val="both"/>
        <w:rPr>
          <w:rFonts w:ascii="Times New Roman" w:hAnsi="Times New Roman" w:cs="Times New Roman"/>
          <w:sz w:val="24"/>
          <w:szCs w:val="24"/>
        </w:rPr>
      </w:pPr>
      <w:r w:rsidRPr="00C04F45">
        <w:rPr>
          <w:rFonts w:ascii="Times New Roman" w:hAnsi="Times New Roman" w:cs="Times New Roman"/>
          <w:bCs/>
          <w:sz w:val="24"/>
          <w:szCs w:val="24"/>
        </w:rPr>
        <w:t>V medziročnom porovnaní sú rozpočtované príjmy vo vzťahu k schválenému rozpočtu na rok 2005 vyššie o 15 491,0 mil. Sk (index 106,0) a o 14 023,0 mil. Sk vyššie vo vzťahu k dosiahnutej skutočnosti roku 2005 (index 105,4). Výdavky sa rozpočtovali s medziročným nárastom o 11 435,2 mil. Sk (index 103,6) vo vzťahu k rozpočtu a o 37 604,8 mil. Sk (index 112,8) vo vzťahu k dosiahnutej skutočnosti. Schodok štátneho rozpočtu bol určený sumou o 4</w:t>
      </w:r>
      <w:r>
        <w:rPr>
          <w:rFonts w:ascii="Times New Roman" w:hAnsi="Times New Roman" w:cs="Times New Roman"/>
          <w:bCs/>
          <w:sz w:val="24"/>
          <w:szCs w:val="24"/>
        </w:rPr>
        <w:t> </w:t>
      </w:r>
      <w:r w:rsidRPr="00C04F45">
        <w:rPr>
          <w:rFonts w:ascii="Times New Roman" w:hAnsi="Times New Roman" w:cs="Times New Roman"/>
          <w:bCs/>
          <w:sz w:val="24"/>
          <w:szCs w:val="24"/>
        </w:rPr>
        <w:t>0</w:t>
      </w:r>
      <w:r>
        <w:rPr>
          <w:rFonts w:ascii="Times New Roman" w:hAnsi="Times New Roman" w:cs="Times New Roman"/>
          <w:bCs/>
          <w:sz w:val="24"/>
          <w:szCs w:val="24"/>
        </w:rPr>
        <w:t>55,8</w:t>
      </w:r>
      <w:r w:rsidRPr="00C04F45">
        <w:rPr>
          <w:rFonts w:ascii="Times New Roman" w:hAnsi="Times New Roman" w:cs="Times New Roman"/>
          <w:bCs/>
          <w:sz w:val="24"/>
          <w:szCs w:val="24"/>
        </w:rPr>
        <w:t xml:space="preserve"> mil. Sk nižšou než v rozpočte na rok 2005 (index 93,4) a o 23 581,8  mil. Sk vyššou, než sa v roku 2005 vykázal (index 169,6). Pomerne vysoké indexy rozpočtovaných výdavkov a schodku vo vzťahu ku skutočným výsledkom roku 2005 možno vysvetliť tým, že rozpočtové kapitoly využili oprávnenie dané </w:t>
      </w:r>
      <w:r w:rsidRPr="00C04F45">
        <w:rPr>
          <w:rFonts w:ascii="Times New Roman" w:hAnsi="Times New Roman" w:cs="Times New Roman"/>
          <w:sz w:val="24"/>
          <w:szCs w:val="24"/>
        </w:rPr>
        <w:t xml:space="preserve">§ 8 ods. 6 zákona o rozpočtových pravidlách verejnej správy, teda povolené prekročenie limitu výdavkov na rok 2006 o výdavky viazané v roku 2005 určené na použitie v roku 2006 a viazanie limitu výdavkov na rok 2006 o výdavky určené na použitie v roku 2007. </w:t>
      </w:r>
    </w:p>
    <w:p w:rsidR="00DD799E" w:rsidRPr="00C04F45" w:rsidP="00DD799E">
      <w:pPr>
        <w:autoSpaceDE/>
        <w:autoSpaceDN/>
        <w:spacing w:line="360" w:lineRule="auto"/>
        <w:ind w:left="6" w:firstLine="709"/>
        <w:jc w:val="both"/>
        <w:rPr>
          <w:rFonts w:ascii="Times New Roman" w:hAnsi="Times New Roman" w:cs="Times New Roman"/>
        </w:rPr>
      </w:pPr>
      <w:r w:rsidRPr="00C04F45">
        <w:rPr>
          <w:rFonts w:ascii="Times New Roman" w:hAnsi="Times New Roman" w:cs="Times New Roman"/>
        </w:rPr>
        <w:t>Rozpočtovými opatreniami, vykonanými v priebehu roka na základe príslušných ustanovení zákona o rozpočtových pravidlách verejnej správy a na základe  splnomocnenia daného vláde, resp. ministrovi financií zákonom o štátnom rozpočte na rok 2006, sa pôvodne schválené celkové príjmy štátneho rozpočtu  znížili o 7 227,2 mil. Sk na 265 489,8 mil. Sk a celkové výdavky  o 6 235,5 mil. Sk na 323 949,6 mil. Sk. V dôsledku toho sa schodok schválený Národnou radou SR sa zvýšil o 991,7 mil. Sk na 58 459,8 mil. Sk. Hodnotenie výsledkov rozpočtového hospodárenia v ďalšom texte je vo vzťahu k takto upraveným ukazovateľom.</w:t>
      </w:r>
    </w:p>
    <w:p w:rsidR="00DD799E" w:rsidP="00DD799E">
      <w:pPr>
        <w:autoSpaceDE/>
        <w:autoSpaceDN/>
        <w:spacing w:line="360" w:lineRule="auto"/>
        <w:ind w:firstLine="709"/>
        <w:jc w:val="both"/>
        <w:rPr>
          <w:rFonts w:ascii="Times New Roman" w:hAnsi="Times New Roman" w:cs="Times New Roman"/>
        </w:rPr>
      </w:pPr>
      <w:r w:rsidRPr="00C04F45">
        <w:rPr>
          <w:rFonts w:ascii="Times New Roman" w:hAnsi="Times New Roman" w:cs="Times New Roman"/>
        </w:rPr>
        <w:t>Súhrnný  prehľad o plnení príjmov a výdavkov štátneho rozpočtu v roku 2006 poskytujú nasledujúce údaje (v mil. Sk):</w:t>
      </w:r>
    </w:p>
    <w:p w:rsidR="00DD799E" w:rsidP="00DD799E">
      <w:pPr>
        <w:autoSpaceDE/>
        <w:autoSpaceDN/>
        <w:spacing w:line="360" w:lineRule="auto"/>
        <w:ind w:firstLine="709"/>
        <w:jc w:val="both"/>
        <w:rPr>
          <w:rFonts w:ascii="Times New Roman" w:hAnsi="Times New Roman" w:cs="Times New Roman"/>
        </w:rPr>
      </w:pPr>
    </w:p>
    <w:tbl>
      <w:tblPr>
        <w:tblW w:w="9530" w:type="dxa"/>
        <w:tblInd w:w="55" w:type="dxa"/>
        <w:tblLayout w:type="fixed"/>
        <w:tblCellMar>
          <w:left w:w="70" w:type="dxa"/>
          <w:right w:w="70" w:type="dxa"/>
        </w:tblCellMar>
      </w:tblPr>
      <w:tblGrid>
        <w:gridCol w:w="1705"/>
        <w:gridCol w:w="1190"/>
        <w:gridCol w:w="1104"/>
        <w:gridCol w:w="1056"/>
        <w:gridCol w:w="1260"/>
        <w:gridCol w:w="1167"/>
        <w:gridCol w:w="993"/>
        <w:gridCol w:w="1055"/>
      </w:tblGrid>
      <w:tr>
        <w:tblPrEx>
          <w:tblW w:w="9530" w:type="dxa"/>
          <w:tblInd w:w="55" w:type="dxa"/>
          <w:tblLayout w:type="fixed"/>
          <w:tblCellMar>
            <w:left w:w="70" w:type="dxa"/>
            <w:right w:w="70" w:type="dxa"/>
          </w:tblCellMar>
        </w:tblPrEx>
        <w:trPr>
          <w:trHeight w:val="294"/>
        </w:trPr>
        <w:tc>
          <w:tcPr>
            <w:tcW w:w="1705" w:type="dxa"/>
            <w:vMerge w:val="restart"/>
            <w:tcBorders>
              <w:top w:val="single" w:sz="8" w:space="0" w:color="auto"/>
              <w:left w:val="single" w:sz="8" w:space="0" w:color="auto"/>
              <w:bottom w:val="single" w:sz="4" w:space="0" w:color="000000"/>
              <w:right w:val="single" w:sz="4" w:space="0" w:color="auto"/>
              <w:tl2br w:val="nil"/>
              <w:tr2bl w:val="nil"/>
            </w:tcBorders>
            <w:textDirection w:val="lrTb"/>
            <w:vAlign w:val="center"/>
          </w:tcPr>
          <w:p w:rsidR="00DD799E" w:rsidRPr="005645FB" w:rsidP="00DD799E">
            <w:pPr>
              <w:jc w:val="center"/>
              <w:rPr>
                <w:rFonts w:ascii="Times New Roman" w:hAnsi="Times New Roman" w:cs="Times New Roman"/>
                <w:b/>
                <w:bCs/>
                <w:sz w:val="20"/>
                <w:szCs w:val="20"/>
                <w:lang w:bidi="bn-BD"/>
              </w:rPr>
            </w:pPr>
            <w:r w:rsidRPr="005645FB">
              <w:rPr>
                <w:rFonts w:ascii="Times New Roman" w:hAnsi="Times New Roman" w:cs="Times New Roman"/>
                <w:b/>
                <w:bCs/>
                <w:sz w:val="20"/>
                <w:szCs w:val="20"/>
                <w:lang w:bidi="bn-BD"/>
              </w:rPr>
              <w:t>Príjmy/Výdavky</w:t>
            </w:r>
          </w:p>
        </w:tc>
        <w:tc>
          <w:tcPr>
            <w:tcW w:w="1190" w:type="dxa"/>
            <w:vMerge w:val="restart"/>
            <w:tcBorders>
              <w:top w:val="single" w:sz="8" w:space="0" w:color="auto"/>
              <w:left w:val="single" w:sz="4" w:space="0" w:color="auto"/>
              <w:bottom w:val="single" w:sz="4" w:space="0" w:color="000000"/>
              <w:right w:val="single" w:sz="4" w:space="0" w:color="auto"/>
              <w:tl2br w:val="nil"/>
              <w:tr2bl w:val="nil"/>
            </w:tcBorders>
            <w:textDirection w:val="lrTb"/>
            <w:vAlign w:val="center"/>
          </w:tcPr>
          <w:p w:rsidR="00DD799E" w:rsidRPr="005645FB" w:rsidP="00DD799E">
            <w:pPr>
              <w:jc w:val="center"/>
              <w:rPr>
                <w:rFonts w:ascii="Times New Roman" w:hAnsi="Times New Roman" w:cs="Times New Roman"/>
                <w:b/>
                <w:bCs/>
                <w:sz w:val="20"/>
                <w:szCs w:val="20"/>
                <w:lang w:bidi="bn-BD"/>
              </w:rPr>
            </w:pPr>
            <w:r w:rsidRPr="005645FB">
              <w:rPr>
                <w:rFonts w:ascii="Times New Roman" w:hAnsi="Times New Roman" w:cs="Times New Roman"/>
                <w:b/>
                <w:bCs/>
                <w:sz w:val="20"/>
                <w:szCs w:val="20"/>
                <w:lang w:bidi="bn-BD"/>
              </w:rPr>
              <w:t>Skutočnosť 2005</w:t>
            </w:r>
          </w:p>
        </w:tc>
        <w:tc>
          <w:tcPr>
            <w:tcW w:w="2160" w:type="dxa"/>
            <w:gridSpan w:val="2"/>
            <w:vMerge w:val="restart"/>
            <w:tcBorders>
              <w:top w:val="single" w:sz="8" w:space="0" w:color="auto"/>
              <w:left w:val="single" w:sz="4" w:space="0" w:color="auto"/>
              <w:bottom w:val="single" w:sz="4" w:space="0" w:color="000000"/>
              <w:right w:val="single" w:sz="4" w:space="0" w:color="000000"/>
              <w:tl2br w:val="nil"/>
              <w:tr2bl w:val="nil"/>
            </w:tcBorders>
            <w:textDirection w:val="lrTb"/>
            <w:vAlign w:val="center"/>
          </w:tcPr>
          <w:p w:rsidR="00DD799E" w:rsidRPr="005645FB" w:rsidP="00DD799E">
            <w:pPr>
              <w:jc w:val="center"/>
              <w:rPr>
                <w:rFonts w:ascii="Times New Roman" w:hAnsi="Times New Roman" w:cs="Times New Roman"/>
                <w:b/>
                <w:bCs/>
                <w:sz w:val="20"/>
                <w:szCs w:val="20"/>
                <w:lang w:bidi="bn-BD"/>
              </w:rPr>
            </w:pPr>
            <w:r w:rsidRPr="005645FB">
              <w:rPr>
                <w:rFonts w:ascii="Times New Roman" w:hAnsi="Times New Roman" w:cs="Times New Roman"/>
                <w:b/>
                <w:bCs/>
                <w:sz w:val="20"/>
                <w:szCs w:val="20"/>
                <w:lang w:bidi="bn-BD"/>
              </w:rPr>
              <w:t>Rozpočet  2006</w:t>
            </w:r>
          </w:p>
        </w:tc>
        <w:tc>
          <w:tcPr>
            <w:tcW w:w="1260" w:type="dxa"/>
            <w:vMerge w:val="restart"/>
            <w:tcBorders>
              <w:top w:val="single" w:sz="8" w:space="0" w:color="auto"/>
              <w:left w:val="single" w:sz="4" w:space="0" w:color="auto"/>
              <w:bottom w:val="single" w:sz="4" w:space="0" w:color="000000"/>
              <w:right w:val="single" w:sz="4" w:space="0" w:color="auto"/>
              <w:tl2br w:val="nil"/>
              <w:tr2bl w:val="nil"/>
            </w:tcBorders>
            <w:textDirection w:val="lrTb"/>
            <w:vAlign w:val="center"/>
          </w:tcPr>
          <w:p w:rsidR="00DD799E" w:rsidRPr="005645FB" w:rsidP="00DD799E">
            <w:pPr>
              <w:jc w:val="center"/>
              <w:rPr>
                <w:rFonts w:ascii="Times New Roman" w:hAnsi="Times New Roman" w:cs="Times New Roman"/>
                <w:b/>
                <w:bCs/>
                <w:sz w:val="20"/>
                <w:szCs w:val="20"/>
                <w:lang w:bidi="bn-BD"/>
              </w:rPr>
            </w:pPr>
            <w:r w:rsidRPr="005645FB">
              <w:rPr>
                <w:rFonts w:ascii="Times New Roman" w:hAnsi="Times New Roman" w:cs="Times New Roman"/>
                <w:b/>
                <w:bCs/>
                <w:sz w:val="20"/>
                <w:szCs w:val="20"/>
                <w:lang w:bidi="bn-BD"/>
              </w:rPr>
              <w:t>Skutočnosť 2006</w:t>
            </w:r>
          </w:p>
        </w:tc>
        <w:tc>
          <w:tcPr>
            <w:tcW w:w="1167" w:type="dxa"/>
            <w:vMerge w:val="restart"/>
            <w:tcBorders>
              <w:top w:val="single" w:sz="8" w:space="0" w:color="auto"/>
              <w:left w:val="single" w:sz="4" w:space="0" w:color="auto"/>
              <w:bottom w:val="single" w:sz="4" w:space="0" w:color="000000"/>
              <w:right w:val="single" w:sz="4" w:space="0" w:color="auto"/>
              <w:tl2br w:val="nil"/>
              <w:tr2bl w:val="nil"/>
            </w:tcBorders>
            <w:textDirection w:val="lrTb"/>
            <w:vAlign w:val="center"/>
          </w:tcPr>
          <w:p w:rsidR="00DD799E" w:rsidRPr="005645FB" w:rsidP="00DD799E">
            <w:pPr>
              <w:jc w:val="center"/>
              <w:rPr>
                <w:rFonts w:ascii="Times New Roman" w:hAnsi="Times New Roman" w:cs="Times New Roman"/>
                <w:b/>
                <w:bCs/>
                <w:sz w:val="20"/>
                <w:szCs w:val="20"/>
                <w:lang w:bidi="bn-BD"/>
              </w:rPr>
            </w:pPr>
            <w:r w:rsidRPr="005645FB" w:rsidR="00885980">
              <w:rPr>
                <w:rFonts w:ascii="Times New Roman" w:hAnsi="Times New Roman" w:cs="Times New Roman"/>
                <w:b/>
                <w:bCs/>
                <w:sz w:val="20"/>
                <w:szCs w:val="20"/>
                <w:lang w:bidi="bn-BD"/>
              </w:rPr>
              <w:t>% plnenia upraveného</w:t>
            </w:r>
            <w:r w:rsidRPr="005645FB">
              <w:rPr>
                <w:rFonts w:ascii="Times New Roman" w:hAnsi="Times New Roman" w:cs="Times New Roman"/>
                <w:b/>
                <w:bCs/>
                <w:sz w:val="20"/>
                <w:szCs w:val="20"/>
                <w:lang w:bidi="bn-BD"/>
              </w:rPr>
              <w:t xml:space="preserve"> rozpočtu            </w:t>
            </w:r>
          </w:p>
        </w:tc>
        <w:tc>
          <w:tcPr>
            <w:tcW w:w="993" w:type="dxa"/>
            <w:vMerge w:val="restart"/>
            <w:tcBorders>
              <w:top w:val="single" w:sz="8" w:space="0" w:color="auto"/>
              <w:left w:val="single" w:sz="4" w:space="0" w:color="auto"/>
              <w:bottom w:val="single" w:sz="4" w:space="0" w:color="000000"/>
              <w:right w:val="single" w:sz="4" w:space="0" w:color="auto"/>
              <w:tl2br w:val="nil"/>
              <w:tr2bl w:val="nil"/>
            </w:tcBorders>
            <w:textDirection w:val="lrTb"/>
            <w:vAlign w:val="center"/>
          </w:tcPr>
          <w:p w:rsidR="00DD799E" w:rsidRPr="005645FB" w:rsidP="00DD799E">
            <w:pPr>
              <w:jc w:val="center"/>
              <w:rPr>
                <w:rFonts w:ascii="Times New Roman" w:hAnsi="Times New Roman" w:cs="Times New Roman"/>
                <w:b/>
                <w:bCs/>
                <w:sz w:val="20"/>
                <w:szCs w:val="20"/>
                <w:lang w:bidi="bn-BD"/>
              </w:rPr>
            </w:pPr>
            <w:r w:rsidRPr="005645FB">
              <w:rPr>
                <w:rFonts w:ascii="Times New Roman" w:hAnsi="Times New Roman" w:cs="Times New Roman"/>
                <w:b/>
                <w:bCs/>
                <w:sz w:val="20"/>
                <w:szCs w:val="20"/>
                <w:lang w:bidi="bn-BD"/>
              </w:rPr>
              <w:t xml:space="preserve">Rozdiel              </w:t>
            </w:r>
          </w:p>
        </w:tc>
        <w:tc>
          <w:tcPr>
            <w:tcW w:w="1055" w:type="dxa"/>
            <w:vMerge w:val="restart"/>
            <w:tcBorders>
              <w:top w:val="single" w:sz="8" w:space="0" w:color="auto"/>
              <w:left w:val="single" w:sz="4" w:space="0" w:color="auto"/>
              <w:bottom w:val="single" w:sz="4" w:space="0" w:color="000000"/>
              <w:right w:val="single" w:sz="8" w:space="0" w:color="auto"/>
              <w:tl2br w:val="nil"/>
              <w:tr2bl w:val="nil"/>
            </w:tcBorders>
            <w:textDirection w:val="lrTb"/>
            <w:vAlign w:val="center"/>
          </w:tcPr>
          <w:p w:rsidR="00DD799E" w:rsidRPr="005645FB" w:rsidP="00DD799E">
            <w:pPr>
              <w:jc w:val="center"/>
              <w:rPr>
                <w:rFonts w:ascii="Times New Roman" w:hAnsi="Times New Roman" w:cs="Times New Roman"/>
                <w:b/>
                <w:bCs/>
                <w:sz w:val="20"/>
                <w:szCs w:val="20"/>
                <w:lang w:bidi="bn-BD"/>
              </w:rPr>
            </w:pPr>
            <w:r w:rsidRPr="005645FB">
              <w:rPr>
                <w:rFonts w:ascii="Times New Roman" w:hAnsi="Times New Roman" w:cs="Times New Roman"/>
                <w:b/>
                <w:bCs/>
                <w:sz w:val="20"/>
                <w:szCs w:val="20"/>
                <w:lang w:bidi="bn-BD"/>
              </w:rPr>
              <w:t xml:space="preserve">Index 2006/2005          </w:t>
            </w:r>
          </w:p>
        </w:tc>
      </w:tr>
      <w:tr>
        <w:tblPrEx>
          <w:tblW w:w="9530" w:type="dxa"/>
          <w:tblInd w:w="55" w:type="dxa"/>
          <w:tblLayout w:type="fixed"/>
          <w:tblCellMar>
            <w:left w:w="70" w:type="dxa"/>
            <w:right w:w="70" w:type="dxa"/>
          </w:tblCellMar>
        </w:tblPrEx>
        <w:trPr>
          <w:trHeight w:val="294"/>
        </w:trPr>
        <w:tc>
          <w:tcPr>
            <w:tcW w:w="1705" w:type="dxa"/>
            <w:vMerge/>
            <w:tcBorders>
              <w:top w:val="single" w:sz="4" w:space="0" w:color="auto"/>
              <w:left w:val="single" w:sz="8" w:space="0" w:color="auto"/>
              <w:bottom w:val="single" w:sz="4" w:space="0" w:color="000000"/>
              <w:right w:val="single" w:sz="4" w:space="0" w:color="auto"/>
              <w:tl2br w:val="nil"/>
              <w:tr2bl w:val="nil"/>
            </w:tcBorders>
            <w:textDirection w:val="lrTb"/>
            <w:vAlign w:val="center"/>
          </w:tcPr>
          <w:p w:rsidR="00DD799E" w:rsidRPr="005645FB" w:rsidP="00DD799E">
            <w:pPr>
              <w:rPr>
                <w:rFonts w:ascii="Times New Roman" w:hAnsi="Times New Roman" w:cs="Times New Roman"/>
                <w:b/>
                <w:bCs/>
                <w:sz w:val="20"/>
                <w:szCs w:val="20"/>
                <w:lang w:bidi="bn-BD"/>
              </w:rPr>
            </w:pPr>
          </w:p>
        </w:tc>
        <w:tc>
          <w:tcPr>
            <w:tcW w:w="1190"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D799E" w:rsidRPr="005645FB" w:rsidP="00DD799E">
            <w:pPr>
              <w:rPr>
                <w:rFonts w:ascii="Times New Roman" w:hAnsi="Times New Roman" w:cs="Times New Roman"/>
                <w:b/>
                <w:bCs/>
                <w:sz w:val="20"/>
                <w:szCs w:val="20"/>
                <w:lang w:bidi="bn-BD"/>
              </w:rPr>
            </w:pPr>
          </w:p>
        </w:tc>
        <w:tc>
          <w:tcPr>
            <w:tcW w:w="2160" w:type="dxa"/>
            <w:gridSpan w:val="2"/>
            <w:vMerge/>
            <w:tcBorders>
              <w:top w:val="single" w:sz="4" w:space="0" w:color="auto"/>
              <w:left w:val="single" w:sz="4" w:space="0" w:color="auto"/>
              <w:bottom w:val="single" w:sz="4" w:space="0" w:color="000000"/>
              <w:right w:val="single" w:sz="4" w:space="0" w:color="000000"/>
              <w:tl2br w:val="nil"/>
              <w:tr2bl w:val="nil"/>
            </w:tcBorders>
            <w:textDirection w:val="lrTb"/>
            <w:vAlign w:val="center"/>
          </w:tcPr>
          <w:p w:rsidR="00DD799E" w:rsidRPr="005645FB" w:rsidP="00DD799E">
            <w:pPr>
              <w:rPr>
                <w:rFonts w:ascii="Times New Roman" w:hAnsi="Times New Roman" w:cs="Times New Roman"/>
                <w:b/>
                <w:bCs/>
                <w:sz w:val="20"/>
                <w:szCs w:val="20"/>
                <w:lang w:bidi="bn-BD"/>
              </w:rPr>
            </w:pPr>
          </w:p>
        </w:tc>
        <w:tc>
          <w:tcPr>
            <w:tcW w:w="1260"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D799E" w:rsidRPr="005645FB" w:rsidP="00DD799E">
            <w:pPr>
              <w:rPr>
                <w:rFonts w:ascii="Times New Roman" w:hAnsi="Times New Roman" w:cs="Times New Roman"/>
                <w:b/>
                <w:bCs/>
                <w:sz w:val="20"/>
                <w:szCs w:val="20"/>
                <w:lang w:bidi="bn-BD"/>
              </w:rPr>
            </w:pPr>
          </w:p>
        </w:tc>
        <w:tc>
          <w:tcPr>
            <w:tcW w:w="1167"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D799E" w:rsidRPr="005645FB" w:rsidP="00DD799E">
            <w:pPr>
              <w:rPr>
                <w:rFonts w:ascii="Times New Roman" w:hAnsi="Times New Roman" w:cs="Times New Roman"/>
                <w:b/>
                <w:bCs/>
                <w:sz w:val="20"/>
                <w:szCs w:val="20"/>
                <w:lang w:bidi="bn-BD"/>
              </w:rPr>
            </w:pPr>
          </w:p>
        </w:tc>
        <w:tc>
          <w:tcPr>
            <w:tcW w:w="993"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D799E" w:rsidRPr="005645FB" w:rsidP="00DD799E">
            <w:pPr>
              <w:rPr>
                <w:rFonts w:ascii="Times New Roman" w:hAnsi="Times New Roman" w:cs="Times New Roman"/>
                <w:b/>
                <w:bCs/>
                <w:sz w:val="20"/>
                <w:szCs w:val="20"/>
                <w:lang w:bidi="bn-BD"/>
              </w:rPr>
            </w:pPr>
          </w:p>
        </w:tc>
        <w:tc>
          <w:tcPr>
            <w:tcW w:w="1055" w:type="dxa"/>
            <w:vMerge/>
            <w:tcBorders>
              <w:top w:val="single" w:sz="4" w:space="0" w:color="auto"/>
              <w:left w:val="single" w:sz="4" w:space="0" w:color="auto"/>
              <w:bottom w:val="single" w:sz="4" w:space="0" w:color="000000"/>
              <w:right w:val="single" w:sz="8" w:space="0" w:color="auto"/>
              <w:tl2br w:val="nil"/>
              <w:tr2bl w:val="nil"/>
            </w:tcBorders>
            <w:textDirection w:val="lrTb"/>
            <w:vAlign w:val="center"/>
          </w:tcPr>
          <w:p w:rsidR="00DD799E" w:rsidRPr="005645FB" w:rsidP="00DD799E">
            <w:pPr>
              <w:rPr>
                <w:rFonts w:ascii="Times New Roman" w:hAnsi="Times New Roman" w:cs="Times New Roman"/>
                <w:b/>
                <w:bCs/>
                <w:sz w:val="20"/>
                <w:szCs w:val="20"/>
                <w:lang w:bidi="bn-BD"/>
              </w:rPr>
            </w:pPr>
          </w:p>
        </w:tc>
      </w:tr>
      <w:tr>
        <w:tblPrEx>
          <w:tblW w:w="9530" w:type="dxa"/>
          <w:tblInd w:w="55" w:type="dxa"/>
          <w:tblLayout w:type="fixed"/>
          <w:tblCellMar>
            <w:left w:w="70" w:type="dxa"/>
            <w:right w:w="70" w:type="dxa"/>
          </w:tblCellMar>
        </w:tblPrEx>
        <w:trPr>
          <w:trHeight w:val="294"/>
        </w:trPr>
        <w:tc>
          <w:tcPr>
            <w:tcW w:w="1705" w:type="dxa"/>
            <w:vMerge/>
            <w:tcBorders>
              <w:top w:val="single" w:sz="4" w:space="0" w:color="auto"/>
              <w:left w:val="single" w:sz="8" w:space="0" w:color="auto"/>
              <w:bottom w:val="single" w:sz="4" w:space="0" w:color="000000"/>
              <w:right w:val="single" w:sz="4" w:space="0" w:color="auto"/>
              <w:tl2br w:val="nil"/>
              <w:tr2bl w:val="nil"/>
            </w:tcBorders>
            <w:textDirection w:val="lrTb"/>
            <w:vAlign w:val="center"/>
          </w:tcPr>
          <w:p w:rsidR="00DD799E" w:rsidRPr="005645FB" w:rsidP="00DD799E">
            <w:pPr>
              <w:rPr>
                <w:rFonts w:ascii="Times New Roman" w:hAnsi="Times New Roman" w:cs="Times New Roman"/>
                <w:b/>
                <w:bCs/>
                <w:sz w:val="20"/>
                <w:szCs w:val="20"/>
                <w:lang w:bidi="bn-BD"/>
              </w:rPr>
            </w:pPr>
          </w:p>
        </w:tc>
        <w:tc>
          <w:tcPr>
            <w:tcW w:w="1190"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D799E" w:rsidRPr="005645FB" w:rsidP="00DD799E">
            <w:pPr>
              <w:rPr>
                <w:rFonts w:ascii="Times New Roman" w:hAnsi="Times New Roman" w:cs="Times New Roman"/>
                <w:b/>
                <w:bCs/>
                <w:sz w:val="20"/>
                <w:szCs w:val="20"/>
                <w:lang w:bidi="bn-BD"/>
              </w:rPr>
            </w:pPr>
          </w:p>
        </w:tc>
        <w:tc>
          <w:tcPr>
            <w:tcW w:w="1104"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center"/>
              <w:rPr>
                <w:rFonts w:ascii="Times New Roman" w:hAnsi="Times New Roman" w:cs="Times New Roman"/>
                <w:b/>
                <w:bCs/>
                <w:sz w:val="20"/>
                <w:szCs w:val="20"/>
                <w:lang w:bidi="bn-BD"/>
              </w:rPr>
            </w:pPr>
            <w:r w:rsidRPr="005645FB">
              <w:rPr>
                <w:rFonts w:ascii="Times New Roman" w:hAnsi="Times New Roman" w:cs="Times New Roman"/>
                <w:b/>
                <w:bCs/>
                <w:sz w:val="20"/>
                <w:szCs w:val="20"/>
                <w:lang w:bidi="bn-BD"/>
              </w:rPr>
              <w:t xml:space="preserve">Schválený </w:t>
            </w:r>
          </w:p>
        </w:tc>
        <w:tc>
          <w:tcPr>
            <w:tcW w:w="1056"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center"/>
              <w:rPr>
                <w:rFonts w:ascii="Times New Roman" w:hAnsi="Times New Roman" w:cs="Times New Roman"/>
                <w:b/>
                <w:bCs/>
                <w:sz w:val="20"/>
                <w:szCs w:val="20"/>
                <w:lang w:bidi="bn-BD"/>
              </w:rPr>
            </w:pPr>
            <w:r w:rsidRPr="005645FB">
              <w:rPr>
                <w:rFonts w:ascii="Times New Roman" w:hAnsi="Times New Roman" w:cs="Times New Roman"/>
                <w:b/>
                <w:bCs/>
                <w:sz w:val="20"/>
                <w:szCs w:val="20"/>
                <w:lang w:bidi="bn-BD"/>
              </w:rPr>
              <w:t>Upravený</w:t>
            </w:r>
          </w:p>
        </w:tc>
        <w:tc>
          <w:tcPr>
            <w:tcW w:w="1260"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D799E" w:rsidRPr="005645FB" w:rsidP="00DD799E">
            <w:pPr>
              <w:rPr>
                <w:rFonts w:ascii="Times New Roman" w:hAnsi="Times New Roman" w:cs="Times New Roman"/>
                <w:b/>
                <w:bCs/>
                <w:sz w:val="20"/>
                <w:szCs w:val="20"/>
                <w:lang w:bidi="bn-BD"/>
              </w:rPr>
            </w:pPr>
          </w:p>
        </w:tc>
        <w:tc>
          <w:tcPr>
            <w:tcW w:w="1167"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D799E" w:rsidRPr="005645FB" w:rsidP="00DD799E">
            <w:pPr>
              <w:rPr>
                <w:rFonts w:ascii="Times New Roman" w:hAnsi="Times New Roman" w:cs="Times New Roman"/>
                <w:b/>
                <w:bCs/>
                <w:sz w:val="20"/>
                <w:szCs w:val="20"/>
                <w:lang w:bidi="bn-BD"/>
              </w:rPr>
            </w:pPr>
          </w:p>
        </w:tc>
        <w:tc>
          <w:tcPr>
            <w:tcW w:w="993"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D799E" w:rsidRPr="005645FB" w:rsidP="00DD799E">
            <w:pPr>
              <w:rPr>
                <w:rFonts w:ascii="Times New Roman" w:hAnsi="Times New Roman" w:cs="Times New Roman"/>
                <w:b/>
                <w:bCs/>
                <w:sz w:val="20"/>
                <w:szCs w:val="20"/>
                <w:lang w:bidi="bn-BD"/>
              </w:rPr>
            </w:pPr>
          </w:p>
        </w:tc>
        <w:tc>
          <w:tcPr>
            <w:tcW w:w="1055" w:type="dxa"/>
            <w:vMerge/>
            <w:tcBorders>
              <w:top w:val="single" w:sz="4" w:space="0" w:color="auto"/>
              <w:left w:val="single" w:sz="4" w:space="0" w:color="auto"/>
              <w:bottom w:val="single" w:sz="4" w:space="0" w:color="000000"/>
              <w:right w:val="single" w:sz="8" w:space="0" w:color="auto"/>
              <w:tl2br w:val="nil"/>
              <w:tr2bl w:val="nil"/>
            </w:tcBorders>
            <w:textDirection w:val="lrTb"/>
            <w:vAlign w:val="center"/>
          </w:tcPr>
          <w:p w:rsidR="00DD799E" w:rsidRPr="005645FB" w:rsidP="00DD799E">
            <w:pPr>
              <w:rPr>
                <w:rFonts w:ascii="Times New Roman" w:hAnsi="Times New Roman" w:cs="Times New Roman"/>
                <w:b/>
                <w:bCs/>
                <w:sz w:val="20"/>
                <w:szCs w:val="20"/>
                <w:lang w:bidi="bn-BD"/>
              </w:rPr>
            </w:pPr>
          </w:p>
        </w:tc>
      </w:tr>
      <w:tr>
        <w:tblPrEx>
          <w:tblW w:w="9530" w:type="dxa"/>
          <w:tblInd w:w="55" w:type="dxa"/>
          <w:tblLayout w:type="fixed"/>
          <w:tblCellMar>
            <w:left w:w="70" w:type="dxa"/>
            <w:right w:w="70" w:type="dxa"/>
          </w:tblCellMar>
        </w:tblPrEx>
        <w:trPr>
          <w:trHeight w:val="153"/>
        </w:trPr>
        <w:tc>
          <w:tcPr>
            <w:tcW w:w="1705" w:type="dxa"/>
            <w:vMerge/>
            <w:tcBorders>
              <w:top w:val="single" w:sz="4" w:space="0" w:color="auto"/>
              <w:left w:val="single" w:sz="8" w:space="0" w:color="auto"/>
              <w:bottom w:val="single" w:sz="4" w:space="0" w:color="000000"/>
              <w:right w:val="single" w:sz="4" w:space="0" w:color="auto"/>
              <w:tl2br w:val="nil"/>
              <w:tr2bl w:val="nil"/>
            </w:tcBorders>
            <w:textDirection w:val="lrTb"/>
            <w:vAlign w:val="center"/>
          </w:tcPr>
          <w:p w:rsidR="00DD799E" w:rsidRPr="005645FB" w:rsidP="00DD799E">
            <w:pPr>
              <w:rPr>
                <w:rFonts w:ascii="Times New Roman" w:hAnsi="Times New Roman" w:cs="Times New Roman"/>
                <w:b/>
                <w:bCs/>
                <w:sz w:val="20"/>
                <w:szCs w:val="20"/>
                <w:lang w:bidi="bn-BD"/>
              </w:rPr>
            </w:pPr>
          </w:p>
        </w:tc>
        <w:tc>
          <w:tcPr>
            <w:tcW w:w="1190" w:type="dxa"/>
            <w:tcBorders>
              <w:top w:val="nil"/>
              <w:left w:val="nil"/>
              <w:bottom w:val="single" w:sz="4" w:space="0" w:color="auto"/>
              <w:right w:val="single" w:sz="4" w:space="0" w:color="auto"/>
              <w:tl2br w:val="nil"/>
              <w:tr2bl w:val="nil"/>
            </w:tcBorders>
            <w:textDirection w:val="lrTb"/>
            <w:vAlign w:val="center"/>
          </w:tcPr>
          <w:p w:rsidR="00DD799E" w:rsidRPr="005645FB" w:rsidP="00DD799E">
            <w:pPr>
              <w:ind w:left="-322"/>
              <w:jc w:val="center"/>
              <w:rPr>
                <w:rFonts w:ascii="Times New Roman" w:hAnsi="Times New Roman" w:cs="Times New Roman"/>
                <w:b/>
                <w:bCs/>
                <w:sz w:val="18"/>
                <w:szCs w:val="18"/>
                <w:lang w:bidi="bn-BD"/>
              </w:rPr>
            </w:pPr>
            <w:r w:rsidRPr="005645FB">
              <w:rPr>
                <w:rFonts w:ascii="Times New Roman" w:hAnsi="Times New Roman" w:cs="Times New Roman"/>
                <w:b/>
                <w:bCs/>
                <w:sz w:val="18"/>
                <w:szCs w:val="18"/>
                <w:lang w:bidi="bn-BD"/>
              </w:rPr>
              <w:t>1</w:t>
            </w:r>
          </w:p>
        </w:tc>
        <w:tc>
          <w:tcPr>
            <w:tcW w:w="1104"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center"/>
              <w:rPr>
                <w:rFonts w:ascii="Times New Roman" w:hAnsi="Times New Roman" w:cs="Times New Roman"/>
                <w:b/>
                <w:bCs/>
                <w:sz w:val="18"/>
                <w:szCs w:val="18"/>
                <w:lang w:bidi="bn-BD"/>
              </w:rPr>
            </w:pPr>
            <w:r w:rsidRPr="005645FB">
              <w:rPr>
                <w:rFonts w:ascii="Times New Roman" w:hAnsi="Times New Roman" w:cs="Times New Roman"/>
                <w:b/>
                <w:bCs/>
                <w:sz w:val="18"/>
                <w:szCs w:val="18"/>
                <w:lang w:bidi="bn-BD"/>
              </w:rPr>
              <w:t>2</w:t>
            </w:r>
          </w:p>
        </w:tc>
        <w:tc>
          <w:tcPr>
            <w:tcW w:w="1056"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center"/>
              <w:rPr>
                <w:rFonts w:ascii="Times New Roman" w:hAnsi="Times New Roman" w:cs="Times New Roman"/>
                <w:b/>
                <w:bCs/>
                <w:sz w:val="18"/>
                <w:szCs w:val="18"/>
                <w:lang w:bidi="bn-BD"/>
              </w:rPr>
            </w:pPr>
            <w:r w:rsidRPr="005645FB">
              <w:rPr>
                <w:rFonts w:ascii="Times New Roman" w:hAnsi="Times New Roman" w:cs="Times New Roman"/>
                <w:b/>
                <w:bCs/>
                <w:sz w:val="18"/>
                <w:szCs w:val="18"/>
                <w:lang w:bidi="bn-BD"/>
              </w:rPr>
              <w:t>3</w:t>
            </w:r>
          </w:p>
        </w:tc>
        <w:tc>
          <w:tcPr>
            <w:tcW w:w="1260"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center"/>
              <w:rPr>
                <w:rFonts w:ascii="Times New Roman" w:hAnsi="Times New Roman" w:cs="Times New Roman"/>
                <w:b/>
                <w:bCs/>
                <w:sz w:val="18"/>
                <w:szCs w:val="18"/>
                <w:lang w:bidi="bn-BD"/>
              </w:rPr>
            </w:pPr>
            <w:r w:rsidRPr="005645FB">
              <w:rPr>
                <w:rFonts w:ascii="Times New Roman" w:hAnsi="Times New Roman" w:cs="Times New Roman"/>
                <w:b/>
                <w:bCs/>
                <w:sz w:val="18"/>
                <w:szCs w:val="18"/>
                <w:lang w:bidi="bn-BD"/>
              </w:rPr>
              <w:t>4</w:t>
            </w:r>
          </w:p>
        </w:tc>
        <w:tc>
          <w:tcPr>
            <w:tcW w:w="1167"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center"/>
              <w:rPr>
                <w:rFonts w:ascii="Times New Roman" w:hAnsi="Times New Roman" w:cs="Times New Roman"/>
                <w:b/>
                <w:bCs/>
                <w:sz w:val="18"/>
                <w:szCs w:val="18"/>
                <w:lang w:bidi="bn-BD"/>
              </w:rPr>
            </w:pPr>
            <w:r w:rsidRPr="005645FB">
              <w:rPr>
                <w:rFonts w:ascii="Times New Roman" w:hAnsi="Times New Roman" w:cs="Times New Roman"/>
                <w:b/>
                <w:bCs/>
                <w:sz w:val="18"/>
                <w:szCs w:val="18"/>
                <w:lang w:bidi="bn-BD"/>
              </w:rPr>
              <w:t>5 = 4/3*100</w:t>
            </w:r>
          </w:p>
        </w:tc>
        <w:tc>
          <w:tcPr>
            <w:tcW w:w="993"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center"/>
              <w:rPr>
                <w:rFonts w:ascii="Times New Roman" w:hAnsi="Times New Roman" w:cs="Times New Roman"/>
                <w:b/>
                <w:bCs/>
                <w:sz w:val="18"/>
                <w:szCs w:val="18"/>
                <w:lang w:bidi="bn-BD"/>
              </w:rPr>
            </w:pPr>
            <w:r w:rsidRPr="005645FB">
              <w:rPr>
                <w:rFonts w:ascii="Times New Roman" w:hAnsi="Times New Roman" w:cs="Times New Roman"/>
                <w:b/>
                <w:bCs/>
                <w:sz w:val="18"/>
                <w:szCs w:val="18"/>
                <w:lang w:bidi="bn-BD"/>
              </w:rPr>
              <w:t>6 = 4 - 3</w:t>
            </w:r>
          </w:p>
        </w:tc>
        <w:tc>
          <w:tcPr>
            <w:tcW w:w="1055" w:type="dxa"/>
            <w:tcBorders>
              <w:top w:val="nil"/>
              <w:left w:val="nil"/>
              <w:bottom w:val="single" w:sz="4" w:space="0" w:color="auto"/>
              <w:right w:val="single" w:sz="8" w:space="0" w:color="auto"/>
              <w:tl2br w:val="nil"/>
              <w:tr2bl w:val="nil"/>
            </w:tcBorders>
            <w:textDirection w:val="lrTb"/>
            <w:vAlign w:val="center"/>
          </w:tcPr>
          <w:p w:rsidR="00DD799E" w:rsidRPr="005645FB" w:rsidP="00DD799E">
            <w:pPr>
              <w:jc w:val="center"/>
              <w:rPr>
                <w:rFonts w:ascii="Times New Roman" w:hAnsi="Times New Roman" w:cs="Times New Roman"/>
                <w:b/>
                <w:bCs/>
                <w:sz w:val="18"/>
                <w:szCs w:val="18"/>
                <w:lang w:bidi="bn-BD"/>
              </w:rPr>
            </w:pPr>
            <w:r w:rsidRPr="005645FB">
              <w:rPr>
                <w:rFonts w:ascii="Times New Roman" w:hAnsi="Times New Roman" w:cs="Times New Roman"/>
                <w:b/>
                <w:bCs/>
                <w:sz w:val="18"/>
                <w:szCs w:val="18"/>
                <w:lang w:bidi="bn-BD"/>
              </w:rPr>
              <w:t>7= 4/1*100</w:t>
            </w:r>
          </w:p>
        </w:tc>
      </w:tr>
      <w:tr>
        <w:tblPrEx>
          <w:tblW w:w="9530" w:type="dxa"/>
          <w:tblInd w:w="55" w:type="dxa"/>
          <w:tblLayout w:type="fixed"/>
          <w:tblCellMar>
            <w:left w:w="70" w:type="dxa"/>
            <w:right w:w="70" w:type="dxa"/>
          </w:tblCellMar>
        </w:tblPrEx>
        <w:trPr>
          <w:trHeight w:val="175"/>
        </w:trPr>
        <w:tc>
          <w:tcPr>
            <w:tcW w:w="1705" w:type="dxa"/>
            <w:tcBorders>
              <w:top w:val="nil"/>
              <w:left w:val="single" w:sz="8" w:space="0" w:color="auto"/>
              <w:bottom w:val="single" w:sz="4" w:space="0" w:color="auto"/>
              <w:right w:val="single" w:sz="4" w:space="0" w:color="auto"/>
              <w:tl2br w:val="nil"/>
              <w:tr2bl w:val="nil"/>
            </w:tcBorders>
            <w:textDirection w:val="lrTb"/>
            <w:vAlign w:val="center"/>
          </w:tcPr>
          <w:p w:rsidR="00DD799E" w:rsidRPr="005645FB" w:rsidP="00DD799E">
            <w:pPr>
              <w:jc w:val="both"/>
              <w:rPr>
                <w:rFonts w:ascii="Times New Roman" w:hAnsi="Times New Roman" w:cs="Times New Roman"/>
                <w:b/>
                <w:bCs/>
                <w:color w:val="000000"/>
                <w:sz w:val="20"/>
                <w:szCs w:val="20"/>
                <w:lang w:bidi="bn-BD"/>
              </w:rPr>
            </w:pPr>
            <w:r w:rsidRPr="005645FB">
              <w:rPr>
                <w:rFonts w:ascii="Times New Roman" w:hAnsi="Times New Roman" w:cs="Times New Roman"/>
                <w:b/>
                <w:bCs/>
                <w:color w:val="000000"/>
                <w:sz w:val="20"/>
                <w:szCs w:val="20"/>
                <w:lang w:bidi="bn-BD"/>
              </w:rPr>
              <w:t>Príjmy spolu</w:t>
            </w:r>
          </w:p>
        </w:tc>
        <w:tc>
          <w:tcPr>
            <w:tcW w:w="1190"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b/>
                <w:bCs/>
                <w:color w:val="000000"/>
                <w:sz w:val="20"/>
                <w:szCs w:val="20"/>
                <w:lang w:bidi="bn-BD"/>
              </w:rPr>
            </w:pPr>
            <w:r w:rsidRPr="005645FB">
              <w:rPr>
                <w:rFonts w:ascii="Times New Roman" w:hAnsi="Times New Roman" w:cs="Times New Roman"/>
                <w:b/>
                <w:bCs/>
                <w:color w:val="000000"/>
                <w:sz w:val="20"/>
                <w:szCs w:val="20"/>
                <w:lang w:bidi="bn-BD"/>
              </w:rPr>
              <w:t>258 694,0</w:t>
            </w:r>
          </w:p>
        </w:tc>
        <w:tc>
          <w:tcPr>
            <w:tcW w:w="1104"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b/>
                <w:bCs/>
                <w:color w:val="000000"/>
                <w:sz w:val="20"/>
                <w:szCs w:val="20"/>
                <w:lang w:bidi="bn-BD"/>
              </w:rPr>
            </w:pPr>
            <w:r w:rsidRPr="005645FB">
              <w:rPr>
                <w:rFonts w:ascii="Times New Roman" w:hAnsi="Times New Roman" w:cs="Times New Roman"/>
                <w:b/>
                <w:bCs/>
                <w:color w:val="000000"/>
                <w:sz w:val="20"/>
                <w:szCs w:val="20"/>
                <w:lang w:bidi="bn-BD"/>
              </w:rPr>
              <w:t>272 717,0</w:t>
            </w:r>
          </w:p>
        </w:tc>
        <w:tc>
          <w:tcPr>
            <w:tcW w:w="1056"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b/>
                <w:bCs/>
                <w:color w:val="000000"/>
                <w:sz w:val="20"/>
                <w:szCs w:val="20"/>
                <w:lang w:bidi="bn-BD"/>
              </w:rPr>
            </w:pPr>
            <w:r w:rsidRPr="005645FB">
              <w:rPr>
                <w:rFonts w:ascii="Times New Roman" w:hAnsi="Times New Roman" w:cs="Times New Roman"/>
                <w:b/>
                <w:bCs/>
                <w:color w:val="000000"/>
                <w:sz w:val="20"/>
                <w:szCs w:val="20"/>
                <w:lang w:bidi="bn-BD"/>
              </w:rPr>
              <w:t>265 489,8</w:t>
            </w:r>
          </w:p>
        </w:tc>
        <w:tc>
          <w:tcPr>
            <w:tcW w:w="1260"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b/>
                <w:bCs/>
                <w:color w:val="000000"/>
                <w:sz w:val="20"/>
                <w:szCs w:val="20"/>
                <w:lang w:bidi="bn-BD"/>
              </w:rPr>
            </w:pPr>
            <w:r w:rsidRPr="005645FB">
              <w:rPr>
                <w:rFonts w:ascii="Times New Roman" w:hAnsi="Times New Roman" w:cs="Times New Roman"/>
                <w:b/>
                <w:bCs/>
                <w:color w:val="000000"/>
                <w:sz w:val="20"/>
                <w:szCs w:val="20"/>
                <w:lang w:bidi="bn-BD"/>
              </w:rPr>
              <w:t>291 977,0</w:t>
            </w:r>
          </w:p>
        </w:tc>
        <w:tc>
          <w:tcPr>
            <w:tcW w:w="1167"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b/>
                <w:bCs/>
                <w:color w:val="000000"/>
                <w:sz w:val="20"/>
                <w:szCs w:val="20"/>
                <w:lang w:bidi="bn-BD"/>
              </w:rPr>
            </w:pPr>
            <w:r w:rsidRPr="005645FB">
              <w:rPr>
                <w:rFonts w:ascii="Times New Roman" w:hAnsi="Times New Roman" w:cs="Times New Roman"/>
                <w:b/>
                <w:bCs/>
                <w:color w:val="000000"/>
                <w:sz w:val="20"/>
                <w:szCs w:val="20"/>
                <w:lang w:bidi="bn-BD"/>
              </w:rPr>
              <w:t>110,0</w:t>
            </w:r>
          </w:p>
        </w:tc>
        <w:tc>
          <w:tcPr>
            <w:tcW w:w="993" w:type="dxa"/>
            <w:tcBorders>
              <w:top w:val="nil"/>
              <w:left w:val="nil"/>
              <w:bottom w:val="single" w:sz="4" w:space="0" w:color="auto"/>
              <w:right w:val="single" w:sz="4" w:space="0" w:color="auto"/>
              <w:tl2br w:val="nil"/>
              <w:tr2bl w:val="nil"/>
            </w:tcBorders>
            <w:noWrap/>
            <w:textDirection w:val="lrTb"/>
            <w:vAlign w:val="center"/>
          </w:tcPr>
          <w:p w:rsidR="00DD799E" w:rsidRPr="005645FB" w:rsidP="00DD799E">
            <w:pPr>
              <w:jc w:val="right"/>
              <w:rPr>
                <w:rFonts w:ascii="Times New Roman" w:hAnsi="Times New Roman" w:cs="Times New Roman"/>
                <w:b/>
                <w:bCs/>
                <w:sz w:val="20"/>
                <w:szCs w:val="20"/>
                <w:lang w:bidi="bn-BD"/>
              </w:rPr>
            </w:pPr>
            <w:r w:rsidRPr="005645FB">
              <w:rPr>
                <w:rFonts w:ascii="Times New Roman" w:hAnsi="Times New Roman" w:cs="Times New Roman"/>
                <w:b/>
                <w:bCs/>
                <w:sz w:val="20"/>
                <w:szCs w:val="20"/>
                <w:lang w:bidi="bn-BD"/>
              </w:rPr>
              <w:t>26 487,2</w:t>
            </w:r>
          </w:p>
        </w:tc>
        <w:tc>
          <w:tcPr>
            <w:tcW w:w="1055" w:type="dxa"/>
            <w:tcBorders>
              <w:top w:val="nil"/>
              <w:left w:val="nil"/>
              <w:bottom w:val="single" w:sz="4" w:space="0" w:color="auto"/>
              <w:right w:val="single" w:sz="8" w:space="0" w:color="auto"/>
              <w:tl2br w:val="nil"/>
              <w:tr2bl w:val="nil"/>
            </w:tcBorders>
            <w:noWrap/>
            <w:textDirection w:val="lrTb"/>
            <w:vAlign w:val="center"/>
          </w:tcPr>
          <w:p w:rsidR="00DD799E" w:rsidRPr="005645FB" w:rsidP="00DD799E">
            <w:pPr>
              <w:jc w:val="right"/>
              <w:rPr>
                <w:rFonts w:ascii="Times New Roman" w:hAnsi="Times New Roman" w:cs="Times New Roman"/>
                <w:b/>
                <w:bCs/>
                <w:sz w:val="20"/>
                <w:szCs w:val="20"/>
                <w:lang w:bidi="bn-BD"/>
              </w:rPr>
            </w:pPr>
            <w:r w:rsidRPr="005645FB">
              <w:rPr>
                <w:rFonts w:ascii="Times New Roman" w:hAnsi="Times New Roman" w:cs="Times New Roman"/>
                <w:b/>
                <w:bCs/>
                <w:sz w:val="20"/>
                <w:szCs w:val="20"/>
                <w:lang w:bidi="bn-BD"/>
              </w:rPr>
              <w:t>112,9</w:t>
            </w:r>
          </w:p>
        </w:tc>
      </w:tr>
      <w:tr>
        <w:tblPrEx>
          <w:tblW w:w="9530" w:type="dxa"/>
          <w:tblInd w:w="55" w:type="dxa"/>
          <w:tblLayout w:type="fixed"/>
          <w:tblCellMar>
            <w:left w:w="70" w:type="dxa"/>
            <w:right w:w="70" w:type="dxa"/>
          </w:tblCellMar>
        </w:tblPrEx>
        <w:trPr>
          <w:trHeight w:val="73"/>
        </w:trPr>
        <w:tc>
          <w:tcPr>
            <w:tcW w:w="1705" w:type="dxa"/>
            <w:tcBorders>
              <w:top w:val="nil"/>
              <w:left w:val="single" w:sz="8" w:space="0" w:color="auto"/>
              <w:bottom w:val="single" w:sz="4" w:space="0" w:color="auto"/>
              <w:right w:val="single" w:sz="4" w:space="0" w:color="auto"/>
              <w:tl2br w:val="nil"/>
              <w:tr2bl w:val="nil"/>
            </w:tcBorders>
            <w:textDirection w:val="lrTb"/>
            <w:vAlign w:val="center"/>
          </w:tcPr>
          <w:p w:rsidR="00DD799E" w:rsidRPr="005645FB" w:rsidP="00DD799E">
            <w:pPr>
              <w:jc w:val="both"/>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v tom:</w:t>
            </w:r>
          </w:p>
        </w:tc>
        <w:tc>
          <w:tcPr>
            <w:tcW w:w="1190" w:type="dxa"/>
            <w:tcBorders>
              <w:top w:val="nil"/>
              <w:left w:val="nil"/>
              <w:bottom w:val="single" w:sz="4" w:space="0" w:color="auto"/>
              <w:right w:val="single" w:sz="4" w:space="0" w:color="auto"/>
              <w:tl2br w:val="nil"/>
              <w:tr2bl w:val="nil"/>
            </w:tcBorders>
            <w:textDirection w:val="lrTb"/>
            <w:vAlign w:val="center"/>
          </w:tcPr>
          <w:p w:rsidR="00DD799E" w:rsidRPr="005645FB" w:rsidP="00DD799E">
            <w:pPr>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 </w:t>
            </w:r>
          </w:p>
        </w:tc>
        <w:tc>
          <w:tcPr>
            <w:tcW w:w="1104" w:type="dxa"/>
            <w:tcBorders>
              <w:top w:val="nil"/>
              <w:left w:val="nil"/>
              <w:bottom w:val="single" w:sz="4" w:space="0" w:color="auto"/>
              <w:right w:val="single" w:sz="4" w:space="0" w:color="auto"/>
              <w:tl2br w:val="nil"/>
              <w:tr2bl w:val="nil"/>
            </w:tcBorders>
            <w:textDirection w:val="lrTb"/>
            <w:vAlign w:val="center"/>
          </w:tcPr>
          <w:p w:rsidR="00DD799E" w:rsidRPr="005645FB" w:rsidP="00DD799E">
            <w:pPr>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 </w:t>
            </w:r>
          </w:p>
        </w:tc>
        <w:tc>
          <w:tcPr>
            <w:tcW w:w="1056" w:type="dxa"/>
            <w:tcBorders>
              <w:top w:val="nil"/>
              <w:left w:val="nil"/>
              <w:bottom w:val="single" w:sz="4" w:space="0" w:color="auto"/>
              <w:right w:val="single" w:sz="4" w:space="0" w:color="auto"/>
              <w:tl2br w:val="nil"/>
              <w:tr2bl w:val="nil"/>
            </w:tcBorders>
            <w:textDirection w:val="lrTb"/>
            <w:vAlign w:val="center"/>
          </w:tcPr>
          <w:p w:rsidR="00DD799E" w:rsidRPr="005645FB" w:rsidP="00DD799E">
            <w:pPr>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 </w:t>
            </w:r>
          </w:p>
        </w:tc>
        <w:tc>
          <w:tcPr>
            <w:tcW w:w="1260" w:type="dxa"/>
            <w:tcBorders>
              <w:top w:val="nil"/>
              <w:left w:val="nil"/>
              <w:bottom w:val="single" w:sz="4" w:space="0" w:color="auto"/>
              <w:right w:val="single" w:sz="4" w:space="0" w:color="auto"/>
              <w:tl2br w:val="nil"/>
              <w:tr2bl w:val="nil"/>
            </w:tcBorders>
            <w:textDirection w:val="lrTb"/>
            <w:vAlign w:val="center"/>
          </w:tcPr>
          <w:p w:rsidR="00DD799E" w:rsidRPr="005645FB" w:rsidP="00DD799E">
            <w:pPr>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 </w:t>
            </w:r>
          </w:p>
        </w:tc>
        <w:tc>
          <w:tcPr>
            <w:tcW w:w="1167" w:type="dxa"/>
            <w:tcBorders>
              <w:top w:val="nil"/>
              <w:left w:val="nil"/>
              <w:bottom w:val="single" w:sz="4" w:space="0" w:color="auto"/>
              <w:right w:val="single" w:sz="4" w:space="0" w:color="auto"/>
              <w:tl2br w:val="nil"/>
              <w:tr2bl w:val="nil"/>
            </w:tcBorders>
            <w:textDirection w:val="lrTb"/>
            <w:vAlign w:val="center"/>
          </w:tcPr>
          <w:p w:rsidR="00DD799E" w:rsidRPr="005645FB" w:rsidP="00DD799E">
            <w:pPr>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 </w:t>
            </w:r>
          </w:p>
        </w:tc>
        <w:tc>
          <w:tcPr>
            <w:tcW w:w="993" w:type="dxa"/>
            <w:tcBorders>
              <w:top w:val="nil"/>
              <w:left w:val="nil"/>
              <w:bottom w:val="single" w:sz="4" w:space="0" w:color="auto"/>
              <w:right w:val="single" w:sz="4" w:space="0" w:color="auto"/>
              <w:tl2br w:val="nil"/>
              <w:tr2bl w:val="nil"/>
            </w:tcBorders>
            <w:noWrap/>
            <w:textDirection w:val="lrTb"/>
            <w:vAlign w:val="center"/>
          </w:tcPr>
          <w:p w:rsidR="00DD799E" w:rsidRPr="005645FB" w:rsidP="00DD799E">
            <w:pPr>
              <w:rPr>
                <w:rFonts w:ascii="Times New Roman" w:hAnsi="Times New Roman" w:cs="Times New Roman"/>
                <w:sz w:val="20"/>
                <w:szCs w:val="20"/>
                <w:lang w:bidi="bn-BD"/>
              </w:rPr>
            </w:pPr>
            <w:r w:rsidRPr="005645FB">
              <w:rPr>
                <w:rFonts w:ascii="Times New Roman" w:hAnsi="Times New Roman" w:cs="Times New Roman"/>
                <w:sz w:val="20"/>
                <w:szCs w:val="20"/>
                <w:lang w:bidi="bn-BD"/>
              </w:rPr>
              <w:t> </w:t>
            </w:r>
          </w:p>
        </w:tc>
        <w:tc>
          <w:tcPr>
            <w:tcW w:w="1055" w:type="dxa"/>
            <w:tcBorders>
              <w:top w:val="nil"/>
              <w:left w:val="nil"/>
              <w:bottom w:val="single" w:sz="4" w:space="0" w:color="auto"/>
              <w:right w:val="single" w:sz="8" w:space="0" w:color="auto"/>
              <w:tl2br w:val="nil"/>
              <w:tr2bl w:val="nil"/>
            </w:tcBorders>
            <w:noWrap/>
            <w:textDirection w:val="lrTb"/>
            <w:vAlign w:val="center"/>
          </w:tcPr>
          <w:p w:rsidR="00DD799E" w:rsidRPr="005645FB" w:rsidP="00DD799E">
            <w:pPr>
              <w:rPr>
                <w:rFonts w:ascii="Times New Roman" w:hAnsi="Times New Roman" w:cs="Times New Roman"/>
                <w:sz w:val="20"/>
                <w:szCs w:val="20"/>
                <w:lang w:bidi="bn-BD"/>
              </w:rPr>
            </w:pPr>
            <w:r w:rsidRPr="005645FB">
              <w:rPr>
                <w:rFonts w:ascii="Times New Roman" w:hAnsi="Times New Roman" w:cs="Times New Roman"/>
                <w:sz w:val="20"/>
                <w:szCs w:val="20"/>
                <w:lang w:bidi="bn-BD"/>
              </w:rPr>
              <w:t> </w:t>
            </w:r>
          </w:p>
        </w:tc>
      </w:tr>
      <w:tr>
        <w:tblPrEx>
          <w:tblW w:w="9530" w:type="dxa"/>
          <w:tblInd w:w="55" w:type="dxa"/>
          <w:tblLayout w:type="fixed"/>
          <w:tblCellMar>
            <w:left w:w="70" w:type="dxa"/>
            <w:right w:w="70" w:type="dxa"/>
          </w:tblCellMar>
        </w:tblPrEx>
        <w:trPr>
          <w:trHeight w:val="217"/>
        </w:trPr>
        <w:tc>
          <w:tcPr>
            <w:tcW w:w="1705" w:type="dxa"/>
            <w:tcBorders>
              <w:top w:val="nil"/>
              <w:left w:val="single" w:sz="8" w:space="0" w:color="auto"/>
              <w:bottom w:val="single" w:sz="4" w:space="0" w:color="auto"/>
              <w:right w:val="single" w:sz="4" w:space="0" w:color="auto"/>
              <w:tl2br w:val="nil"/>
              <w:tr2bl w:val="nil"/>
            </w:tcBorders>
            <w:textDirection w:val="lrTb"/>
            <w:vAlign w:val="center"/>
          </w:tcPr>
          <w:p w:rsidR="00DD799E" w:rsidRPr="005645FB" w:rsidP="00DD799E">
            <w:pPr>
              <w:jc w:val="both"/>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daňové príj</w:t>
            </w:r>
            <w:r w:rsidRPr="005645FB">
              <w:rPr>
                <w:rFonts w:ascii="Times New Roman" w:hAnsi="Times New Roman" w:cs="Times New Roman"/>
                <w:color w:val="000000"/>
                <w:sz w:val="20"/>
                <w:szCs w:val="20"/>
                <w:lang w:bidi="bn-BD"/>
              </w:rPr>
              <w:t>my</w:t>
            </w:r>
          </w:p>
        </w:tc>
        <w:tc>
          <w:tcPr>
            <w:tcW w:w="1190"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222 573,6</w:t>
            </w:r>
          </w:p>
        </w:tc>
        <w:tc>
          <w:tcPr>
            <w:tcW w:w="1104"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215 657,0</w:t>
            </w:r>
          </w:p>
        </w:tc>
        <w:tc>
          <w:tcPr>
            <w:tcW w:w="1056"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215 657,0</w:t>
            </w:r>
          </w:p>
        </w:tc>
        <w:tc>
          <w:tcPr>
            <w:tcW w:w="1260"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236 267,9</w:t>
            </w:r>
          </w:p>
        </w:tc>
        <w:tc>
          <w:tcPr>
            <w:tcW w:w="1167"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109,6</w:t>
            </w:r>
          </w:p>
        </w:tc>
        <w:tc>
          <w:tcPr>
            <w:tcW w:w="993" w:type="dxa"/>
            <w:tcBorders>
              <w:top w:val="nil"/>
              <w:left w:val="nil"/>
              <w:bottom w:val="single" w:sz="4" w:space="0" w:color="auto"/>
              <w:right w:val="single" w:sz="4" w:space="0" w:color="auto"/>
              <w:tl2br w:val="nil"/>
              <w:tr2bl w:val="nil"/>
            </w:tcBorders>
            <w:noWrap/>
            <w:textDirection w:val="lrTb"/>
            <w:vAlign w:val="center"/>
          </w:tcPr>
          <w:p w:rsidR="00DD799E" w:rsidRPr="005645FB" w:rsidP="00DD799E">
            <w:pPr>
              <w:jc w:val="right"/>
              <w:rPr>
                <w:rFonts w:ascii="Times New Roman" w:hAnsi="Times New Roman" w:cs="Times New Roman"/>
                <w:sz w:val="20"/>
                <w:szCs w:val="20"/>
                <w:lang w:bidi="bn-BD"/>
              </w:rPr>
            </w:pPr>
            <w:r w:rsidRPr="005645FB">
              <w:rPr>
                <w:rFonts w:ascii="Times New Roman" w:hAnsi="Times New Roman" w:cs="Times New Roman"/>
                <w:sz w:val="20"/>
                <w:szCs w:val="20"/>
                <w:lang w:bidi="bn-BD"/>
              </w:rPr>
              <w:t>20 610,9</w:t>
            </w:r>
          </w:p>
        </w:tc>
        <w:tc>
          <w:tcPr>
            <w:tcW w:w="1055" w:type="dxa"/>
            <w:tcBorders>
              <w:top w:val="nil"/>
              <w:left w:val="nil"/>
              <w:bottom w:val="single" w:sz="4" w:space="0" w:color="auto"/>
              <w:right w:val="single" w:sz="8" w:space="0" w:color="auto"/>
              <w:tl2br w:val="nil"/>
              <w:tr2bl w:val="nil"/>
            </w:tcBorders>
            <w:noWrap/>
            <w:textDirection w:val="lrTb"/>
            <w:vAlign w:val="center"/>
          </w:tcPr>
          <w:p w:rsidR="00DD799E" w:rsidRPr="005645FB" w:rsidP="00DD799E">
            <w:pPr>
              <w:jc w:val="right"/>
              <w:rPr>
                <w:rFonts w:ascii="Times New Roman" w:hAnsi="Times New Roman" w:cs="Times New Roman"/>
                <w:sz w:val="20"/>
                <w:szCs w:val="20"/>
                <w:lang w:bidi="bn-BD"/>
              </w:rPr>
            </w:pPr>
            <w:r w:rsidRPr="005645FB">
              <w:rPr>
                <w:rFonts w:ascii="Times New Roman" w:hAnsi="Times New Roman" w:cs="Times New Roman"/>
                <w:sz w:val="20"/>
                <w:szCs w:val="20"/>
                <w:lang w:bidi="bn-BD"/>
              </w:rPr>
              <w:t>106,2</w:t>
            </w:r>
          </w:p>
        </w:tc>
      </w:tr>
      <w:tr>
        <w:tblPrEx>
          <w:tblW w:w="9530" w:type="dxa"/>
          <w:tblInd w:w="55" w:type="dxa"/>
          <w:tblLayout w:type="fixed"/>
          <w:tblCellMar>
            <w:left w:w="70" w:type="dxa"/>
            <w:right w:w="70" w:type="dxa"/>
          </w:tblCellMar>
        </w:tblPrEx>
        <w:trPr>
          <w:trHeight w:val="70"/>
        </w:trPr>
        <w:tc>
          <w:tcPr>
            <w:tcW w:w="170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DD799E" w:rsidRPr="005645FB" w:rsidP="00DD799E">
            <w:pPr>
              <w:jc w:val="both"/>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nedaňové príjmy</w:t>
            </w:r>
          </w:p>
        </w:tc>
        <w:tc>
          <w:tcPr>
            <w:tcW w:w="1190" w:type="dxa"/>
            <w:tcBorders>
              <w:top w:val="single" w:sz="4" w:space="0" w:color="auto"/>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21 242,2</w:t>
            </w:r>
          </w:p>
        </w:tc>
        <w:tc>
          <w:tcPr>
            <w:tcW w:w="1104" w:type="dxa"/>
            <w:tcBorders>
              <w:top w:val="single" w:sz="4" w:space="0" w:color="auto"/>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14 966,4</w:t>
            </w:r>
          </w:p>
        </w:tc>
        <w:tc>
          <w:tcPr>
            <w:tcW w:w="1056" w:type="dxa"/>
            <w:tcBorders>
              <w:top w:val="single" w:sz="4" w:space="0" w:color="auto"/>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14 724,0</w:t>
            </w:r>
          </w:p>
        </w:tc>
        <w:tc>
          <w:tcPr>
            <w:tcW w:w="1260" w:type="dxa"/>
            <w:tcBorders>
              <w:top w:val="single" w:sz="4" w:space="0" w:color="auto"/>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19 827,4</w:t>
            </w:r>
          </w:p>
        </w:tc>
        <w:tc>
          <w:tcPr>
            <w:tcW w:w="1167" w:type="dxa"/>
            <w:tcBorders>
              <w:top w:val="single" w:sz="4" w:space="0" w:color="auto"/>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134,7</w:t>
            </w:r>
          </w:p>
        </w:tc>
        <w:tc>
          <w:tcPr>
            <w:tcW w:w="993" w:type="dxa"/>
            <w:tcBorders>
              <w:top w:val="single" w:sz="4" w:space="0" w:color="auto"/>
              <w:left w:val="nil"/>
              <w:bottom w:val="single" w:sz="4" w:space="0" w:color="auto"/>
              <w:right w:val="single" w:sz="4" w:space="0" w:color="auto"/>
              <w:tl2br w:val="nil"/>
              <w:tr2bl w:val="nil"/>
            </w:tcBorders>
            <w:noWrap/>
            <w:textDirection w:val="lrTb"/>
            <w:vAlign w:val="center"/>
          </w:tcPr>
          <w:p w:rsidR="00DD799E" w:rsidRPr="005645FB" w:rsidP="00DD799E">
            <w:pPr>
              <w:jc w:val="right"/>
              <w:rPr>
                <w:rFonts w:ascii="Times New Roman" w:hAnsi="Times New Roman" w:cs="Times New Roman"/>
                <w:sz w:val="20"/>
                <w:szCs w:val="20"/>
                <w:lang w:bidi="bn-BD"/>
              </w:rPr>
            </w:pPr>
            <w:r w:rsidRPr="005645FB">
              <w:rPr>
                <w:rFonts w:ascii="Times New Roman" w:hAnsi="Times New Roman" w:cs="Times New Roman"/>
                <w:sz w:val="20"/>
                <w:szCs w:val="20"/>
                <w:lang w:bidi="bn-BD"/>
              </w:rPr>
              <w:t>5 103,4</w:t>
            </w:r>
          </w:p>
        </w:tc>
        <w:tc>
          <w:tcPr>
            <w:tcW w:w="1055" w:type="dxa"/>
            <w:tcBorders>
              <w:top w:val="single" w:sz="4" w:space="0" w:color="auto"/>
              <w:left w:val="nil"/>
              <w:bottom w:val="single" w:sz="4" w:space="0" w:color="auto"/>
              <w:right w:val="single" w:sz="8" w:space="0" w:color="auto"/>
              <w:tl2br w:val="nil"/>
              <w:tr2bl w:val="nil"/>
            </w:tcBorders>
            <w:noWrap/>
            <w:textDirection w:val="lrTb"/>
            <w:vAlign w:val="center"/>
          </w:tcPr>
          <w:p w:rsidR="00DD799E" w:rsidRPr="005645FB" w:rsidP="00DD799E">
            <w:pPr>
              <w:jc w:val="right"/>
              <w:rPr>
                <w:rFonts w:ascii="Times New Roman" w:hAnsi="Times New Roman" w:cs="Times New Roman"/>
                <w:sz w:val="20"/>
                <w:szCs w:val="20"/>
                <w:lang w:bidi="bn-BD"/>
              </w:rPr>
            </w:pPr>
            <w:r w:rsidRPr="005645FB">
              <w:rPr>
                <w:rFonts w:ascii="Times New Roman" w:hAnsi="Times New Roman" w:cs="Times New Roman"/>
                <w:sz w:val="20"/>
                <w:szCs w:val="20"/>
                <w:lang w:bidi="bn-BD"/>
              </w:rPr>
              <w:t>93,3</w:t>
            </w:r>
          </w:p>
        </w:tc>
      </w:tr>
      <w:tr>
        <w:tblPrEx>
          <w:tblW w:w="9530" w:type="dxa"/>
          <w:tblInd w:w="55" w:type="dxa"/>
          <w:tblLayout w:type="fixed"/>
          <w:tblCellMar>
            <w:left w:w="70" w:type="dxa"/>
            <w:right w:w="70" w:type="dxa"/>
          </w:tblCellMar>
        </w:tblPrEx>
        <w:trPr>
          <w:trHeight w:val="164"/>
        </w:trPr>
        <w:tc>
          <w:tcPr>
            <w:tcW w:w="170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DD799E" w:rsidRPr="005645FB" w:rsidP="00DD799E">
            <w:pPr>
              <w:jc w:val="both"/>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granty a transfery</w:t>
            </w:r>
          </w:p>
        </w:tc>
        <w:tc>
          <w:tcPr>
            <w:tcW w:w="1190" w:type="dxa"/>
            <w:tcBorders>
              <w:top w:val="single" w:sz="4" w:space="0" w:color="auto"/>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14 878,2</w:t>
            </w:r>
          </w:p>
        </w:tc>
        <w:tc>
          <w:tcPr>
            <w:tcW w:w="1104" w:type="dxa"/>
            <w:tcBorders>
              <w:top w:val="single" w:sz="4" w:space="0" w:color="auto"/>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42 093,6</w:t>
            </w:r>
          </w:p>
        </w:tc>
        <w:tc>
          <w:tcPr>
            <w:tcW w:w="1056" w:type="dxa"/>
            <w:tcBorders>
              <w:top w:val="single" w:sz="4" w:space="0" w:color="auto"/>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35 108,8</w:t>
            </w:r>
          </w:p>
        </w:tc>
        <w:tc>
          <w:tcPr>
            <w:tcW w:w="1260" w:type="dxa"/>
            <w:tcBorders>
              <w:top w:val="single" w:sz="4" w:space="0" w:color="auto"/>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35 881,7</w:t>
            </w:r>
          </w:p>
        </w:tc>
        <w:tc>
          <w:tcPr>
            <w:tcW w:w="1167" w:type="dxa"/>
            <w:tcBorders>
              <w:top w:val="single" w:sz="4" w:space="0" w:color="auto"/>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102,2</w:t>
            </w:r>
          </w:p>
        </w:tc>
        <w:tc>
          <w:tcPr>
            <w:tcW w:w="993" w:type="dxa"/>
            <w:tcBorders>
              <w:top w:val="single" w:sz="4" w:space="0" w:color="auto"/>
              <w:left w:val="nil"/>
              <w:bottom w:val="single" w:sz="4" w:space="0" w:color="auto"/>
              <w:right w:val="single" w:sz="4" w:space="0" w:color="auto"/>
              <w:tl2br w:val="nil"/>
              <w:tr2bl w:val="nil"/>
            </w:tcBorders>
            <w:noWrap/>
            <w:textDirection w:val="lrTb"/>
            <w:vAlign w:val="center"/>
          </w:tcPr>
          <w:p w:rsidR="00DD799E" w:rsidRPr="005645FB" w:rsidP="00DD799E">
            <w:pPr>
              <w:jc w:val="right"/>
              <w:rPr>
                <w:rFonts w:ascii="Times New Roman" w:hAnsi="Times New Roman" w:cs="Times New Roman"/>
                <w:sz w:val="20"/>
                <w:szCs w:val="20"/>
                <w:lang w:bidi="bn-BD"/>
              </w:rPr>
            </w:pPr>
            <w:r w:rsidRPr="005645FB">
              <w:rPr>
                <w:rFonts w:ascii="Times New Roman" w:hAnsi="Times New Roman" w:cs="Times New Roman"/>
                <w:sz w:val="20"/>
                <w:szCs w:val="20"/>
                <w:lang w:bidi="bn-BD"/>
              </w:rPr>
              <w:t>772,9</w:t>
            </w:r>
          </w:p>
        </w:tc>
        <w:tc>
          <w:tcPr>
            <w:tcW w:w="1055" w:type="dxa"/>
            <w:tcBorders>
              <w:top w:val="single" w:sz="4" w:space="0" w:color="auto"/>
              <w:left w:val="nil"/>
              <w:bottom w:val="single" w:sz="4" w:space="0" w:color="auto"/>
              <w:right w:val="single" w:sz="8" w:space="0" w:color="auto"/>
              <w:tl2br w:val="nil"/>
              <w:tr2bl w:val="nil"/>
            </w:tcBorders>
            <w:noWrap/>
            <w:textDirection w:val="lrTb"/>
            <w:vAlign w:val="center"/>
          </w:tcPr>
          <w:p w:rsidR="00DD799E" w:rsidRPr="005645FB" w:rsidP="00DD799E">
            <w:pPr>
              <w:jc w:val="right"/>
              <w:rPr>
                <w:rFonts w:ascii="Times New Roman" w:hAnsi="Times New Roman" w:cs="Times New Roman"/>
                <w:sz w:val="20"/>
                <w:szCs w:val="20"/>
                <w:lang w:bidi="bn-BD"/>
              </w:rPr>
            </w:pPr>
            <w:r w:rsidRPr="005645FB">
              <w:rPr>
                <w:rFonts w:ascii="Times New Roman" w:hAnsi="Times New Roman" w:cs="Times New Roman"/>
                <w:sz w:val="20"/>
                <w:szCs w:val="20"/>
                <w:lang w:bidi="bn-BD"/>
              </w:rPr>
              <w:t>241,2</w:t>
            </w:r>
          </w:p>
        </w:tc>
      </w:tr>
      <w:tr>
        <w:tblPrEx>
          <w:tblW w:w="9530" w:type="dxa"/>
          <w:tblInd w:w="55" w:type="dxa"/>
          <w:tblLayout w:type="fixed"/>
          <w:tblCellMar>
            <w:left w:w="70" w:type="dxa"/>
            <w:right w:w="70" w:type="dxa"/>
          </w:tblCellMar>
        </w:tblPrEx>
        <w:trPr>
          <w:trHeight w:val="120"/>
        </w:trPr>
        <w:tc>
          <w:tcPr>
            <w:tcW w:w="1705" w:type="dxa"/>
            <w:tcBorders>
              <w:top w:val="nil"/>
              <w:left w:val="single" w:sz="8" w:space="0" w:color="auto"/>
              <w:bottom w:val="single" w:sz="4" w:space="0" w:color="auto"/>
              <w:right w:val="single" w:sz="4" w:space="0" w:color="auto"/>
              <w:tl2br w:val="nil"/>
              <w:tr2bl w:val="nil"/>
            </w:tcBorders>
            <w:textDirection w:val="lrTb"/>
            <w:vAlign w:val="center"/>
          </w:tcPr>
          <w:p w:rsidR="00DD799E" w:rsidRPr="005645FB" w:rsidP="00DD799E">
            <w:pPr>
              <w:jc w:val="both"/>
              <w:rPr>
                <w:rFonts w:ascii="Times New Roman" w:hAnsi="Times New Roman" w:cs="Times New Roman"/>
                <w:b/>
                <w:bCs/>
                <w:color w:val="000000"/>
                <w:sz w:val="20"/>
                <w:szCs w:val="20"/>
                <w:lang w:bidi="bn-BD"/>
              </w:rPr>
            </w:pPr>
            <w:r w:rsidRPr="005645FB">
              <w:rPr>
                <w:rFonts w:ascii="Times New Roman" w:hAnsi="Times New Roman" w:cs="Times New Roman"/>
                <w:b/>
                <w:bCs/>
                <w:color w:val="000000"/>
                <w:sz w:val="20"/>
                <w:szCs w:val="20"/>
                <w:lang w:bidi="bn-BD"/>
              </w:rPr>
              <w:t>Výdavky spolu</w:t>
            </w:r>
          </w:p>
        </w:tc>
        <w:tc>
          <w:tcPr>
            <w:tcW w:w="1190"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b/>
                <w:bCs/>
                <w:color w:val="000000"/>
                <w:sz w:val="20"/>
                <w:szCs w:val="20"/>
                <w:lang w:bidi="bn-BD"/>
              </w:rPr>
            </w:pPr>
            <w:r w:rsidRPr="005645FB">
              <w:rPr>
                <w:rFonts w:ascii="Times New Roman" w:hAnsi="Times New Roman" w:cs="Times New Roman"/>
                <w:b/>
                <w:bCs/>
                <w:color w:val="000000"/>
                <w:sz w:val="20"/>
                <w:szCs w:val="20"/>
                <w:lang w:bidi="bn-BD"/>
              </w:rPr>
              <w:t>292 580,3</w:t>
            </w:r>
          </w:p>
        </w:tc>
        <w:tc>
          <w:tcPr>
            <w:tcW w:w="1104"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b/>
                <w:bCs/>
                <w:color w:val="000000"/>
                <w:sz w:val="20"/>
                <w:szCs w:val="20"/>
                <w:lang w:bidi="bn-BD"/>
              </w:rPr>
            </w:pPr>
            <w:r w:rsidRPr="005645FB">
              <w:rPr>
                <w:rFonts w:ascii="Times New Roman" w:hAnsi="Times New Roman" w:cs="Times New Roman"/>
                <w:b/>
                <w:bCs/>
                <w:color w:val="000000"/>
                <w:sz w:val="20"/>
                <w:szCs w:val="20"/>
                <w:lang w:bidi="bn-BD"/>
              </w:rPr>
              <w:t>330 185,1</w:t>
            </w:r>
          </w:p>
        </w:tc>
        <w:tc>
          <w:tcPr>
            <w:tcW w:w="1056"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b/>
                <w:bCs/>
                <w:color w:val="000000"/>
                <w:sz w:val="20"/>
                <w:szCs w:val="20"/>
                <w:lang w:bidi="bn-BD"/>
              </w:rPr>
            </w:pPr>
            <w:r w:rsidRPr="005645FB">
              <w:rPr>
                <w:rFonts w:ascii="Times New Roman" w:hAnsi="Times New Roman" w:cs="Times New Roman"/>
                <w:b/>
                <w:bCs/>
                <w:color w:val="000000"/>
                <w:sz w:val="20"/>
                <w:szCs w:val="20"/>
                <w:lang w:bidi="bn-BD"/>
              </w:rPr>
              <w:t>323 949,6</w:t>
            </w:r>
          </w:p>
        </w:tc>
        <w:tc>
          <w:tcPr>
            <w:tcW w:w="1260"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b/>
                <w:bCs/>
                <w:color w:val="000000"/>
                <w:sz w:val="20"/>
                <w:szCs w:val="20"/>
                <w:lang w:bidi="bn-BD"/>
              </w:rPr>
            </w:pPr>
            <w:r w:rsidRPr="005645FB">
              <w:rPr>
                <w:rFonts w:ascii="Times New Roman" w:hAnsi="Times New Roman" w:cs="Times New Roman"/>
                <w:b/>
                <w:bCs/>
                <w:color w:val="000000"/>
                <w:sz w:val="20"/>
                <w:szCs w:val="20"/>
                <w:lang w:bidi="bn-BD"/>
              </w:rPr>
              <w:t>3</w:t>
            </w:r>
            <w:r w:rsidRPr="005645FB">
              <w:rPr>
                <w:rFonts w:ascii="Times New Roman" w:hAnsi="Times New Roman" w:cs="Times New Roman"/>
                <w:b/>
                <w:bCs/>
                <w:color w:val="000000"/>
                <w:sz w:val="20"/>
                <w:szCs w:val="20"/>
                <w:lang w:bidi="bn-BD"/>
              </w:rPr>
              <w:t>23 654,9</w:t>
            </w:r>
          </w:p>
        </w:tc>
        <w:tc>
          <w:tcPr>
            <w:tcW w:w="1167"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b/>
                <w:bCs/>
                <w:color w:val="000000"/>
                <w:sz w:val="20"/>
                <w:szCs w:val="20"/>
                <w:lang w:bidi="bn-BD"/>
              </w:rPr>
            </w:pPr>
            <w:r w:rsidRPr="005645FB">
              <w:rPr>
                <w:rFonts w:ascii="Times New Roman" w:hAnsi="Times New Roman" w:cs="Times New Roman"/>
                <w:b/>
                <w:bCs/>
                <w:color w:val="000000"/>
                <w:sz w:val="20"/>
                <w:szCs w:val="20"/>
                <w:lang w:bidi="bn-BD"/>
              </w:rPr>
              <w:t>99,9</w:t>
            </w:r>
          </w:p>
        </w:tc>
        <w:tc>
          <w:tcPr>
            <w:tcW w:w="993" w:type="dxa"/>
            <w:tcBorders>
              <w:top w:val="nil"/>
              <w:left w:val="nil"/>
              <w:bottom w:val="single" w:sz="4" w:space="0" w:color="auto"/>
              <w:right w:val="single" w:sz="4" w:space="0" w:color="auto"/>
              <w:tl2br w:val="nil"/>
              <w:tr2bl w:val="nil"/>
            </w:tcBorders>
            <w:noWrap/>
            <w:textDirection w:val="lrTb"/>
            <w:vAlign w:val="center"/>
          </w:tcPr>
          <w:p w:rsidR="00DD799E" w:rsidRPr="005645FB" w:rsidP="00DD799E">
            <w:pPr>
              <w:jc w:val="right"/>
              <w:rPr>
                <w:rFonts w:ascii="Times New Roman" w:hAnsi="Times New Roman" w:cs="Times New Roman"/>
                <w:b/>
                <w:bCs/>
                <w:sz w:val="20"/>
                <w:szCs w:val="20"/>
                <w:lang w:bidi="bn-BD"/>
              </w:rPr>
            </w:pPr>
            <w:r w:rsidRPr="005645FB">
              <w:rPr>
                <w:rFonts w:ascii="Times New Roman" w:hAnsi="Times New Roman" w:cs="Times New Roman"/>
                <w:b/>
                <w:bCs/>
                <w:sz w:val="20"/>
                <w:szCs w:val="20"/>
                <w:lang w:bidi="bn-BD"/>
              </w:rPr>
              <w:t>-294,7</w:t>
            </w:r>
          </w:p>
        </w:tc>
        <w:tc>
          <w:tcPr>
            <w:tcW w:w="1055" w:type="dxa"/>
            <w:tcBorders>
              <w:top w:val="nil"/>
              <w:left w:val="nil"/>
              <w:bottom w:val="single" w:sz="4" w:space="0" w:color="auto"/>
              <w:right w:val="single" w:sz="8" w:space="0" w:color="auto"/>
              <w:tl2br w:val="nil"/>
              <w:tr2bl w:val="nil"/>
            </w:tcBorders>
            <w:noWrap/>
            <w:textDirection w:val="lrTb"/>
            <w:vAlign w:val="center"/>
          </w:tcPr>
          <w:p w:rsidR="00DD799E" w:rsidRPr="005645FB" w:rsidP="00DD799E">
            <w:pPr>
              <w:jc w:val="right"/>
              <w:rPr>
                <w:rFonts w:ascii="Times New Roman" w:hAnsi="Times New Roman" w:cs="Times New Roman"/>
                <w:b/>
                <w:bCs/>
                <w:sz w:val="20"/>
                <w:szCs w:val="20"/>
                <w:lang w:bidi="bn-BD"/>
              </w:rPr>
            </w:pPr>
            <w:r w:rsidRPr="005645FB">
              <w:rPr>
                <w:rFonts w:ascii="Times New Roman" w:hAnsi="Times New Roman" w:cs="Times New Roman"/>
                <w:b/>
                <w:bCs/>
                <w:sz w:val="20"/>
                <w:szCs w:val="20"/>
                <w:lang w:bidi="bn-BD"/>
              </w:rPr>
              <w:t>110,6</w:t>
            </w:r>
          </w:p>
        </w:tc>
      </w:tr>
      <w:tr>
        <w:tblPrEx>
          <w:tblW w:w="9530" w:type="dxa"/>
          <w:tblInd w:w="55" w:type="dxa"/>
          <w:tblLayout w:type="fixed"/>
          <w:tblCellMar>
            <w:left w:w="70" w:type="dxa"/>
            <w:right w:w="70" w:type="dxa"/>
          </w:tblCellMar>
        </w:tblPrEx>
        <w:trPr>
          <w:trHeight w:val="70"/>
        </w:trPr>
        <w:tc>
          <w:tcPr>
            <w:tcW w:w="1705" w:type="dxa"/>
            <w:tcBorders>
              <w:top w:val="nil"/>
              <w:left w:val="single" w:sz="8" w:space="0" w:color="auto"/>
              <w:bottom w:val="single" w:sz="4" w:space="0" w:color="auto"/>
              <w:right w:val="single" w:sz="4" w:space="0" w:color="auto"/>
              <w:tl2br w:val="nil"/>
              <w:tr2bl w:val="nil"/>
            </w:tcBorders>
            <w:textDirection w:val="lrTb"/>
            <w:vAlign w:val="center"/>
          </w:tcPr>
          <w:p w:rsidR="00DD799E" w:rsidRPr="005645FB" w:rsidP="00DD799E">
            <w:pPr>
              <w:jc w:val="both"/>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v tom:</w:t>
            </w:r>
          </w:p>
        </w:tc>
        <w:tc>
          <w:tcPr>
            <w:tcW w:w="1190" w:type="dxa"/>
            <w:tcBorders>
              <w:top w:val="nil"/>
              <w:left w:val="nil"/>
              <w:bottom w:val="single" w:sz="4" w:space="0" w:color="auto"/>
              <w:right w:val="single" w:sz="4" w:space="0" w:color="auto"/>
              <w:tl2br w:val="nil"/>
              <w:tr2bl w:val="nil"/>
            </w:tcBorders>
            <w:textDirection w:val="lrTb"/>
            <w:vAlign w:val="center"/>
          </w:tcPr>
          <w:p w:rsidR="00DD799E" w:rsidRPr="005645FB" w:rsidP="00DD799E">
            <w:pPr>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 </w:t>
            </w:r>
          </w:p>
        </w:tc>
        <w:tc>
          <w:tcPr>
            <w:tcW w:w="1104" w:type="dxa"/>
            <w:tcBorders>
              <w:top w:val="nil"/>
              <w:left w:val="nil"/>
              <w:bottom w:val="single" w:sz="4" w:space="0" w:color="auto"/>
              <w:right w:val="single" w:sz="4" w:space="0" w:color="auto"/>
              <w:tl2br w:val="nil"/>
              <w:tr2bl w:val="nil"/>
            </w:tcBorders>
            <w:textDirection w:val="lrTb"/>
            <w:vAlign w:val="center"/>
          </w:tcPr>
          <w:p w:rsidR="00DD799E" w:rsidRPr="005645FB" w:rsidP="00DD799E">
            <w:pPr>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 </w:t>
            </w:r>
          </w:p>
        </w:tc>
        <w:tc>
          <w:tcPr>
            <w:tcW w:w="1056" w:type="dxa"/>
            <w:tcBorders>
              <w:top w:val="nil"/>
              <w:left w:val="nil"/>
              <w:bottom w:val="single" w:sz="4" w:space="0" w:color="auto"/>
              <w:right w:val="single" w:sz="4" w:space="0" w:color="auto"/>
              <w:tl2br w:val="nil"/>
              <w:tr2bl w:val="nil"/>
            </w:tcBorders>
            <w:textDirection w:val="lrTb"/>
            <w:vAlign w:val="center"/>
          </w:tcPr>
          <w:p w:rsidR="00DD799E" w:rsidRPr="005645FB" w:rsidP="00DD799E">
            <w:pPr>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 </w:t>
            </w:r>
          </w:p>
        </w:tc>
        <w:tc>
          <w:tcPr>
            <w:tcW w:w="1260" w:type="dxa"/>
            <w:tcBorders>
              <w:top w:val="nil"/>
              <w:left w:val="nil"/>
              <w:bottom w:val="single" w:sz="4" w:space="0" w:color="auto"/>
              <w:right w:val="single" w:sz="4" w:space="0" w:color="auto"/>
              <w:tl2br w:val="nil"/>
              <w:tr2bl w:val="nil"/>
            </w:tcBorders>
            <w:textDirection w:val="lrTb"/>
            <w:vAlign w:val="center"/>
          </w:tcPr>
          <w:p w:rsidR="00DD799E" w:rsidRPr="005645FB" w:rsidP="00DD799E">
            <w:pPr>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 </w:t>
            </w:r>
          </w:p>
        </w:tc>
        <w:tc>
          <w:tcPr>
            <w:tcW w:w="1167" w:type="dxa"/>
            <w:tcBorders>
              <w:top w:val="nil"/>
              <w:left w:val="nil"/>
              <w:bottom w:val="single" w:sz="4" w:space="0" w:color="auto"/>
              <w:right w:val="single" w:sz="4" w:space="0" w:color="auto"/>
              <w:tl2br w:val="nil"/>
              <w:tr2bl w:val="nil"/>
            </w:tcBorders>
            <w:textDirection w:val="lrTb"/>
            <w:vAlign w:val="center"/>
          </w:tcPr>
          <w:p w:rsidR="00DD799E" w:rsidRPr="005645FB" w:rsidP="00DD799E">
            <w:pPr>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 </w:t>
            </w:r>
          </w:p>
        </w:tc>
        <w:tc>
          <w:tcPr>
            <w:tcW w:w="993" w:type="dxa"/>
            <w:tcBorders>
              <w:top w:val="nil"/>
              <w:left w:val="nil"/>
              <w:bottom w:val="single" w:sz="4" w:space="0" w:color="auto"/>
              <w:right w:val="single" w:sz="4" w:space="0" w:color="auto"/>
              <w:tl2br w:val="nil"/>
              <w:tr2bl w:val="nil"/>
            </w:tcBorders>
            <w:noWrap/>
            <w:textDirection w:val="lrTb"/>
            <w:vAlign w:val="center"/>
          </w:tcPr>
          <w:p w:rsidR="00DD799E" w:rsidRPr="005645FB" w:rsidP="00DD799E">
            <w:pPr>
              <w:rPr>
                <w:rFonts w:ascii="Times New Roman" w:hAnsi="Times New Roman" w:cs="Times New Roman"/>
                <w:sz w:val="20"/>
                <w:szCs w:val="20"/>
                <w:lang w:bidi="bn-BD"/>
              </w:rPr>
            </w:pPr>
            <w:r w:rsidRPr="005645FB">
              <w:rPr>
                <w:rFonts w:ascii="Times New Roman" w:hAnsi="Times New Roman" w:cs="Times New Roman"/>
                <w:sz w:val="20"/>
                <w:szCs w:val="20"/>
                <w:lang w:bidi="bn-BD"/>
              </w:rPr>
              <w:t> </w:t>
            </w:r>
          </w:p>
        </w:tc>
        <w:tc>
          <w:tcPr>
            <w:tcW w:w="1055" w:type="dxa"/>
            <w:tcBorders>
              <w:top w:val="nil"/>
              <w:left w:val="nil"/>
              <w:bottom w:val="single" w:sz="4" w:space="0" w:color="auto"/>
              <w:right w:val="single" w:sz="8" w:space="0" w:color="auto"/>
              <w:tl2br w:val="nil"/>
              <w:tr2bl w:val="nil"/>
            </w:tcBorders>
            <w:noWrap/>
            <w:textDirection w:val="lrTb"/>
            <w:vAlign w:val="center"/>
          </w:tcPr>
          <w:p w:rsidR="00DD799E" w:rsidRPr="005645FB" w:rsidP="00DD799E">
            <w:pPr>
              <w:rPr>
                <w:rFonts w:ascii="Times New Roman" w:hAnsi="Times New Roman" w:cs="Times New Roman"/>
                <w:sz w:val="20"/>
                <w:szCs w:val="20"/>
                <w:lang w:bidi="bn-BD"/>
              </w:rPr>
            </w:pPr>
            <w:r w:rsidRPr="005645FB">
              <w:rPr>
                <w:rFonts w:ascii="Times New Roman" w:hAnsi="Times New Roman" w:cs="Times New Roman"/>
                <w:sz w:val="20"/>
                <w:szCs w:val="20"/>
                <w:lang w:bidi="bn-BD"/>
              </w:rPr>
              <w:t> </w:t>
            </w:r>
          </w:p>
        </w:tc>
      </w:tr>
      <w:tr>
        <w:tblPrEx>
          <w:tblW w:w="9530" w:type="dxa"/>
          <w:tblInd w:w="55" w:type="dxa"/>
          <w:tblLayout w:type="fixed"/>
          <w:tblCellMar>
            <w:left w:w="70" w:type="dxa"/>
            <w:right w:w="70" w:type="dxa"/>
          </w:tblCellMar>
        </w:tblPrEx>
        <w:trPr>
          <w:trHeight w:val="171"/>
        </w:trPr>
        <w:tc>
          <w:tcPr>
            <w:tcW w:w="1705" w:type="dxa"/>
            <w:tcBorders>
              <w:top w:val="nil"/>
              <w:left w:val="single" w:sz="8" w:space="0" w:color="auto"/>
              <w:bottom w:val="single" w:sz="4" w:space="0" w:color="auto"/>
              <w:right w:val="single" w:sz="4" w:space="0" w:color="auto"/>
              <w:tl2br w:val="nil"/>
              <w:tr2bl w:val="nil"/>
            </w:tcBorders>
            <w:textDirection w:val="lrTb"/>
            <w:vAlign w:val="center"/>
          </w:tcPr>
          <w:p w:rsidR="00DD799E" w:rsidRPr="005645FB" w:rsidP="00DD799E">
            <w:pPr>
              <w:jc w:val="both"/>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bežné výdavky</w:t>
            </w:r>
          </w:p>
        </w:tc>
        <w:tc>
          <w:tcPr>
            <w:tcW w:w="1190"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261 087,6</w:t>
            </w:r>
          </w:p>
        </w:tc>
        <w:tc>
          <w:tcPr>
            <w:tcW w:w="1104"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283 409,1</w:t>
            </w:r>
          </w:p>
        </w:tc>
        <w:tc>
          <w:tcPr>
            <w:tcW w:w="1056"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283 606,3</w:t>
            </w:r>
          </w:p>
        </w:tc>
        <w:tc>
          <w:tcPr>
            <w:tcW w:w="1260"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282 757,3</w:t>
            </w:r>
          </w:p>
        </w:tc>
        <w:tc>
          <w:tcPr>
            <w:tcW w:w="1167"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bCs/>
                <w:color w:val="000000"/>
                <w:sz w:val="20"/>
                <w:szCs w:val="20"/>
                <w:lang w:bidi="bn-BD"/>
              </w:rPr>
            </w:pPr>
            <w:r w:rsidRPr="005645FB">
              <w:rPr>
                <w:rFonts w:ascii="Times New Roman" w:hAnsi="Times New Roman" w:cs="Times New Roman"/>
                <w:bCs/>
                <w:color w:val="000000"/>
                <w:sz w:val="20"/>
                <w:szCs w:val="20"/>
                <w:lang w:bidi="bn-BD"/>
              </w:rPr>
              <w:t>99,7</w:t>
            </w:r>
          </w:p>
        </w:tc>
        <w:tc>
          <w:tcPr>
            <w:tcW w:w="993" w:type="dxa"/>
            <w:tcBorders>
              <w:top w:val="nil"/>
              <w:left w:val="nil"/>
              <w:bottom w:val="single" w:sz="4" w:space="0" w:color="auto"/>
              <w:right w:val="single" w:sz="4" w:space="0" w:color="auto"/>
              <w:tl2br w:val="nil"/>
              <w:tr2bl w:val="nil"/>
            </w:tcBorders>
            <w:noWrap/>
            <w:textDirection w:val="lrTb"/>
            <w:vAlign w:val="center"/>
          </w:tcPr>
          <w:p w:rsidR="00DD799E" w:rsidRPr="005645FB" w:rsidP="00DD799E">
            <w:pPr>
              <w:jc w:val="right"/>
              <w:rPr>
                <w:rFonts w:ascii="Times New Roman" w:hAnsi="Times New Roman" w:cs="Times New Roman"/>
                <w:sz w:val="20"/>
                <w:szCs w:val="20"/>
                <w:lang w:bidi="bn-BD"/>
              </w:rPr>
            </w:pPr>
            <w:r w:rsidRPr="005645FB">
              <w:rPr>
                <w:rFonts w:ascii="Times New Roman" w:hAnsi="Times New Roman" w:cs="Times New Roman"/>
                <w:sz w:val="20"/>
                <w:szCs w:val="20"/>
                <w:lang w:bidi="bn-BD"/>
              </w:rPr>
              <w:t>-849,0</w:t>
            </w:r>
          </w:p>
        </w:tc>
        <w:tc>
          <w:tcPr>
            <w:tcW w:w="1055" w:type="dxa"/>
            <w:tcBorders>
              <w:top w:val="nil"/>
              <w:left w:val="nil"/>
              <w:bottom w:val="single" w:sz="4" w:space="0" w:color="auto"/>
              <w:right w:val="single" w:sz="8" w:space="0" w:color="auto"/>
              <w:tl2br w:val="nil"/>
              <w:tr2bl w:val="nil"/>
            </w:tcBorders>
            <w:noWrap/>
            <w:textDirection w:val="lrTb"/>
            <w:vAlign w:val="center"/>
          </w:tcPr>
          <w:p w:rsidR="00DD799E" w:rsidRPr="005645FB" w:rsidP="00DD799E">
            <w:pPr>
              <w:jc w:val="right"/>
              <w:rPr>
                <w:rFonts w:ascii="Times New Roman" w:hAnsi="Times New Roman" w:cs="Times New Roman"/>
                <w:sz w:val="20"/>
                <w:szCs w:val="20"/>
                <w:lang w:bidi="bn-BD"/>
              </w:rPr>
            </w:pPr>
            <w:r w:rsidRPr="005645FB">
              <w:rPr>
                <w:rFonts w:ascii="Times New Roman" w:hAnsi="Times New Roman" w:cs="Times New Roman"/>
                <w:sz w:val="20"/>
                <w:szCs w:val="20"/>
                <w:lang w:bidi="bn-BD"/>
              </w:rPr>
              <w:t>108,3</w:t>
            </w:r>
          </w:p>
        </w:tc>
      </w:tr>
      <w:tr>
        <w:tblPrEx>
          <w:tblW w:w="9530" w:type="dxa"/>
          <w:tblInd w:w="55" w:type="dxa"/>
          <w:tblLayout w:type="fixed"/>
          <w:tblCellMar>
            <w:left w:w="70" w:type="dxa"/>
            <w:right w:w="70" w:type="dxa"/>
          </w:tblCellMar>
        </w:tblPrEx>
        <w:trPr>
          <w:trHeight w:val="463"/>
        </w:trPr>
        <w:tc>
          <w:tcPr>
            <w:tcW w:w="1705" w:type="dxa"/>
            <w:tcBorders>
              <w:top w:val="nil"/>
              <w:left w:val="single" w:sz="8" w:space="0" w:color="auto"/>
              <w:bottom w:val="single" w:sz="4" w:space="0" w:color="auto"/>
              <w:right w:val="single" w:sz="4" w:space="0" w:color="auto"/>
              <w:tl2br w:val="nil"/>
              <w:tr2bl w:val="nil"/>
            </w:tcBorders>
            <w:textDirection w:val="lrTb"/>
            <w:vAlign w:val="center"/>
          </w:tcPr>
          <w:p w:rsidR="00DD799E" w:rsidRPr="005645FB" w:rsidP="00DD799E">
            <w:pPr>
              <w:jc w:val="both"/>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kapitálové výdavky</w:t>
            </w:r>
          </w:p>
        </w:tc>
        <w:tc>
          <w:tcPr>
            <w:tcW w:w="1190"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31 492,7</w:t>
            </w:r>
          </w:p>
        </w:tc>
        <w:tc>
          <w:tcPr>
            <w:tcW w:w="1104"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46 776,0</w:t>
            </w:r>
          </w:p>
        </w:tc>
        <w:tc>
          <w:tcPr>
            <w:tcW w:w="1056"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40 343,3</w:t>
            </w:r>
          </w:p>
        </w:tc>
        <w:tc>
          <w:tcPr>
            <w:tcW w:w="1260"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color w:val="000000"/>
                <w:sz w:val="20"/>
                <w:szCs w:val="20"/>
                <w:lang w:bidi="bn-BD"/>
              </w:rPr>
            </w:pPr>
            <w:r w:rsidRPr="005645FB">
              <w:rPr>
                <w:rFonts w:ascii="Times New Roman" w:hAnsi="Times New Roman" w:cs="Times New Roman"/>
                <w:color w:val="000000"/>
                <w:sz w:val="20"/>
                <w:szCs w:val="20"/>
                <w:lang w:bidi="bn-BD"/>
              </w:rPr>
              <w:t>40 897,6</w:t>
            </w:r>
          </w:p>
        </w:tc>
        <w:tc>
          <w:tcPr>
            <w:tcW w:w="1167" w:type="dxa"/>
            <w:tcBorders>
              <w:top w:val="nil"/>
              <w:left w:val="nil"/>
              <w:bottom w:val="single" w:sz="4"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bCs/>
                <w:color w:val="000000"/>
                <w:sz w:val="20"/>
                <w:szCs w:val="20"/>
                <w:lang w:bidi="bn-BD"/>
              </w:rPr>
            </w:pPr>
            <w:r w:rsidRPr="005645FB">
              <w:rPr>
                <w:rFonts w:ascii="Times New Roman" w:hAnsi="Times New Roman" w:cs="Times New Roman"/>
                <w:bCs/>
                <w:color w:val="000000"/>
                <w:sz w:val="20"/>
                <w:szCs w:val="20"/>
                <w:lang w:bidi="bn-BD"/>
              </w:rPr>
              <w:t>101,4</w:t>
            </w:r>
          </w:p>
        </w:tc>
        <w:tc>
          <w:tcPr>
            <w:tcW w:w="993" w:type="dxa"/>
            <w:tcBorders>
              <w:top w:val="nil"/>
              <w:left w:val="nil"/>
              <w:bottom w:val="single" w:sz="4" w:space="0" w:color="auto"/>
              <w:right w:val="single" w:sz="4" w:space="0" w:color="auto"/>
              <w:tl2br w:val="nil"/>
              <w:tr2bl w:val="nil"/>
            </w:tcBorders>
            <w:noWrap/>
            <w:textDirection w:val="lrTb"/>
            <w:vAlign w:val="center"/>
          </w:tcPr>
          <w:p w:rsidR="00DD799E" w:rsidRPr="005645FB" w:rsidP="00DD799E">
            <w:pPr>
              <w:jc w:val="right"/>
              <w:rPr>
                <w:rFonts w:ascii="Times New Roman" w:hAnsi="Times New Roman" w:cs="Times New Roman"/>
                <w:sz w:val="20"/>
                <w:szCs w:val="20"/>
                <w:lang w:bidi="bn-BD"/>
              </w:rPr>
            </w:pPr>
            <w:r w:rsidRPr="005645FB">
              <w:rPr>
                <w:rFonts w:ascii="Times New Roman" w:hAnsi="Times New Roman" w:cs="Times New Roman"/>
                <w:sz w:val="20"/>
                <w:szCs w:val="20"/>
                <w:lang w:bidi="bn-BD"/>
              </w:rPr>
              <w:t>554,3</w:t>
            </w:r>
          </w:p>
        </w:tc>
        <w:tc>
          <w:tcPr>
            <w:tcW w:w="1055" w:type="dxa"/>
            <w:tcBorders>
              <w:top w:val="nil"/>
              <w:left w:val="nil"/>
              <w:bottom w:val="single" w:sz="4" w:space="0" w:color="auto"/>
              <w:right w:val="single" w:sz="8" w:space="0" w:color="auto"/>
              <w:tl2br w:val="nil"/>
              <w:tr2bl w:val="nil"/>
            </w:tcBorders>
            <w:noWrap/>
            <w:textDirection w:val="lrTb"/>
            <w:vAlign w:val="center"/>
          </w:tcPr>
          <w:p w:rsidR="00DD799E" w:rsidRPr="005645FB" w:rsidP="00DD799E">
            <w:pPr>
              <w:jc w:val="right"/>
              <w:rPr>
                <w:rFonts w:ascii="Times New Roman" w:hAnsi="Times New Roman" w:cs="Times New Roman"/>
                <w:sz w:val="20"/>
                <w:szCs w:val="20"/>
                <w:lang w:bidi="bn-BD"/>
              </w:rPr>
            </w:pPr>
            <w:r w:rsidRPr="005645FB">
              <w:rPr>
                <w:rFonts w:ascii="Times New Roman" w:hAnsi="Times New Roman" w:cs="Times New Roman"/>
                <w:sz w:val="20"/>
                <w:szCs w:val="20"/>
                <w:lang w:bidi="bn-BD"/>
              </w:rPr>
              <w:t>129,9</w:t>
            </w:r>
          </w:p>
        </w:tc>
      </w:tr>
      <w:tr>
        <w:tblPrEx>
          <w:tblW w:w="9530" w:type="dxa"/>
          <w:tblInd w:w="55" w:type="dxa"/>
          <w:tblLayout w:type="fixed"/>
          <w:tblCellMar>
            <w:left w:w="70" w:type="dxa"/>
            <w:right w:w="70" w:type="dxa"/>
          </w:tblCellMar>
        </w:tblPrEx>
        <w:trPr>
          <w:trHeight w:val="369"/>
        </w:trPr>
        <w:tc>
          <w:tcPr>
            <w:tcW w:w="1705" w:type="dxa"/>
            <w:tcBorders>
              <w:top w:val="single" w:sz="4" w:space="0" w:color="auto"/>
              <w:left w:val="single" w:sz="8" w:space="0" w:color="auto"/>
              <w:bottom w:val="double" w:sz="6" w:space="0" w:color="auto"/>
              <w:right w:val="single" w:sz="4" w:space="0" w:color="auto"/>
              <w:tl2br w:val="nil"/>
              <w:tr2bl w:val="nil"/>
            </w:tcBorders>
            <w:textDirection w:val="lrTb"/>
            <w:vAlign w:val="center"/>
          </w:tcPr>
          <w:p w:rsidR="00DD799E" w:rsidRPr="005645FB" w:rsidP="00DD799E">
            <w:pPr>
              <w:jc w:val="both"/>
              <w:rPr>
                <w:rFonts w:ascii="Times New Roman" w:hAnsi="Times New Roman" w:cs="Times New Roman"/>
                <w:b/>
                <w:bCs/>
                <w:color w:val="000000"/>
                <w:sz w:val="20"/>
                <w:szCs w:val="20"/>
                <w:lang w:bidi="bn-BD"/>
              </w:rPr>
            </w:pPr>
            <w:r w:rsidRPr="005645FB" w:rsidR="001F79A1">
              <w:rPr>
                <w:rFonts w:ascii="Times New Roman" w:hAnsi="Times New Roman" w:cs="Times New Roman"/>
                <w:b/>
                <w:bCs/>
                <w:color w:val="000000"/>
                <w:sz w:val="20"/>
                <w:szCs w:val="20"/>
                <w:lang w:bidi="bn-BD"/>
              </w:rPr>
              <w:t>Prebytok</w:t>
            </w:r>
            <w:r w:rsidRPr="005645FB">
              <w:rPr>
                <w:rFonts w:ascii="Times New Roman" w:hAnsi="Times New Roman" w:cs="Times New Roman"/>
                <w:b/>
                <w:bCs/>
                <w:color w:val="000000"/>
                <w:sz w:val="20"/>
                <w:szCs w:val="20"/>
                <w:lang w:bidi="bn-BD"/>
              </w:rPr>
              <w:t>(+), schodok (-)</w:t>
            </w:r>
          </w:p>
        </w:tc>
        <w:tc>
          <w:tcPr>
            <w:tcW w:w="1190" w:type="dxa"/>
            <w:tcBorders>
              <w:top w:val="single" w:sz="4" w:space="0" w:color="auto"/>
              <w:left w:val="nil"/>
              <w:bottom w:val="double" w:sz="6"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b/>
                <w:bCs/>
                <w:color w:val="000000"/>
                <w:sz w:val="20"/>
                <w:szCs w:val="20"/>
                <w:lang w:bidi="bn-BD"/>
              </w:rPr>
            </w:pPr>
            <w:r w:rsidRPr="005645FB">
              <w:rPr>
                <w:rFonts w:ascii="Times New Roman" w:hAnsi="Times New Roman" w:cs="Times New Roman"/>
                <w:b/>
                <w:bCs/>
                <w:color w:val="000000"/>
                <w:sz w:val="20"/>
                <w:szCs w:val="20"/>
                <w:lang w:bidi="bn-BD"/>
              </w:rPr>
              <w:t>-33 886,3</w:t>
            </w:r>
          </w:p>
        </w:tc>
        <w:tc>
          <w:tcPr>
            <w:tcW w:w="1104" w:type="dxa"/>
            <w:tcBorders>
              <w:top w:val="single" w:sz="4" w:space="0" w:color="auto"/>
              <w:left w:val="nil"/>
              <w:bottom w:val="double" w:sz="6"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b/>
                <w:bCs/>
                <w:color w:val="000000"/>
                <w:sz w:val="20"/>
                <w:szCs w:val="20"/>
                <w:lang w:bidi="bn-BD"/>
              </w:rPr>
            </w:pPr>
            <w:r w:rsidRPr="005645FB">
              <w:rPr>
                <w:rFonts w:ascii="Times New Roman" w:hAnsi="Times New Roman" w:cs="Times New Roman"/>
                <w:b/>
                <w:bCs/>
                <w:color w:val="000000"/>
                <w:sz w:val="20"/>
                <w:szCs w:val="20"/>
                <w:lang w:bidi="bn-BD"/>
              </w:rPr>
              <w:t>-57 468,1</w:t>
            </w:r>
          </w:p>
        </w:tc>
        <w:tc>
          <w:tcPr>
            <w:tcW w:w="1056" w:type="dxa"/>
            <w:tcBorders>
              <w:top w:val="single" w:sz="4" w:space="0" w:color="auto"/>
              <w:left w:val="nil"/>
              <w:bottom w:val="double" w:sz="6"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b/>
                <w:bCs/>
                <w:color w:val="000000"/>
                <w:sz w:val="20"/>
                <w:szCs w:val="20"/>
                <w:lang w:bidi="bn-BD"/>
              </w:rPr>
            </w:pPr>
            <w:r w:rsidRPr="005645FB">
              <w:rPr>
                <w:rFonts w:ascii="Times New Roman" w:hAnsi="Times New Roman" w:cs="Times New Roman"/>
                <w:b/>
                <w:bCs/>
                <w:color w:val="000000"/>
                <w:sz w:val="20"/>
                <w:szCs w:val="20"/>
                <w:lang w:bidi="bn-BD"/>
              </w:rPr>
              <w:t>-58 459,8</w:t>
            </w:r>
          </w:p>
        </w:tc>
        <w:tc>
          <w:tcPr>
            <w:tcW w:w="1260" w:type="dxa"/>
            <w:tcBorders>
              <w:top w:val="single" w:sz="4" w:space="0" w:color="auto"/>
              <w:left w:val="nil"/>
              <w:bottom w:val="double" w:sz="6"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b/>
                <w:bCs/>
                <w:color w:val="000000"/>
                <w:sz w:val="20"/>
                <w:szCs w:val="20"/>
                <w:lang w:bidi="bn-BD"/>
              </w:rPr>
            </w:pPr>
            <w:r w:rsidRPr="005645FB">
              <w:rPr>
                <w:rFonts w:ascii="Times New Roman" w:hAnsi="Times New Roman" w:cs="Times New Roman"/>
                <w:b/>
                <w:bCs/>
                <w:color w:val="000000"/>
                <w:sz w:val="20"/>
                <w:szCs w:val="20"/>
                <w:lang w:bidi="bn-BD"/>
              </w:rPr>
              <w:t>-31 </w:t>
            </w:r>
            <w:r w:rsidRPr="005645FB">
              <w:rPr>
                <w:rFonts w:ascii="Times New Roman" w:hAnsi="Times New Roman" w:cs="Times New Roman"/>
                <w:b/>
                <w:bCs/>
                <w:color w:val="000000"/>
                <w:sz w:val="20"/>
                <w:szCs w:val="20"/>
                <w:lang w:bidi="bn-BD"/>
              </w:rPr>
              <w:t>677,9</w:t>
            </w:r>
          </w:p>
        </w:tc>
        <w:tc>
          <w:tcPr>
            <w:tcW w:w="1167" w:type="dxa"/>
            <w:tcBorders>
              <w:top w:val="single" w:sz="4" w:space="0" w:color="auto"/>
              <w:left w:val="nil"/>
              <w:bottom w:val="double" w:sz="6" w:space="0" w:color="auto"/>
              <w:right w:val="single" w:sz="4" w:space="0" w:color="auto"/>
              <w:tl2br w:val="nil"/>
              <w:tr2bl w:val="nil"/>
            </w:tcBorders>
            <w:textDirection w:val="lrTb"/>
            <w:vAlign w:val="center"/>
          </w:tcPr>
          <w:p w:rsidR="00DD799E" w:rsidRPr="005645FB" w:rsidP="00DD799E">
            <w:pPr>
              <w:jc w:val="right"/>
              <w:rPr>
                <w:rFonts w:ascii="Times New Roman" w:hAnsi="Times New Roman" w:cs="Times New Roman"/>
                <w:b/>
                <w:bCs/>
                <w:color w:val="000000"/>
                <w:sz w:val="20"/>
                <w:szCs w:val="20"/>
                <w:lang w:bidi="bn-BD"/>
              </w:rPr>
            </w:pPr>
            <w:r w:rsidRPr="005645FB">
              <w:rPr>
                <w:rFonts w:ascii="Times New Roman" w:hAnsi="Times New Roman" w:cs="Times New Roman"/>
                <w:b/>
                <w:bCs/>
                <w:color w:val="000000"/>
                <w:sz w:val="20"/>
                <w:szCs w:val="20"/>
                <w:lang w:bidi="bn-BD"/>
              </w:rPr>
              <w:t>54,2</w:t>
            </w:r>
          </w:p>
        </w:tc>
        <w:tc>
          <w:tcPr>
            <w:tcW w:w="993" w:type="dxa"/>
            <w:tcBorders>
              <w:top w:val="single" w:sz="4" w:space="0" w:color="auto"/>
              <w:left w:val="nil"/>
              <w:bottom w:val="double" w:sz="6" w:space="0" w:color="auto"/>
              <w:right w:val="single" w:sz="4" w:space="0" w:color="auto"/>
              <w:tl2br w:val="nil"/>
              <w:tr2bl w:val="nil"/>
            </w:tcBorders>
            <w:noWrap/>
            <w:textDirection w:val="lrTb"/>
            <w:vAlign w:val="center"/>
          </w:tcPr>
          <w:p w:rsidR="00DD799E" w:rsidRPr="005645FB" w:rsidP="00DD799E">
            <w:pPr>
              <w:jc w:val="right"/>
              <w:rPr>
                <w:rFonts w:ascii="Times New Roman" w:hAnsi="Times New Roman" w:cs="Times New Roman"/>
                <w:b/>
                <w:bCs/>
                <w:sz w:val="20"/>
                <w:szCs w:val="20"/>
                <w:lang w:bidi="bn-BD"/>
              </w:rPr>
            </w:pPr>
            <w:r w:rsidRPr="005645FB">
              <w:rPr>
                <w:rFonts w:ascii="Times New Roman" w:hAnsi="Times New Roman" w:cs="Times New Roman"/>
                <w:b/>
                <w:bCs/>
                <w:sz w:val="20"/>
                <w:szCs w:val="20"/>
                <w:lang w:bidi="bn-BD"/>
              </w:rPr>
              <w:t>26 781,9</w:t>
            </w:r>
          </w:p>
        </w:tc>
        <w:tc>
          <w:tcPr>
            <w:tcW w:w="1055" w:type="dxa"/>
            <w:tcBorders>
              <w:top w:val="single" w:sz="4" w:space="0" w:color="auto"/>
              <w:left w:val="nil"/>
              <w:bottom w:val="double" w:sz="6" w:space="0" w:color="auto"/>
              <w:right w:val="single" w:sz="8" w:space="0" w:color="auto"/>
              <w:tl2br w:val="nil"/>
              <w:tr2bl w:val="nil"/>
            </w:tcBorders>
            <w:noWrap/>
            <w:textDirection w:val="lrTb"/>
            <w:vAlign w:val="center"/>
          </w:tcPr>
          <w:p w:rsidR="00DD799E" w:rsidRPr="005645FB" w:rsidP="00DD799E">
            <w:pPr>
              <w:jc w:val="right"/>
              <w:rPr>
                <w:rFonts w:ascii="Times New Roman" w:hAnsi="Times New Roman" w:cs="Times New Roman"/>
                <w:b/>
                <w:bCs/>
                <w:sz w:val="20"/>
                <w:szCs w:val="20"/>
                <w:lang w:bidi="bn-BD"/>
              </w:rPr>
            </w:pPr>
            <w:r w:rsidRPr="005645FB">
              <w:rPr>
                <w:rFonts w:ascii="Times New Roman" w:hAnsi="Times New Roman" w:cs="Times New Roman"/>
                <w:b/>
                <w:bCs/>
                <w:sz w:val="20"/>
                <w:szCs w:val="20"/>
                <w:lang w:bidi="bn-BD"/>
              </w:rPr>
              <w:t>93,5</w:t>
            </w:r>
          </w:p>
        </w:tc>
      </w:tr>
      <w:tr>
        <w:tblPrEx>
          <w:tblW w:w="9530" w:type="dxa"/>
          <w:tblInd w:w="55" w:type="dxa"/>
          <w:tblLayout w:type="fixed"/>
          <w:tblCellMar>
            <w:left w:w="70" w:type="dxa"/>
            <w:right w:w="70" w:type="dxa"/>
          </w:tblCellMar>
        </w:tblPrEx>
        <w:trPr>
          <w:trHeight w:val="294"/>
        </w:trPr>
        <w:tc>
          <w:tcPr>
            <w:tcW w:w="2895" w:type="dxa"/>
            <w:gridSpan w:val="2"/>
            <w:tcBorders>
              <w:top w:val="double" w:sz="6" w:space="0" w:color="auto"/>
              <w:left w:val="nil"/>
              <w:bottom w:val="nil"/>
              <w:right w:val="nil"/>
              <w:tl2br w:val="nil"/>
              <w:tr2bl w:val="nil"/>
            </w:tcBorders>
            <w:noWrap/>
            <w:textDirection w:val="lrTb"/>
            <w:vAlign w:val="bottom"/>
          </w:tcPr>
          <w:p w:rsidR="00DD799E" w:rsidRPr="005645FB" w:rsidP="00DD799E">
            <w:pPr>
              <w:rPr>
                <w:rFonts w:ascii="Arial" w:hAnsi="Arial" w:cs="Times New Roman"/>
                <w:sz w:val="20"/>
                <w:szCs w:val="20"/>
                <w:lang w:bidi="bn-BD"/>
              </w:rPr>
            </w:pPr>
            <w:r w:rsidRPr="005645FB">
              <w:rPr>
                <w:rFonts w:ascii="Times New Roman" w:hAnsi="Times New Roman" w:cs="Times New Roman"/>
                <w:sz w:val="20"/>
                <w:szCs w:val="20"/>
                <w:lang w:bidi="bn-BD"/>
              </w:rPr>
              <w:t>Zdroj: Ministerstvo financií SR</w:t>
            </w:r>
          </w:p>
        </w:tc>
        <w:tc>
          <w:tcPr>
            <w:tcW w:w="1104" w:type="dxa"/>
            <w:tcBorders>
              <w:top w:val="double" w:sz="6" w:space="0" w:color="auto"/>
              <w:left w:val="nil"/>
              <w:bottom w:val="nil"/>
              <w:right w:val="nil"/>
              <w:tl2br w:val="nil"/>
              <w:tr2bl w:val="nil"/>
            </w:tcBorders>
            <w:noWrap/>
            <w:textDirection w:val="lrTb"/>
            <w:vAlign w:val="bottom"/>
          </w:tcPr>
          <w:p w:rsidR="00DD799E" w:rsidRPr="005645FB" w:rsidP="00DD799E">
            <w:pPr>
              <w:rPr>
                <w:rFonts w:ascii="Arial" w:hAnsi="Arial" w:cs="Times New Roman"/>
                <w:sz w:val="20"/>
                <w:szCs w:val="20"/>
                <w:lang w:bidi="bn-BD"/>
              </w:rPr>
            </w:pPr>
          </w:p>
        </w:tc>
        <w:tc>
          <w:tcPr>
            <w:tcW w:w="1056" w:type="dxa"/>
            <w:tcBorders>
              <w:top w:val="double" w:sz="6" w:space="0" w:color="auto"/>
              <w:left w:val="nil"/>
              <w:bottom w:val="nil"/>
              <w:right w:val="nil"/>
              <w:tl2br w:val="nil"/>
              <w:tr2bl w:val="nil"/>
            </w:tcBorders>
            <w:noWrap/>
            <w:textDirection w:val="lrTb"/>
            <w:vAlign w:val="bottom"/>
          </w:tcPr>
          <w:p w:rsidR="00DD799E" w:rsidRPr="005645FB" w:rsidP="00DD799E">
            <w:pPr>
              <w:rPr>
                <w:rFonts w:ascii="Arial" w:hAnsi="Arial" w:cs="Times New Roman"/>
                <w:sz w:val="20"/>
                <w:szCs w:val="20"/>
                <w:lang w:bidi="bn-BD"/>
              </w:rPr>
            </w:pPr>
          </w:p>
        </w:tc>
        <w:tc>
          <w:tcPr>
            <w:tcW w:w="1260" w:type="dxa"/>
            <w:tcBorders>
              <w:top w:val="double" w:sz="6" w:space="0" w:color="auto"/>
              <w:left w:val="nil"/>
              <w:bottom w:val="nil"/>
              <w:right w:val="nil"/>
              <w:tl2br w:val="nil"/>
              <w:tr2bl w:val="nil"/>
            </w:tcBorders>
            <w:noWrap/>
            <w:textDirection w:val="lrTb"/>
            <w:vAlign w:val="bottom"/>
          </w:tcPr>
          <w:p w:rsidR="00DD799E" w:rsidRPr="005645FB" w:rsidP="00DD799E">
            <w:pPr>
              <w:rPr>
                <w:rFonts w:ascii="Arial" w:hAnsi="Arial" w:cs="Times New Roman"/>
                <w:sz w:val="20"/>
                <w:szCs w:val="20"/>
                <w:lang w:bidi="bn-BD"/>
              </w:rPr>
            </w:pPr>
          </w:p>
        </w:tc>
        <w:tc>
          <w:tcPr>
            <w:tcW w:w="1167" w:type="dxa"/>
            <w:tcBorders>
              <w:top w:val="double" w:sz="6" w:space="0" w:color="auto"/>
              <w:left w:val="nil"/>
              <w:bottom w:val="nil"/>
              <w:right w:val="nil"/>
              <w:tl2br w:val="nil"/>
              <w:tr2bl w:val="nil"/>
            </w:tcBorders>
            <w:noWrap/>
            <w:textDirection w:val="lrTb"/>
            <w:vAlign w:val="bottom"/>
          </w:tcPr>
          <w:p w:rsidR="00DD799E" w:rsidRPr="005645FB" w:rsidP="00DD799E">
            <w:pPr>
              <w:rPr>
                <w:rFonts w:ascii="Arial" w:hAnsi="Arial" w:cs="Times New Roman"/>
                <w:sz w:val="20"/>
                <w:szCs w:val="20"/>
                <w:lang w:bidi="bn-BD"/>
              </w:rPr>
            </w:pPr>
          </w:p>
        </w:tc>
        <w:tc>
          <w:tcPr>
            <w:tcW w:w="993" w:type="dxa"/>
            <w:tcBorders>
              <w:top w:val="double" w:sz="6" w:space="0" w:color="auto"/>
              <w:left w:val="nil"/>
              <w:bottom w:val="nil"/>
              <w:right w:val="nil"/>
              <w:tl2br w:val="nil"/>
              <w:tr2bl w:val="nil"/>
            </w:tcBorders>
            <w:noWrap/>
            <w:textDirection w:val="lrTb"/>
            <w:vAlign w:val="bottom"/>
          </w:tcPr>
          <w:p w:rsidR="00DD799E" w:rsidRPr="005645FB" w:rsidP="00DD799E">
            <w:pPr>
              <w:rPr>
                <w:rFonts w:ascii="Arial" w:hAnsi="Arial" w:cs="Times New Roman"/>
                <w:sz w:val="20"/>
                <w:szCs w:val="20"/>
                <w:lang w:bidi="bn-BD"/>
              </w:rPr>
            </w:pPr>
          </w:p>
        </w:tc>
        <w:tc>
          <w:tcPr>
            <w:tcW w:w="1055" w:type="dxa"/>
            <w:tcBorders>
              <w:top w:val="double" w:sz="6" w:space="0" w:color="auto"/>
              <w:left w:val="nil"/>
              <w:bottom w:val="nil"/>
              <w:right w:val="nil"/>
              <w:tl2br w:val="nil"/>
              <w:tr2bl w:val="nil"/>
            </w:tcBorders>
            <w:noWrap/>
            <w:textDirection w:val="lrTb"/>
            <w:vAlign w:val="bottom"/>
          </w:tcPr>
          <w:p w:rsidR="00DD799E" w:rsidRPr="005645FB" w:rsidP="00DD799E">
            <w:pPr>
              <w:rPr>
                <w:rFonts w:ascii="Arial" w:hAnsi="Arial" w:cs="Times New Roman"/>
                <w:sz w:val="20"/>
                <w:szCs w:val="20"/>
                <w:lang w:bidi="bn-BD"/>
              </w:rPr>
            </w:pPr>
          </w:p>
        </w:tc>
      </w:tr>
    </w:tbl>
    <w:p w:rsidR="00DD799E" w:rsidP="00DD799E">
      <w:pPr>
        <w:rPr>
          <w:rFonts w:ascii="Times New Roman" w:hAnsi="Times New Roman" w:cs="Times New Roman"/>
          <w:sz w:val="18"/>
          <w:szCs w:val="18"/>
          <w:lang w:bidi="bn-BD"/>
        </w:rPr>
      </w:pPr>
    </w:p>
    <w:p w:rsidR="00DD799E" w:rsidRPr="00C04F45" w:rsidP="00DD799E">
      <w:pPr>
        <w:autoSpaceDE/>
        <w:autoSpaceDN/>
        <w:spacing w:before="120" w:line="360" w:lineRule="auto"/>
        <w:jc w:val="both"/>
        <w:rPr>
          <w:rFonts w:ascii="Times New Roman" w:hAnsi="Times New Roman" w:cs="Times New Roman"/>
        </w:rPr>
      </w:pPr>
      <w:r>
        <w:rPr>
          <w:rFonts w:ascii="Times New Roman" w:hAnsi="Times New Roman" w:cs="Times New Roman"/>
        </w:rPr>
        <w:tab/>
        <w:t>C</w:t>
      </w:r>
      <w:r w:rsidRPr="00C04F45">
        <w:rPr>
          <w:rFonts w:ascii="Times New Roman" w:hAnsi="Times New Roman" w:cs="Times New Roman"/>
        </w:rPr>
        <w:t>elkové príjmy štátneho  rozpočtu dosiahli 291 977,0 mil. Sk a boli o 19 260,0 mil. Sk vyššie než pôvodne schválený rozpočet a o 26 487,2 mil. Sk  vyššie než upravený rozpočet. Medziročne s</w:t>
      </w:r>
      <w:r w:rsidRPr="00C04F45">
        <w:rPr>
          <w:rFonts w:ascii="Times New Roman" w:hAnsi="Times New Roman" w:cs="Times New Roman"/>
        </w:rPr>
        <w:t>a zvýšili o 33 283,</w:t>
      </w:r>
      <w:r>
        <w:rPr>
          <w:rFonts w:ascii="Times New Roman" w:hAnsi="Times New Roman" w:cs="Times New Roman"/>
        </w:rPr>
        <w:t>0</w:t>
      </w:r>
      <w:r w:rsidRPr="00C04F45">
        <w:rPr>
          <w:rFonts w:ascii="Times New Roman" w:hAnsi="Times New Roman" w:cs="Times New Roman"/>
        </w:rPr>
        <w:t xml:space="preserve"> mil. Sk, t. j. o 12,9 % .</w:t>
      </w:r>
    </w:p>
    <w:p w:rsidR="00DD799E" w:rsidRPr="00C04F45" w:rsidP="00DD799E">
      <w:pPr>
        <w:autoSpaceDE/>
        <w:autoSpaceDN/>
        <w:spacing w:before="120" w:line="360" w:lineRule="auto"/>
        <w:jc w:val="both"/>
        <w:rPr>
          <w:rFonts w:ascii="Times New Roman" w:hAnsi="Times New Roman" w:cs="Times New Roman"/>
        </w:rPr>
      </w:pPr>
      <w:r w:rsidRPr="00C04F45">
        <w:rPr>
          <w:rFonts w:ascii="Times New Roman" w:hAnsi="Times New Roman" w:cs="Times New Roman"/>
        </w:rPr>
        <w:t>          Výdavky sa čerpali vo výške 323</w:t>
      </w:r>
      <w:r>
        <w:rPr>
          <w:rFonts w:ascii="Times New Roman" w:hAnsi="Times New Roman" w:cs="Times New Roman"/>
        </w:rPr>
        <w:t> </w:t>
      </w:r>
      <w:r w:rsidRPr="00C04F45">
        <w:rPr>
          <w:rFonts w:ascii="Times New Roman" w:hAnsi="Times New Roman" w:cs="Times New Roman"/>
        </w:rPr>
        <w:t>6</w:t>
      </w:r>
      <w:r>
        <w:rPr>
          <w:rFonts w:ascii="Times New Roman" w:hAnsi="Times New Roman" w:cs="Times New Roman"/>
        </w:rPr>
        <w:t>54,9</w:t>
      </w:r>
      <w:r w:rsidRPr="00C04F45">
        <w:rPr>
          <w:rFonts w:ascii="Times New Roman" w:hAnsi="Times New Roman" w:cs="Times New Roman"/>
        </w:rPr>
        <w:t xml:space="preserve"> mil. Sk, čo je o 6</w:t>
      </w:r>
      <w:r>
        <w:rPr>
          <w:rFonts w:ascii="Times New Roman" w:hAnsi="Times New Roman" w:cs="Times New Roman"/>
        </w:rPr>
        <w:t> </w:t>
      </w:r>
      <w:r w:rsidRPr="00C04F45">
        <w:rPr>
          <w:rFonts w:ascii="Times New Roman" w:hAnsi="Times New Roman" w:cs="Times New Roman"/>
        </w:rPr>
        <w:t>5</w:t>
      </w:r>
      <w:r>
        <w:rPr>
          <w:rFonts w:ascii="Times New Roman" w:hAnsi="Times New Roman" w:cs="Times New Roman"/>
        </w:rPr>
        <w:t>30,2</w:t>
      </w:r>
      <w:r w:rsidRPr="00C04F45">
        <w:rPr>
          <w:rFonts w:ascii="Times New Roman" w:hAnsi="Times New Roman" w:cs="Times New Roman"/>
        </w:rPr>
        <w:t xml:space="preserve"> mil. Sk menej vo vzťahu k pôvodne schválenému a o</w:t>
      </w:r>
      <w:r>
        <w:rPr>
          <w:rFonts w:ascii="Times New Roman" w:hAnsi="Times New Roman" w:cs="Times New Roman"/>
        </w:rPr>
        <w:t> </w:t>
      </w:r>
      <w:r w:rsidRPr="00C04F45">
        <w:rPr>
          <w:rFonts w:ascii="Times New Roman" w:hAnsi="Times New Roman" w:cs="Times New Roman"/>
        </w:rPr>
        <w:t>2</w:t>
      </w:r>
      <w:r>
        <w:rPr>
          <w:rFonts w:ascii="Times New Roman" w:hAnsi="Times New Roman" w:cs="Times New Roman"/>
        </w:rPr>
        <w:t>94,7</w:t>
      </w:r>
      <w:r w:rsidRPr="00C04F45">
        <w:rPr>
          <w:rFonts w:ascii="Times New Roman" w:hAnsi="Times New Roman" w:cs="Times New Roman"/>
        </w:rPr>
        <w:t xml:space="preserve"> mil. Sk </w:t>
      </w:r>
      <w:r w:rsidR="00C651EB">
        <w:rPr>
          <w:rFonts w:ascii="Times New Roman" w:hAnsi="Times New Roman" w:cs="Times New Roman"/>
        </w:rPr>
        <w:t xml:space="preserve">menej voči upravenému rozpočtu.             </w:t>
      </w:r>
      <w:r w:rsidRPr="00C04F45">
        <w:rPr>
          <w:rFonts w:ascii="Times New Roman" w:hAnsi="Times New Roman" w:cs="Times New Roman"/>
        </w:rPr>
        <w:t xml:space="preserve">V porovnaní s rokom 2005 sa </w:t>
      </w:r>
      <w:r w:rsidRPr="00C04F45">
        <w:rPr>
          <w:rFonts w:ascii="Times New Roman" w:hAnsi="Times New Roman" w:cs="Times New Roman"/>
        </w:rPr>
        <w:t>však zvýšili o 31 0</w:t>
      </w:r>
      <w:r>
        <w:rPr>
          <w:rFonts w:ascii="Times New Roman" w:hAnsi="Times New Roman" w:cs="Times New Roman"/>
        </w:rPr>
        <w:t>74</w:t>
      </w:r>
      <w:r w:rsidRPr="00C04F45">
        <w:rPr>
          <w:rFonts w:ascii="Times New Roman" w:hAnsi="Times New Roman" w:cs="Times New Roman"/>
        </w:rPr>
        <w:t>,</w:t>
      </w:r>
      <w:r>
        <w:rPr>
          <w:rFonts w:ascii="Times New Roman" w:hAnsi="Times New Roman" w:cs="Times New Roman"/>
        </w:rPr>
        <w:t>6</w:t>
      </w:r>
      <w:r w:rsidRPr="00C04F45">
        <w:rPr>
          <w:rFonts w:ascii="Times New Roman" w:hAnsi="Times New Roman" w:cs="Times New Roman"/>
        </w:rPr>
        <w:t xml:space="preserve"> mil. Sk, t. j. o 10,6 %. </w:t>
      </w:r>
    </w:p>
    <w:p w:rsidR="00DD799E" w:rsidRPr="00C651EB" w:rsidP="00DD799E">
      <w:pPr>
        <w:autoSpaceDE/>
        <w:autoSpaceDN/>
        <w:spacing w:before="120" w:line="360" w:lineRule="auto"/>
        <w:jc w:val="both"/>
        <w:rPr>
          <w:rFonts w:ascii="Times New Roman" w:hAnsi="Times New Roman" w:cs="Times New Roman"/>
          <w:u w:val="single"/>
        </w:rPr>
      </w:pPr>
      <w:r w:rsidRPr="00C04F45">
        <w:rPr>
          <w:rFonts w:ascii="Times New Roman" w:hAnsi="Times New Roman" w:cs="Times New Roman"/>
        </w:rPr>
        <w:t xml:space="preserve">            </w:t>
      </w:r>
      <w:r w:rsidRPr="00C651EB">
        <w:rPr>
          <w:rFonts w:ascii="Times New Roman" w:hAnsi="Times New Roman" w:cs="Times New Roman"/>
          <w:bCs/>
          <w:u w:val="single"/>
        </w:rPr>
        <w:t>Hospodárenie štátneho rozpočtu v roku 2006 sa skončilo schodkom 31 677,9 mil. Sk.</w:t>
      </w:r>
      <w:r w:rsidRPr="00C651EB">
        <w:rPr>
          <w:rFonts w:ascii="Times New Roman" w:hAnsi="Times New Roman" w:cs="Times New Roman"/>
          <w:u w:val="single"/>
        </w:rPr>
        <w:t xml:space="preserve">  Výsledný schodok je o 25 790,2 mil. Sk nižší než určil zákon o štátnom rozpočte a o 26 781,9 mil. Sk nižší oproti upravenému rozpočtu. Medziročne sa schodok  štátneho rozpočtu znížil o 2 208,4 mil. Sk, takže  dosiahol 93,5 % schodku vykázaného v roku 2005. </w:t>
      </w:r>
    </w:p>
    <w:p w:rsidR="00DD799E" w:rsidP="00DD799E">
      <w:pPr>
        <w:ind w:firstLine="360"/>
        <w:rPr>
          <w:rFonts w:ascii="Times New Roman" w:hAnsi="Times New Roman" w:cs="Times New Roman"/>
        </w:rPr>
      </w:pPr>
    </w:p>
    <w:p w:rsidR="00DD799E" w:rsidP="00DD799E">
      <w:pPr>
        <w:ind w:firstLine="360"/>
        <w:rPr>
          <w:rFonts w:ascii="Times New Roman" w:hAnsi="Times New Roman" w:cs="Times New Roman"/>
        </w:rPr>
      </w:pPr>
    </w:p>
    <w:p w:rsidR="00DE3128" w:rsidRPr="00F72A44" w:rsidP="00DE3128">
      <w:pPr>
        <w:pStyle w:val="Heading1"/>
        <w:rPr>
          <w:rFonts w:ascii="Times New Roman" w:hAnsi="Times New Roman" w:cs="Times New Roman"/>
          <w:b w:val="0"/>
        </w:rPr>
      </w:pPr>
      <w:r>
        <w:rPr>
          <w:rFonts w:ascii="Times New Roman" w:hAnsi="Times New Roman" w:cs="Times New Roman"/>
          <w:bCs w:val="0"/>
        </w:rPr>
        <w:t xml:space="preserve">2.1. </w:t>
      </w:r>
      <w:r w:rsidRPr="00F72A44">
        <w:rPr>
          <w:rFonts w:ascii="Times New Roman" w:hAnsi="Times New Roman" w:cs="Times New Roman"/>
          <w:bCs w:val="0"/>
        </w:rPr>
        <w:t xml:space="preserve">Príjmy štátneho rozpočtu </w:t>
      </w:r>
    </w:p>
    <w:p w:rsidR="00DE3128" w:rsidP="00DE3128">
      <w:pPr>
        <w:rPr>
          <w:rFonts w:ascii="Times New Roman" w:hAnsi="Times New Roman" w:cs="Times New Roman"/>
        </w:rPr>
      </w:pPr>
    </w:p>
    <w:p w:rsidR="00DE3128" w:rsidP="00DE3128">
      <w:pPr>
        <w:autoSpaceDE/>
        <w:autoSpaceDN/>
        <w:spacing w:before="120" w:line="360" w:lineRule="auto"/>
        <w:ind w:firstLine="720"/>
        <w:jc w:val="both"/>
        <w:rPr>
          <w:rFonts w:ascii="Times New Roman" w:hAnsi="Times New Roman" w:cs="Times New Roman"/>
        </w:rPr>
      </w:pPr>
      <w:r>
        <w:rPr>
          <w:rFonts w:ascii="Times New Roman" w:hAnsi="Times New Roman" w:cs="Times New Roman"/>
        </w:rPr>
        <w:t>P</w:t>
      </w:r>
      <w:r w:rsidRPr="00135883">
        <w:rPr>
          <w:rFonts w:ascii="Times New Roman" w:hAnsi="Times New Roman" w:cs="Times New Roman"/>
        </w:rPr>
        <w:t>ríjmy štátneho rozpočtu na rok 200</w:t>
      </w:r>
      <w:r>
        <w:rPr>
          <w:rFonts w:ascii="Times New Roman" w:hAnsi="Times New Roman" w:cs="Times New Roman"/>
        </w:rPr>
        <w:t>6</w:t>
      </w:r>
      <w:r w:rsidRPr="00135883">
        <w:rPr>
          <w:rFonts w:ascii="Times New Roman" w:hAnsi="Times New Roman" w:cs="Times New Roman"/>
        </w:rPr>
        <w:t xml:space="preserve"> sa rozpočtovali </w:t>
      </w:r>
      <w:r>
        <w:rPr>
          <w:rFonts w:ascii="Times New Roman" w:hAnsi="Times New Roman" w:cs="Times New Roman"/>
        </w:rPr>
        <w:t>úhrnnou sumou 272 717,0 mil. Sk. Tvoria ich rozpočtované daňové príjmy 215 657,0 mil. Sk, nedaňové príjmy 14 966,4 mil. Sk a granty a transfery 42 093,6 mil. Sk, z</w:t>
      </w:r>
      <w:r w:rsidRPr="00135883">
        <w:rPr>
          <w:rFonts w:ascii="Times New Roman" w:hAnsi="Times New Roman" w:cs="Times New Roman"/>
        </w:rPr>
        <w:t xml:space="preserve"> toho </w:t>
      </w:r>
      <w:r>
        <w:rPr>
          <w:rFonts w:ascii="Times New Roman" w:hAnsi="Times New Roman" w:cs="Times New Roman"/>
        </w:rPr>
        <w:t xml:space="preserve">27 880,3 mil. Sk pripadá na </w:t>
      </w:r>
      <w:r w:rsidRPr="00135883">
        <w:rPr>
          <w:rFonts w:ascii="Times New Roman" w:hAnsi="Times New Roman" w:cs="Times New Roman"/>
        </w:rPr>
        <w:t xml:space="preserve">prostriedky z rozpočtu EÚ. </w:t>
      </w:r>
    </w:p>
    <w:p w:rsidR="00DE3128" w:rsidP="00DE3128">
      <w:pPr>
        <w:autoSpaceDE/>
        <w:autoSpaceDN/>
        <w:spacing w:before="120" w:line="360" w:lineRule="auto"/>
        <w:ind w:firstLine="720"/>
        <w:jc w:val="both"/>
        <w:rPr>
          <w:rFonts w:ascii="Times New Roman" w:hAnsi="Times New Roman" w:cs="Times New Roman"/>
        </w:rPr>
      </w:pPr>
      <w:r>
        <w:rPr>
          <w:rFonts w:ascii="Times New Roman" w:hAnsi="Times New Roman" w:cs="Times New Roman"/>
        </w:rPr>
        <w:t>V štruktúre rozpočtu príjmov došlo oproti rozpočtu roku 2005 k viacerým zmenám. Daňové príjmy sa rozpočtovali s medziročným indexom 106,8, čím sa zvýšil ich podiel v rámci úhrnných príjmov o 0,6 percentuálneho boda na 79,1</w:t>
      </w:r>
      <w:r w:rsidRPr="00135883">
        <w:rPr>
          <w:rFonts w:ascii="Times New Roman" w:hAnsi="Times New Roman" w:cs="Times New Roman"/>
        </w:rPr>
        <w:t xml:space="preserve"> %</w:t>
      </w:r>
      <w:r>
        <w:rPr>
          <w:rFonts w:ascii="Times New Roman" w:hAnsi="Times New Roman" w:cs="Times New Roman"/>
        </w:rPr>
        <w:t xml:space="preserve">, a to na úkor nedaňových príjmov, ktorých rozpočet bol na úrovni 95,9 % rozpočtu roku 2005. Aj rozpočet grantov a transferov bol medziročne vyšší indexom 106,2, ale ich podiel </w:t>
      </w:r>
      <w:r w:rsidRPr="00135883">
        <w:rPr>
          <w:rFonts w:ascii="Times New Roman" w:hAnsi="Times New Roman" w:cs="Times New Roman"/>
        </w:rPr>
        <w:t xml:space="preserve">z celkových príjmov </w:t>
      </w:r>
      <w:r>
        <w:rPr>
          <w:rFonts w:ascii="Times New Roman" w:hAnsi="Times New Roman" w:cs="Times New Roman"/>
        </w:rPr>
        <w:t xml:space="preserve">zostal rovnaký ako v roku 2005 (15,4 %). </w:t>
      </w:r>
    </w:p>
    <w:p w:rsidR="00DE3128" w:rsidP="00DE3128">
      <w:pPr>
        <w:autoSpaceDE/>
        <w:autoSpaceDN/>
        <w:spacing w:before="120" w:line="360" w:lineRule="auto"/>
        <w:ind w:firstLine="720"/>
        <w:jc w:val="both"/>
        <w:rPr>
          <w:rFonts w:ascii="Times New Roman" w:hAnsi="Times New Roman" w:cs="Times New Roman"/>
        </w:rPr>
      </w:pPr>
      <w:r>
        <w:rPr>
          <w:rFonts w:ascii="Times New Roman" w:hAnsi="Times New Roman" w:cs="Times New Roman"/>
        </w:rPr>
        <w:t xml:space="preserve">Vo vzťahu </w:t>
      </w:r>
      <w:r w:rsidRPr="00135883">
        <w:rPr>
          <w:rFonts w:ascii="Times New Roman" w:hAnsi="Times New Roman" w:cs="Times New Roman"/>
        </w:rPr>
        <w:t xml:space="preserve">k dosiahnutým výsledkom </w:t>
      </w:r>
      <w:r>
        <w:rPr>
          <w:rFonts w:ascii="Times New Roman" w:hAnsi="Times New Roman" w:cs="Times New Roman"/>
        </w:rPr>
        <w:t>v</w:t>
      </w:r>
      <w:r w:rsidRPr="00135883">
        <w:rPr>
          <w:rFonts w:ascii="Times New Roman" w:hAnsi="Times New Roman" w:cs="Times New Roman"/>
        </w:rPr>
        <w:t>  rok</w:t>
      </w:r>
      <w:r>
        <w:rPr>
          <w:rFonts w:ascii="Times New Roman" w:hAnsi="Times New Roman" w:cs="Times New Roman"/>
        </w:rPr>
        <w:t>u</w:t>
      </w:r>
      <w:r w:rsidRPr="00135883">
        <w:rPr>
          <w:rFonts w:ascii="Times New Roman" w:hAnsi="Times New Roman" w:cs="Times New Roman"/>
        </w:rPr>
        <w:t xml:space="preserve"> 200</w:t>
      </w:r>
      <w:r>
        <w:rPr>
          <w:rFonts w:ascii="Times New Roman" w:hAnsi="Times New Roman" w:cs="Times New Roman"/>
        </w:rPr>
        <w:t>5</w:t>
      </w:r>
      <w:r w:rsidRPr="00135883">
        <w:rPr>
          <w:rFonts w:ascii="Times New Roman" w:hAnsi="Times New Roman" w:cs="Times New Roman"/>
        </w:rPr>
        <w:t> </w:t>
      </w:r>
      <w:r>
        <w:rPr>
          <w:rFonts w:ascii="Times New Roman" w:hAnsi="Times New Roman" w:cs="Times New Roman"/>
        </w:rPr>
        <w:t>sa daňové príjmy rozpočtovali na úrovni 96,9 % skutočného inkasa, nedaňové príjmy 70,5 % a granty a transfery 282,9 %.</w:t>
      </w:r>
    </w:p>
    <w:p w:rsidR="00DE3128" w:rsidRPr="00135883" w:rsidP="00DE3128">
      <w:pPr>
        <w:autoSpaceDE/>
        <w:autoSpaceDN/>
        <w:spacing w:before="120" w:line="360" w:lineRule="auto"/>
        <w:ind w:firstLine="720"/>
        <w:jc w:val="both"/>
        <w:rPr>
          <w:rFonts w:ascii="Times New Roman" w:hAnsi="Times New Roman" w:cs="Times New Roman"/>
        </w:rPr>
      </w:pPr>
      <w:r w:rsidRPr="00135883">
        <w:rPr>
          <w:rFonts w:ascii="Times New Roman" w:hAnsi="Times New Roman" w:cs="Times New Roman"/>
        </w:rPr>
        <w:t>V priebehu roka 200</w:t>
      </w:r>
      <w:r>
        <w:rPr>
          <w:rFonts w:ascii="Times New Roman" w:hAnsi="Times New Roman" w:cs="Times New Roman"/>
        </w:rPr>
        <w:t>6</w:t>
      </w:r>
      <w:r w:rsidRPr="00135883">
        <w:rPr>
          <w:rFonts w:ascii="Times New Roman" w:hAnsi="Times New Roman" w:cs="Times New Roman"/>
        </w:rPr>
        <w:t xml:space="preserve">  boli v schválenom rozpočte  príjmov </w:t>
      </w:r>
      <w:r>
        <w:rPr>
          <w:rFonts w:ascii="Times New Roman" w:hAnsi="Times New Roman" w:cs="Times New Roman"/>
        </w:rPr>
        <w:t xml:space="preserve">vykonané </w:t>
      </w:r>
      <w:r w:rsidRPr="00135883">
        <w:rPr>
          <w:rFonts w:ascii="Times New Roman" w:hAnsi="Times New Roman" w:cs="Times New Roman"/>
        </w:rPr>
        <w:t xml:space="preserve">úpravy vyplývajúce z rozhodnutí vlády  a Ministerstva financií SR. </w:t>
      </w:r>
      <w:r>
        <w:rPr>
          <w:rFonts w:ascii="Times New Roman" w:hAnsi="Times New Roman" w:cs="Times New Roman"/>
        </w:rPr>
        <w:t>R</w:t>
      </w:r>
      <w:r w:rsidRPr="00135883">
        <w:rPr>
          <w:rFonts w:ascii="Times New Roman" w:hAnsi="Times New Roman" w:cs="Times New Roman"/>
        </w:rPr>
        <w:t xml:space="preserve">ozpočtovými opatreniami sa zákonom stanovené príjmy </w:t>
      </w:r>
      <w:r>
        <w:rPr>
          <w:rFonts w:ascii="Times New Roman" w:hAnsi="Times New Roman" w:cs="Times New Roman"/>
        </w:rPr>
        <w:t>z</w:t>
      </w:r>
      <w:r w:rsidRPr="00135883">
        <w:rPr>
          <w:rFonts w:ascii="Times New Roman" w:hAnsi="Times New Roman" w:cs="Times New Roman"/>
        </w:rPr>
        <w:t>níži</w:t>
      </w:r>
      <w:r w:rsidRPr="00135883">
        <w:rPr>
          <w:rFonts w:ascii="Times New Roman" w:hAnsi="Times New Roman" w:cs="Times New Roman"/>
        </w:rPr>
        <w:t>li</w:t>
      </w:r>
      <w:r w:rsidRPr="00844221">
        <w:rPr>
          <w:rFonts w:ascii="Times New Roman" w:hAnsi="Times New Roman" w:cs="Times New Roman"/>
        </w:rPr>
        <w:t xml:space="preserve"> </w:t>
      </w:r>
      <w:r>
        <w:rPr>
          <w:rFonts w:ascii="Times New Roman" w:hAnsi="Times New Roman" w:cs="Times New Roman"/>
        </w:rPr>
        <w:t>o 7 227,2 mil. Sk na 265 489,8 mil. Sk</w:t>
      </w:r>
      <w:r w:rsidRPr="00135883">
        <w:rPr>
          <w:rFonts w:ascii="Times New Roman" w:hAnsi="Times New Roman" w:cs="Times New Roman"/>
        </w:rPr>
        <w:t xml:space="preserve">. </w:t>
      </w:r>
      <w:r>
        <w:rPr>
          <w:rFonts w:ascii="Times New Roman" w:hAnsi="Times New Roman" w:cs="Times New Roman"/>
        </w:rPr>
        <w:t>Touto ú</w:t>
      </w:r>
      <w:r w:rsidRPr="00135883">
        <w:rPr>
          <w:rFonts w:ascii="Times New Roman" w:hAnsi="Times New Roman" w:cs="Times New Roman"/>
        </w:rPr>
        <w:t>prav</w:t>
      </w:r>
      <w:r>
        <w:rPr>
          <w:rFonts w:ascii="Times New Roman" w:hAnsi="Times New Roman" w:cs="Times New Roman"/>
        </w:rPr>
        <w:t>ou</w:t>
      </w:r>
      <w:r w:rsidRPr="00135883">
        <w:rPr>
          <w:rFonts w:ascii="Times New Roman" w:hAnsi="Times New Roman" w:cs="Times New Roman"/>
        </w:rPr>
        <w:t xml:space="preserve">  </w:t>
      </w:r>
      <w:r>
        <w:rPr>
          <w:rFonts w:ascii="Times New Roman" w:hAnsi="Times New Roman" w:cs="Times New Roman"/>
        </w:rPr>
        <w:t xml:space="preserve">sa pôvodný rozpočet daňových príjmov nezmenil, znížil sa však rozpočet nedaňových príjmov o 242,4 mil. Sk a najmä grantov a transferov o 6 984,8 mil. Sk </w:t>
      </w:r>
      <w:r w:rsidRPr="00135883">
        <w:rPr>
          <w:rFonts w:ascii="Times New Roman" w:hAnsi="Times New Roman" w:cs="Times New Roman"/>
        </w:rPr>
        <w:t>vo väzbe  na reálne možnosti čerpania prostriedkov zo všeobecného rozpočtu EÚ do konca  roka 200</w:t>
      </w:r>
      <w:r>
        <w:rPr>
          <w:rFonts w:ascii="Times New Roman" w:hAnsi="Times New Roman" w:cs="Times New Roman"/>
        </w:rPr>
        <w:t>6</w:t>
      </w:r>
      <w:r w:rsidRPr="00135883">
        <w:rPr>
          <w:rFonts w:ascii="Times New Roman" w:hAnsi="Times New Roman" w:cs="Times New Roman"/>
        </w:rPr>
        <w:t xml:space="preserve"> podľa jednotlivých projektov. </w:t>
      </w:r>
    </w:p>
    <w:p w:rsidR="00DE3128" w:rsidRPr="007044F6" w:rsidP="00DE3128">
      <w:pPr>
        <w:autoSpaceDE/>
        <w:autoSpaceDN/>
        <w:spacing w:before="120" w:after="240" w:line="360" w:lineRule="auto"/>
        <w:jc w:val="both"/>
        <w:rPr>
          <w:rFonts w:ascii="Times New Roman" w:hAnsi="Times New Roman" w:cs="Times New Roman"/>
        </w:rPr>
      </w:pPr>
      <w:r w:rsidRPr="00135883">
        <w:rPr>
          <w:rFonts w:ascii="Times New Roman" w:hAnsi="Times New Roman" w:cs="Times New Roman"/>
        </w:rPr>
        <w:t xml:space="preserve">            </w:t>
      </w:r>
      <w:r>
        <w:rPr>
          <w:rFonts w:ascii="Times New Roman" w:hAnsi="Times New Roman" w:cs="Times New Roman"/>
        </w:rPr>
        <w:t xml:space="preserve">Súhrnný prehľad o plnení </w:t>
      </w:r>
      <w:r w:rsidRPr="00135883">
        <w:rPr>
          <w:rFonts w:ascii="Times New Roman" w:hAnsi="Times New Roman" w:cs="Times New Roman"/>
        </w:rPr>
        <w:t>príjm</w:t>
      </w:r>
      <w:r>
        <w:rPr>
          <w:rFonts w:ascii="Times New Roman" w:hAnsi="Times New Roman" w:cs="Times New Roman"/>
        </w:rPr>
        <w:t>ov</w:t>
      </w:r>
      <w:r w:rsidRPr="00135883">
        <w:rPr>
          <w:rFonts w:ascii="Times New Roman" w:hAnsi="Times New Roman" w:cs="Times New Roman"/>
        </w:rPr>
        <w:t xml:space="preserve"> štátneho rozpočtu </w:t>
      </w:r>
      <w:r>
        <w:rPr>
          <w:rFonts w:ascii="Times New Roman" w:hAnsi="Times New Roman" w:cs="Times New Roman"/>
        </w:rPr>
        <w:t>v</w:t>
      </w:r>
      <w:r w:rsidRPr="00135883">
        <w:rPr>
          <w:rFonts w:ascii="Times New Roman" w:hAnsi="Times New Roman" w:cs="Times New Roman"/>
        </w:rPr>
        <w:t xml:space="preserve"> rok</w:t>
      </w:r>
      <w:r>
        <w:rPr>
          <w:rFonts w:ascii="Times New Roman" w:hAnsi="Times New Roman" w:cs="Times New Roman"/>
        </w:rPr>
        <w:t>u</w:t>
      </w:r>
      <w:r w:rsidRPr="00135883">
        <w:rPr>
          <w:rFonts w:ascii="Times New Roman" w:hAnsi="Times New Roman" w:cs="Times New Roman"/>
        </w:rPr>
        <w:t xml:space="preserve"> 200</w:t>
      </w:r>
      <w:r>
        <w:rPr>
          <w:rFonts w:ascii="Times New Roman" w:hAnsi="Times New Roman" w:cs="Times New Roman"/>
        </w:rPr>
        <w:t>6</w:t>
      </w:r>
      <w:r w:rsidRPr="00135883">
        <w:rPr>
          <w:rFonts w:ascii="Times New Roman" w:hAnsi="Times New Roman" w:cs="Times New Roman"/>
        </w:rPr>
        <w:t> </w:t>
      </w:r>
      <w:r>
        <w:rPr>
          <w:rFonts w:ascii="Times New Roman" w:hAnsi="Times New Roman" w:cs="Times New Roman"/>
        </w:rPr>
        <w:t xml:space="preserve">poskytujú údaje nasledujúcej tabuľky </w:t>
      </w:r>
      <w:r w:rsidRPr="00135883">
        <w:rPr>
          <w:rFonts w:ascii="Times New Roman" w:hAnsi="Times New Roman" w:cs="Times New Roman"/>
        </w:rPr>
        <w:t>(v mil. Sk)</w:t>
      </w:r>
      <w:r>
        <w:rPr>
          <w:rFonts w:ascii="Times New Roman" w:hAnsi="Times New Roman" w:cs="Times New Roman"/>
        </w:rPr>
        <w:t xml:space="preserve">: </w:t>
      </w:r>
    </w:p>
    <w:p w:rsidR="00DE3128" w:rsidP="00DE3128">
      <w:pPr>
        <w:ind w:firstLine="709"/>
        <w:jc w:val="both"/>
        <w:rPr>
          <w:rFonts w:ascii="Times New Roman" w:hAnsi="Times New Roman" w:cs="Times New Roman"/>
        </w:rPr>
      </w:pPr>
      <w:r>
        <w:rPr>
          <w:rFonts w:ascii="Times New Roman" w:hAnsi="Times New Roman" w:cs="Times New Roman"/>
        </w:rPr>
        <w:tab/>
        <w:tab/>
        <w:tab/>
        <w:tab/>
      </w:r>
    </w:p>
    <w:tbl>
      <w:tblPr>
        <w:tblW w:w="10412" w:type="dxa"/>
        <w:tblInd w:w="-262" w:type="dxa"/>
        <w:tblLayout w:type="fixed"/>
        <w:tblCellMar>
          <w:left w:w="70" w:type="dxa"/>
          <w:right w:w="70" w:type="dxa"/>
        </w:tblCellMar>
      </w:tblPr>
      <w:tblGrid>
        <w:gridCol w:w="2307"/>
        <w:gridCol w:w="1265"/>
        <w:gridCol w:w="1125"/>
        <w:gridCol w:w="1035"/>
        <w:gridCol w:w="1260"/>
        <w:gridCol w:w="1260"/>
        <w:gridCol w:w="1080"/>
        <w:gridCol w:w="1080"/>
      </w:tblGrid>
      <w:tr>
        <w:tblPrEx>
          <w:tblW w:w="10412" w:type="dxa"/>
          <w:tblInd w:w="-262" w:type="dxa"/>
          <w:tblLayout w:type="fixed"/>
          <w:tblCellMar>
            <w:left w:w="70" w:type="dxa"/>
            <w:right w:w="70" w:type="dxa"/>
          </w:tblCellMar>
        </w:tblPrEx>
        <w:trPr>
          <w:trHeight w:val="277"/>
        </w:trPr>
        <w:tc>
          <w:tcPr>
            <w:tcW w:w="2307" w:type="dxa"/>
            <w:vMerge w:val="restart"/>
            <w:tcBorders>
              <w:top w:val="single" w:sz="8" w:space="0" w:color="auto"/>
              <w:left w:val="single" w:sz="8" w:space="0" w:color="auto"/>
              <w:bottom w:val="single" w:sz="4" w:space="0" w:color="000000"/>
              <w:right w:val="single" w:sz="4" w:space="0" w:color="auto"/>
              <w:tl2br w:val="nil"/>
              <w:tr2bl w:val="nil"/>
            </w:tcBorders>
            <w:textDirection w:val="lrTb"/>
            <w:vAlign w:val="center"/>
          </w:tcPr>
          <w:p w:rsidR="00DE3128" w:rsidRPr="00C95A90" w:rsidP="00DE3128">
            <w:pPr>
              <w:jc w:val="center"/>
              <w:rPr>
                <w:rFonts w:ascii="Times New Roman" w:hAnsi="Times New Roman" w:cs="Times New Roman"/>
                <w:b/>
                <w:bCs/>
                <w:sz w:val="20"/>
                <w:szCs w:val="20"/>
              </w:rPr>
            </w:pPr>
            <w:r w:rsidRPr="00C95A90">
              <w:rPr>
                <w:rFonts w:ascii="Times New Roman" w:hAnsi="Times New Roman" w:cs="Times New Roman"/>
                <w:b/>
                <w:bCs/>
                <w:sz w:val="20"/>
                <w:szCs w:val="20"/>
              </w:rPr>
              <w:t>Príjmy</w:t>
            </w:r>
          </w:p>
        </w:tc>
        <w:tc>
          <w:tcPr>
            <w:tcW w:w="1265" w:type="dxa"/>
            <w:vMerge w:val="restart"/>
            <w:tcBorders>
              <w:top w:val="single" w:sz="8" w:space="0" w:color="auto"/>
              <w:left w:val="single" w:sz="4" w:space="0" w:color="auto"/>
              <w:bottom w:val="single" w:sz="4" w:space="0" w:color="000000"/>
              <w:right w:val="single" w:sz="4" w:space="0" w:color="auto"/>
              <w:tl2br w:val="nil"/>
              <w:tr2bl w:val="nil"/>
            </w:tcBorders>
            <w:textDirection w:val="lrTb"/>
            <w:vAlign w:val="center"/>
          </w:tcPr>
          <w:p w:rsidR="00DE3128" w:rsidRPr="00C95A90" w:rsidP="00DE3128">
            <w:pPr>
              <w:jc w:val="center"/>
              <w:rPr>
                <w:rFonts w:ascii="Times New Roman" w:hAnsi="Times New Roman" w:cs="Times New Roman"/>
                <w:b/>
                <w:bCs/>
                <w:sz w:val="20"/>
                <w:szCs w:val="20"/>
              </w:rPr>
            </w:pPr>
            <w:r w:rsidRPr="00C95A90">
              <w:rPr>
                <w:rFonts w:ascii="Times New Roman" w:hAnsi="Times New Roman" w:cs="Times New Roman"/>
                <w:b/>
                <w:bCs/>
                <w:sz w:val="20"/>
                <w:szCs w:val="20"/>
              </w:rPr>
              <w:t>Skutočnosť 2005</w:t>
            </w:r>
          </w:p>
        </w:tc>
        <w:tc>
          <w:tcPr>
            <w:tcW w:w="2160" w:type="dxa"/>
            <w:gridSpan w:val="2"/>
            <w:vMerge w:val="restart"/>
            <w:tcBorders>
              <w:top w:val="single" w:sz="8" w:space="0" w:color="auto"/>
              <w:left w:val="single" w:sz="4" w:space="0" w:color="auto"/>
              <w:bottom w:val="single" w:sz="4" w:space="0" w:color="000000"/>
              <w:right w:val="single" w:sz="4" w:space="0" w:color="000000"/>
              <w:tl2br w:val="nil"/>
              <w:tr2bl w:val="nil"/>
            </w:tcBorders>
            <w:textDirection w:val="lrTb"/>
            <w:vAlign w:val="center"/>
          </w:tcPr>
          <w:p w:rsidR="00DE3128" w:rsidRPr="00C95A90" w:rsidP="00DE3128">
            <w:pPr>
              <w:jc w:val="center"/>
              <w:rPr>
                <w:rFonts w:ascii="Times New Roman" w:hAnsi="Times New Roman" w:cs="Times New Roman"/>
                <w:b/>
                <w:bCs/>
                <w:sz w:val="20"/>
                <w:szCs w:val="20"/>
              </w:rPr>
            </w:pPr>
            <w:r w:rsidRPr="00C95A90">
              <w:rPr>
                <w:rFonts w:ascii="Times New Roman" w:hAnsi="Times New Roman" w:cs="Times New Roman"/>
                <w:b/>
                <w:bCs/>
                <w:sz w:val="20"/>
                <w:szCs w:val="20"/>
              </w:rPr>
              <w:t>Rozpočet  2006</w:t>
            </w:r>
          </w:p>
        </w:tc>
        <w:tc>
          <w:tcPr>
            <w:tcW w:w="1260" w:type="dxa"/>
            <w:vMerge w:val="restart"/>
            <w:tcBorders>
              <w:top w:val="single" w:sz="8" w:space="0" w:color="auto"/>
              <w:left w:val="single" w:sz="4" w:space="0" w:color="auto"/>
              <w:bottom w:val="single" w:sz="4" w:space="0" w:color="000000"/>
              <w:right w:val="single" w:sz="4" w:space="0" w:color="auto"/>
              <w:tl2br w:val="nil"/>
              <w:tr2bl w:val="nil"/>
            </w:tcBorders>
            <w:textDirection w:val="lrTb"/>
            <w:vAlign w:val="center"/>
          </w:tcPr>
          <w:p w:rsidR="00DE3128" w:rsidRPr="00C95A90" w:rsidP="00DE3128">
            <w:pPr>
              <w:jc w:val="center"/>
              <w:rPr>
                <w:rFonts w:ascii="Times New Roman" w:hAnsi="Times New Roman" w:cs="Times New Roman"/>
                <w:b/>
                <w:bCs/>
                <w:sz w:val="20"/>
                <w:szCs w:val="20"/>
              </w:rPr>
            </w:pPr>
            <w:r w:rsidRPr="00C95A90">
              <w:rPr>
                <w:rFonts w:ascii="Times New Roman" w:hAnsi="Times New Roman" w:cs="Times New Roman"/>
                <w:b/>
                <w:bCs/>
                <w:sz w:val="20"/>
                <w:szCs w:val="20"/>
              </w:rPr>
              <w:t>Skutočnosť 2006</w:t>
            </w:r>
          </w:p>
        </w:tc>
        <w:tc>
          <w:tcPr>
            <w:tcW w:w="1260" w:type="dxa"/>
            <w:vMerge w:val="restart"/>
            <w:tcBorders>
              <w:top w:val="single" w:sz="8" w:space="0" w:color="auto"/>
              <w:left w:val="single" w:sz="4" w:space="0" w:color="auto"/>
              <w:bottom w:val="single" w:sz="4" w:space="0" w:color="000000"/>
              <w:right w:val="single" w:sz="4" w:space="0" w:color="auto"/>
              <w:tl2br w:val="nil"/>
              <w:tr2bl w:val="nil"/>
            </w:tcBorders>
            <w:textDirection w:val="lrTb"/>
            <w:vAlign w:val="center"/>
          </w:tcPr>
          <w:p w:rsidR="00C95A90" w:rsidP="00DE3128">
            <w:pPr>
              <w:jc w:val="center"/>
              <w:rPr>
                <w:rFonts w:ascii="Times New Roman" w:hAnsi="Times New Roman" w:cs="Times New Roman"/>
                <w:b/>
                <w:bCs/>
                <w:sz w:val="20"/>
                <w:szCs w:val="20"/>
              </w:rPr>
            </w:pPr>
            <w:r>
              <w:rPr>
                <w:rFonts w:ascii="Times New Roman" w:hAnsi="Times New Roman" w:cs="Times New Roman"/>
                <w:b/>
                <w:bCs/>
                <w:sz w:val="20"/>
                <w:szCs w:val="20"/>
              </w:rPr>
              <w:t>% plnenia upraveného</w:t>
            </w:r>
          </w:p>
          <w:p w:rsidR="00DE3128" w:rsidRPr="00C95A90" w:rsidP="00DE3128">
            <w:pPr>
              <w:jc w:val="center"/>
              <w:rPr>
                <w:rFonts w:ascii="Times New Roman" w:hAnsi="Times New Roman" w:cs="Times New Roman"/>
                <w:b/>
                <w:bCs/>
                <w:sz w:val="20"/>
                <w:szCs w:val="20"/>
              </w:rPr>
            </w:pPr>
            <w:r w:rsidRPr="00C95A90">
              <w:rPr>
                <w:rFonts w:ascii="Times New Roman" w:hAnsi="Times New Roman" w:cs="Times New Roman"/>
                <w:b/>
                <w:bCs/>
                <w:sz w:val="20"/>
                <w:szCs w:val="20"/>
              </w:rPr>
              <w:t xml:space="preserve">rozpočtu            </w:t>
            </w:r>
          </w:p>
        </w:tc>
        <w:tc>
          <w:tcPr>
            <w:tcW w:w="1080" w:type="dxa"/>
            <w:vMerge w:val="restart"/>
            <w:tcBorders>
              <w:top w:val="single" w:sz="8" w:space="0" w:color="auto"/>
              <w:left w:val="single" w:sz="4" w:space="0" w:color="auto"/>
              <w:bottom w:val="single" w:sz="4" w:space="0" w:color="000000"/>
              <w:right w:val="single" w:sz="4" w:space="0" w:color="auto"/>
              <w:tl2br w:val="nil"/>
              <w:tr2bl w:val="nil"/>
            </w:tcBorders>
            <w:textDirection w:val="lrTb"/>
            <w:vAlign w:val="center"/>
          </w:tcPr>
          <w:p w:rsidR="00DE3128" w:rsidRPr="00C95A90" w:rsidP="00DE3128">
            <w:pPr>
              <w:jc w:val="center"/>
              <w:rPr>
                <w:rFonts w:ascii="Times New Roman" w:hAnsi="Times New Roman" w:cs="Times New Roman"/>
                <w:b/>
                <w:bCs/>
                <w:sz w:val="20"/>
                <w:szCs w:val="20"/>
              </w:rPr>
            </w:pPr>
            <w:r w:rsidRPr="00C95A90">
              <w:rPr>
                <w:rFonts w:ascii="Times New Roman" w:hAnsi="Times New Roman" w:cs="Times New Roman"/>
                <w:b/>
                <w:bCs/>
                <w:sz w:val="20"/>
                <w:szCs w:val="20"/>
              </w:rPr>
              <w:t xml:space="preserve">Rozdiel              </w:t>
            </w:r>
          </w:p>
        </w:tc>
        <w:tc>
          <w:tcPr>
            <w:tcW w:w="1080" w:type="dxa"/>
            <w:vMerge w:val="restart"/>
            <w:tcBorders>
              <w:top w:val="single" w:sz="8" w:space="0" w:color="auto"/>
              <w:left w:val="single" w:sz="4" w:space="0" w:color="auto"/>
              <w:bottom w:val="single" w:sz="4" w:space="0" w:color="000000"/>
              <w:right w:val="single" w:sz="8" w:space="0" w:color="auto"/>
              <w:tl2br w:val="nil"/>
              <w:tr2bl w:val="nil"/>
            </w:tcBorders>
            <w:textDirection w:val="lrTb"/>
            <w:vAlign w:val="center"/>
          </w:tcPr>
          <w:p w:rsidR="00DE3128" w:rsidRPr="00C95A90" w:rsidP="00DE3128">
            <w:pPr>
              <w:jc w:val="center"/>
              <w:rPr>
                <w:rFonts w:ascii="Times New Roman" w:hAnsi="Times New Roman" w:cs="Times New Roman"/>
                <w:b/>
                <w:bCs/>
                <w:sz w:val="20"/>
                <w:szCs w:val="20"/>
              </w:rPr>
            </w:pPr>
            <w:r w:rsidRPr="00C95A90">
              <w:rPr>
                <w:rFonts w:ascii="Times New Roman" w:hAnsi="Times New Roman" w:cs="Times New Roman"/>
                <w:b/>
                <w:bCs/>
                <w:sz w:val="20"/>
                <w:szCs w:val="20"/>
              </w:rPr>
              <w:t xml:space="preserve">Index 2006/2005         </w:t>
            </w:r>
          </w:p>
        </w:tc>
      </w:tr>
      <w:tr>
        <w:tblPrEx>
          <w:tblW w:w="10412" w:type="dxa"/>
          <w:tblInd w:w="-262" w:type="dxa"/>
          <w:tblLayout w:type="fixed"/>
          <w:tblCellMar>
            <w:left w:w="70" w:type="dxa"/>
            <w:right w:w="70" w:type="dxa"/>
          </w:tblCellMar>
        </w:tblPrEx>
        <w:trPr>
          <w:trHeight w:val="277"/>
        </w:trPr>
        <w:tc>
          <w:tcPr>
            <w:tcW w:w="2307" w:type="dxa"/>
            <w:vMerge/>
            <w:tcBorders>
              <w:top w:val="single" w:sz="4" w:space="0" w:color="auto"/>
              <w:left w:val="single" w:sz="8" w:space="0" w:color="auto"/>
              <w:bottom w:val="single" w:sz="4" w:space="0" w:color="000000"/>
              <w:right w:val="single" w:sz="4" w:space="0" w:color="auto"/>
              <w:tl2br w:val="nil"/>
              <w:tr2bl w:val="nil"/>
            </w:tcBorders>
            <w:textDirection w:val="lrTb"/>
            <w:vAlign w:val="center"/>
          </w:tcPr>
          <w:p w:rsidR="00DE3128" w:rsidRPr="00C95A90" w:rsidP="00DE3128">
            <w:pPr>
              <w:rPr>
                <w:rFonts w:ascii="Times New Roman" w:hAnsi="Times New Roman" w:cs="Times New Roman"/>
                <w:b/>
                <w:bCs/>
                <w:sz w:val="20"/>
                <w:szCs w:val="20"/>
              </w:rPr>
            </w:pPr>
          </w:p>
        </w:tc>
        <w:tc>
          <w:tcPr>
            <w:tcW w:w="1265"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E3128" w:rsidRPr="00C95A90" w:rsidP="00DE3128">
            <w:pPr>
              <w:rPr>
                <w:rFonts w:ascii="Times New Roman" w:hAnsi="Times New Roman" w:cs="Times New Roman"/>
                <w:b/>
                <w:bCs/>
                <w:sz w:val="20"/>
                <w:szCs w:val="20"/>
              </w:rPr>
            </w:pPr>
          </w:p>
        </w:tc>
        <w:tc>
          <w:tcPr>
            <w:tcW w:w="2160" w:type="dxa"/>
            <w:gridSpan w:val="2"/>
            <w:vMerge/>
            <w:tcBorders>
              <w:top w:val="single" w:sz="4" w:space="0" w:color="auto"/>
              <w:left w:val="single" w:sz="4" w:space="0" w:color="auto"/>
              <w:bottom w:val="single" w:sz="4" w:space="0" w:color="000000"/>
              <w:right w:val="single" w:sz="4" w:space="0" w:color="000000"/>
              <w:tl2br w:val="nil"/>
              <w:tr2bl w:val="nil"/>
            </w:tcBorders>
            <w:textDirection w:val="lrTb"/>
            <w:vAlign w:val="center"/>
          </w:tcPr>
          <w:p w:rsidR="00DE3128" w:rsidRPr="00C95A90" w:rsidP="00DE3128">
            <w:pPr>
              <w:rPr>
                <w:rFonts w:ascii="Times New Roman" w:hAnsi="Times New Roman" w:cs="Times New Roman"/>
                <w:b/>
                <w:bCs/>
                <w:sz w:val="20"/>
                <w:szCs w:val="20"/>
              </w:rPr>
            </w:pPr>
          </w:p>
        </w:tc>
        <w:tc>
          <w:tcPr>
            <w:tcW w:w="1260"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E3128" w:rsidRPr="00C95A90" w:rsidP="00DE3128">
            <w:pPr>
              <w:rPr>
                <w:rFonts w:ascii="Times New Roman" w:hAnsi="Times New Roman" w:cs="Times New Roman"/>
                <w:b/>
                <w:bCs/>
                <w:sz w:val="20"/>
                <w:szCs w:val="20"/>
              </w:rPr>
            </w:pPr>
          </w:p>
        </w:tc>
        <w:tc>
          <w:tcPr>
            <w:tcW w:w="1260"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E3128" w:rsidRPr="00C95A90" w:rsidP="00DE3128">
            <w:pPr>
              <w:rPr>
                <w:rFonts w:ascii="Times New Roman" w:hAnsi="Times New Roman" w:cs="Times New Roman"/>
                <w:b/>
                <w:bCs/>
                <w:sz w:val="20"/>
                <w:szCs w:val="20"/>
              </w:rPr>
            </w:pPr>
          </w:p>
        </w:tc>
        <w:tc>
          <w:tcPr>
            <w:tcW w:w="1080"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E3128" w:rsidRPr="00C95A90" w:rsidP="00DE3128">
            <w:pPr>
              <w:rPr>
                <w:rFonts w:ascii="Times New Roman" w:hAnsi="Times New Roman" w:cs="Times New Roman"/>
                <w:b/>
                <w:bCs/>
                <w:sz w:val="20"/>
                <w:szCs w:val="20"/>
              </w:rPr>
            </w:pPr>
          </w:p>
        </w:tc>
        <w:tc>
          <w:tcPr>
            <w:tcW w:w="1080" w:type="dxa"/>
            <w:vMerge/>
            <w:tcBorders>
              <w:top w:val="single" w:sz="4" w:space="0" w:color="auto"/>
              <w:left w:val="single" w:sz="4" w:space="0" w:color="auto"/>
              <w:bottom w:val="single" w:sz="4" w:space="0" w:color="000000"/>
              <w:right w:val="single" w:sz="8" w:space="0" w:color="auto"/>
              <w:tl2br w:val="nil"/>
              <w:tr2bl w:val="nil"/>
            </w:tcBorders>
            <w:textDirection w:val="lrTb"/>
            <w:vAlign w:val="center"/>
          </w:tcPr>
          <w:p w:rsidR="00DE3128" w:rsidRPr="00C95A90" w:rsidP="00DE3128">
            <w:pPr>
              <w:rPr>
                <w:rFonts w:ascii="Times New Roman" w:hAnsi="Times New Roman" w:cs="Times New Roman"/>
                <w:b/>
                <w:bCs/>
                <w:sz w:val="20"/>
                <w:szCs w:val="20"/>
              </w:rPr>
            </w:pPr>
          </w:p>
        </w:tc>
      </w:tr>
      <w:tr>
        <w:tblPrEx>
          <w:tblW w:w="10412" w:type="dxa"/>
          <w:tblInd w:w="-262" w:type="dxa"/>
          <w:tblLayout w:type="fixed"/>
          <w:tblCellMar>
            <w:left w:w="70" w:type="dxa"/>
            <w:right w:w="70" w:type="dxa"/>
          </w:tblCellMar>
        </w:tblPrEx>
        <w:trPr>
          <w:trHeight w:val="256"/>
        </w:trPr>
        <w:tc>
          <w:tcPr>
            <w:tcW w:w="2307" w:type="dxa"/>
            <w:vMerge/>
            <w:tcBorders>
              <w:top w:val="single" w:sz="4" w:space="0" w:color="auto"/>
              <w:left w:val="single" w:sz="8" w:space="0" w:color="auto"/>
              <w:bottom w:val="single" w:sz="4" w:space="0" w:color="000000"/>
              <w:right w:val="single" w:sz="4" w:space="0" w:color="auto"/>
              <w:tl2br w:val="nil"/>
              <w:tr2bl w:val="nil"/>
            </w:tcBorders>
            <w:textDirection w:val="lrTb"/>
            <w:vAlign w:val="center"/>
          </w:tcPr>
          <w:p w:rsidR="00DE3128" w:rsidRPr="00C95A90" w:rsidP="00DE3128">
            <w:pPr>
              <w:rPr>
                <w:rFonts w:ascii="Times New Roman" w:hAnsi="Times New Roman" w:cs="Times New Roman"/>
                <w:b/>
                <w:bCs/>
                <w:sz w:val="20"/>
                <w:szCs w:val="20"/>
              </w:rPr>
            </w:pPr>
          </w:p>
        </w:tc>
        <w:tc>
          <w:tcPr>
            <w:tcW w:w="1265"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E3128" w:rsidRPr="00C95A90" w:rsidP="00DE3128">
            <w:pPr>
              <w:rPr>
                <w:rFonts w:ascii="Times New Roman" w:hAnsi="Times New Roman" w:cs="Times New Roman"/>
                <w:b/>
                <w:bCs/>
                <w:sz w:val="20"/>
                <w:szCs w:val="20"/>
              </w:rPr>
            </w:pPr>
          </w:p>
        </w:tc>
        <w:tc>
          <w:tcPr>
            <w:tcW w:w="1125"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center"/>
              <w:rPr>
                <w:rFonts w:ascii="Times New Roman" w:hAnsi="Times New Roman" w:cs="Times New Roman"/>
                <w:b/>
                <w:bCs/>
                <w:sz w:val="20"/>
                <w:szCs w:val="20"/>
              </w:rPr>
            </w:pPr>
            <w:r w:rsidRPr="00C95A90">
              <w:rPr>
                <w:rFonts w:ascii="Times New Roman" w:hAnsi="Times New Roman" w:cs="Times New Roman"/>
                <w:b/>
                <w:bCs/>
                <w:sz w:val="20"/>
                <w:szCs w:val="20"/>
              </w:rPr>
              <w:t xml:space="preserve">Schválený </w:t>
            </w:r>
          </w:p>
        </w:tc>
        <w:tc>
          <w:tcPr>
            <w:tcW w:w="1035"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center"/>
              <w:rPr>
                <w:rFonts w:ascii="Times New Roman" w:hAnsi="Times New Roman" w:cs="Times New Roman"/>
                <w:b/>
                <w:bCs/>
                <w:sz w:val="20"/>
                <w:szCs w:val="20"/>
              </w:rPr>
            </w:pPr>
            <w:r w:rsidRPr="00C95A90">
              <w:rPr>
                <w:rFonts w:ascii="Times New Roman" w:hAnsi="Times New Roman" w:cs="Times New Roman"/>
                <w:b/>
                <w:bCs/>
                <w:sz w:val="20"/>
                <w:szCs w:val="20"/>
              </w:rPr>
              <w:t>Upravený</w:t>
            </w:r>
          </w:p>
        </w:tc>
        <w:tc>
          <w:tcPr>
            <w:tcW w:w="1260"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E3128" w:rsidRPr="00C95A90" w:rsidP="00DE3128">
            <w:pPr>
              <w:rPr>
                <w:rFonts w:ascii="Times New Roman" w:hAnsi="Times New Roman" w:cs="Times New Roman"/>
                <w:b/>
                <w:bCs/>
                <w:sz w:val="20"/>
                <w:szCs w:val="20"/>
              </w:rPr>
            </w:pPr>
          </w:p>
        </w:tc>
        <w:tc>
          <w:tcPr>
            <w:tcW w:w="1260"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E3128" w:rsidRPr="00C95A90" w:rsidP="00DE3128">
            <w:pPr>
              <w:rPr>
                <w:rFonts w:ascii="Times New Roman" w:hAnsi="Times New Roman" w:cs="Times New Roman"/>
                <w:b/>
                <w:bCs/>
                <w:sz w:val="20"/>
                <w:szCs w:val="20"/>
              </w:rPr>
            </w:pPr>
          </w:p>
        </w:tc>
        <w:tc>
          <w:tcPr>
            <w:tcW w:w="1080"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E3128" w:rsidRPr="00C95A90" w:rsidP="00DE3128">
            <w:pPr>
              <w:rPr>
                <w:rFonts w:ascii="Times New Roman" w:hAnsi="Times New Roman" w:cs="Times New Roman"/>
                <w:b/>
                <w:bCs/>
                <w:sz w:val="20"/>
                <w:szCs w:val="20"/>
              </w:rPr>
            </w:pPr>
          </w:p>
        </w:tc>
        <w:tc>
          <w:tcPr>
            <w:tcW w:w="1080" w:type="dxa"/>
            <w:vMerge/>
            <w:tcBorders>
              <w:top w:val="single" w:sz="4" w:space="0" w:color="auto"/>
              <w:left w:val="single" w:sz="4" w:space="0" w:color="auto"/>
              <w:bottom w:val="single" w:sz="4" w:space="0" w:color="000000"/>
              <w:right w:val="single" w:sz="8" w:space="0" w:color="auto"/>
              <w:tl2br w:val="nil"/>
              <w:tr2bl w:val="nil"/>
            </w:tcBorders>
            <w:textDirection w:val="lrTb"/>
            <w:vAlign w:val="center"/>
          </w:tcPr>
          <w:p w:rsidR="00DE3128" w:rsidRPr="00C95A90" w:rsidP="00DE3128">
            <w:pPr>
              <w:rPr>
                <w:rFonts w:ascii="Times New Roman" w:hAnsi="Times New Roman" w:cs="Times New Roman"/>
                <w:b/>
                <w:bCs/>
                <w:sz w:val="20"/>
                <w:szCs w:val="20"/>
              </w:rPr>
            </w:pPr>
          </w:p>
        </w:tc>
      </w:tr>
      <w:tr>
        <w:tblPrEx>
          <w:tblW w:w="10412" w:type="dxa"/>
          <w:tblInd w:w="-262" w:type="dxa"/>
          <w:tblLayout w:type="fixed"/>
          <w:tblCellMar>
            <w:left w:w="70" w:type="dxa"/>
            <w:right w:w="70" w:type="dxa"/>
          </w:tblCellMar>
        </w:tblPrEx>
        <w:trPr>
          <w:trHeight w:val="167"/>
        </w:trPr>
        <w:tc>
          <w:tcPr>
            <w:tcW w:w="2307" w:type="dxa"/>
            <w:vMerge/>
            <w:tcBorders>
              <w:top w:val="single" w:sz="4" w:space="0" w:color="auto"/>
              <w:left w:val="single" w:sz="8" w:space="0" w:color="auto"/>
              <w:bottom w:val="single" w:sz="4" w:space="0" w:color="000000"/>
              <w:right w:val="single" w:sz="4" w:space="0" w:color="auto"/>
              <w:tl2br w:val="nil"/>
              <w:tr2bl w:val="nil"/>
            </w:tcBorders>
            <w:textDirection w:val="lrTb"/>
            <w:vAlign w:val="center"/>
          </w:tcPr>
          <w:p w:rsidR="00DE3128" w:rsidRPr="00C95A90" w:rsidP="00DE3128">
            <w:pPr>
              <w:rPr>
                <w:rFonts w:ascii="Times New Roman" w:hAnsi="Times New Roman" w:cs="Times New Roman"/>
                <w:b/>
                <w:bCs/>
                <w:sz w:val="20"/>
                <w:szCs w:val="20"/>
              </w:rPr>
            </w:pPr>
          </w:p>
        </w:tc>
        <w:tc>
          <w:tcPr>
            <w:tcW w:w="1265" w:type="dxa"/>
            <w:tcBorders>
              <w:top w:val="nil"/>
              <w:left w:val="nil"/>
              <w:bottom w:val="single" w:sz="4" w:space="0" w:color="auto"/>
              <w:right w:val="single" w:sz="4" w:space="0" w:color="auto"/>
              <w:tl2br w:val="nil"/>
              <w:tr2bl w:val="nil"/>
            </w:tcBorders>
            <w:textDirection w:val="lrTb"/>
            <w:vAlign w:val="center"/>
          </w:tcPr>
          <w:p w:rsidR="00DE3128" w:rsidRPr="005645FB" w:rsidP="00DE3128">
            <w:pPr>
              <w:jc w:val="center"/>
              <w:rPr>
                <w:rFonts w:ascii="Times New Roman" w:hAnsi="Times New Roman" w:cs="Times New Roman"/>
                <w:b/>
                <w:bCs/>
                <w:sz w:val="18"/>
                <w:szCs w:val="18"/>
              </w:rPr>
            </w:pPr>
            <w:r w:rsidRPr="005645FB">
              <w:rPr>
                <w:rFonts w:ascii="Times New Roman" w:hAnsi="Times New Roman" w:cs="Times New Roman"/>
                <w:b/>
                <w:bCs/>
                <w:sz w:val="18"/>
                <w:szCs w:val="18"/>
              </w:rPr>
              <w:t>1</w:t>
            </w:r>
          </w:p>
        </w:tc>
        <w:tc>
          <w:tcPr>
            <w:tcW w:w="1125" w:type="dxa"/>
            <w:tcBorders>
              <w:top w:val="nil"/>
              <w:left w:val="nil"/>
              <w:bottom w:val="single" w:sz="4" w:space="0" w:color="auto"/>
              <w:right w:val="single" w:sz="4" w:space="0" w:color="auto"/>
              <w:tl2br w:val="nil"/>
              <w:tr2bl w:val="nil"/>
            </w:tcBorders>
            <w:textDirection w:val="lrTb"/>
            <w:vAlign w:val="center"/>
          </w:tcPr>
          <w:p w:rsidR="00DE3128" w:rsidRPr="005645FB" w:rsidP="00DE3128">
            <w:pPr>
              <w:jc w:val="center"/>
              <w:rPr>
                <w:rFonts w:ascii="Times New Roman" w:hAnsi="Times New Roman" w:cs="Times New Roman"/>
                <w:b/>
                <w:bCs/>
                <w:sz w:val="18"/>
                <w:szCs w:val="18"/>
              </w:rPr>
            </w:pPr>
            <w:r w:rsidRPr="005645FB">
              <w:rPr>
                <w:rFonts w:ascii="Times New Roman" w:hAnsi="Times New Roman" w:cs="Times New Roman"/>
                <w:b/>
                <w:bCs/>
                <w:sz w:val="18"/>
                <w:szCs w:val="18"/>
              </w:rPr>
              <w:t>2</w:t>
            </w:r>
          </w:p>
        </w:tc>
        <w:tc>
          <w:tcPr>
            <w:tcW w:w="1035" w:type="dxa"/>
            <w:tcBorders>
              <w:top w:val="nil"/>
              <w:left w:val="nil"/>
              <w:bottom w:val="single" w:sz="4" w:space="0" w:color="auto"/>
              <w:right w:val="single" w:sz="4" w:space="0" w:color="auto"/>
              <w:tl2br w:val="nil"/>
              <w:tr2bl w:val="nil"/>
            </w:tcBorders>
            <w:textDirection w:val="lrTb"/>
            <w:vAlign w:val="center"/>
          </w:tcPr>
          <w:p w:rsidR="00DE3128" w:rsidRPr="005645FB" w:rsidP="00DE3128">
            <w:pPr>
              <w:jc w:val="center"/>
              <w:rPr>
                <w:rFonts w:ascii="Times New Roman" w:hAnsi="Times New Roman" w:cs="Times New Roman"/>
                <w:b/>
                <w:bCs/>
                <w:sz w:val="18"/>
                <w:szCs w:val="18"/>
              </w:rPr>
            </w:pPr>
            <w:r w:rsidRPr="005645FB">
              <w:rPr>
                <w:rFonts w:ascii="Times New Roman" w:hAnsi="Times New Roman" w:cs="Times New Roman"/>
                <w:b/>
                <w:bCs/>
                <w:sz w:val="18"/>
                <w:szCs w:val="18"/>
              </w:rPr>
              <w:t>3</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5645FB" w:rsidP="00DE3128">
            <w:pPr>
              <w:jc w:val="center"/>
              <w:rPr>
                <w:rFonts w:ascii="Times New Roman" w:hAnsi="Times New Roman" w:cs="Times New Roman"/>
                <w:b/>
                <w:bCs/>
                <w:sz w:val="18"/>
                <w:szCs w:val="18"/>
              </w:rPr>
            </w:pPr>
            <w:r w:rsidRPr="005645FB">
              <w:rPr>
                <w:rFonts w:ascii="Times New Roman" w:hAnsi="Times New Roman" w:cs="Times New Roman"/>
                <w:b/>
                <w:bCs/>
                <w:sz w:val="18"/>
                <w:szCs w:val="18"/>
              </w:rPr>
              <w:t>4</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5645FB" w:rsidP="00DE3128">
            <w:pPr>
              <w:jc w:val="center"/>
              <w:rPr>
                <w:rFonts w:ascii="Times New Roman" w:hAnsi="Times New Roman" w:cs="Times New Roman"/>
                <w:b/>
                <w:bCs/>
                <w:sz w:val="18"/>
                <w:szCs w:val="18"/>
              </w:rPr>
            </w:pPr>
            <w:r w:rsidRPr="005645FB">
              <w:rPr>
                <w:rFonts w:ascii="Times New Roman" w:hAnsi="Times New Roman" w:cs="Times New Roman"/>
                <w:b/>
                <w:bCs/>
                <w:sz w:val="18"/>
                <w:szCs w:val="18"/>
              </w:rPr>
              <w:t>5 = 4/3*100</w:t>
            </w:r>
          </w:p>
        </w:tc>
        <w:tc>
          <w:tcPr>
            <w:tcW w:w="1080" w:type="dxa"/>
            <w:tcBorders>
              <w:top w:val="nil"/>
              <w:left w:val="nil"/>
              <w:bottom w:val="single" w:sz="4" w:space="0" w:color="auto"/>
              <w:right w:val="single" w:sz="4" w:space="0" w:color="auto"/>
              <w:tl2br w:val="nil"/>
              <w:tr2bl w:val="nil"/>
            </w:tcBorders>
            <w:textDirection w:val="lrTb"/>
            <w:vAlign w:val="center"/>
          </w:tcPr>
          <w:p w:rsidR="00DE3128" w:rsidRPr="005645FB" w:rsidP="00DE3128">
            <w:pPr>
              <w:jc w:val="center"/>
              <w:rPr>
                <w:rFonts w:ascii="Times New Roman" w:hAnsi="Times New Roman" w:cs="Times New Roman"/>
                <w:b/>
                <w:bCs/>
                <w:sz w:val="18"/>
                <w:szCs w:val="18"/>
              </w:rPr>
            </w:pPr>
            <w:r w:rsidRPr="005645FB">
              <w:rPr>
                <w:rFonts w:ascii="Times New Roman" w:hAnsi="Times New Roman" w:cs="Times New Roman"/>
                <w:b/>
                <w:bCs/>
                <w:sz w:val="18"/>
                <w:szCs w:val="18"/>
              </w:rPr>
              <w:t>6 = 4 - 3</w:t>
            </w:r>
          </w:p>
        </w:tc>
        <w:tc>
          <w:tcPr>
            <w:tcW w:w="1080" w:type="dxa"/>
            <w:tcBorders>
              <w:top w:val="nil"/>
              <w:left w:val="nil"/>
              <w:bottom w:val="single" w:sz="4" w:space="0" w:color="auto"/>
              <w:right w:val="single" w:sz="8" w:space="0" w:color="auto"/>
              <w:tl2br w:val="nil"/>
              <w:tr2bl w:val="nil"/>
            </w:tcBorders>
            <w:textDirection w:val="lrTb"/>
            <w:vAlign w:val="center"/>
          </w:tcPr>
          <w:p w:rsidR="00DE3128" w:rsidRPr="005645FB" w:rsidP="00DE3128">
            <w:pPr>
              <w:jc w:val="center"/>
              <w:rPr>
                <w:rFonts w:ascii="Times New Roman" w:hAnsi="Times New Roman" w:cs="Times New Roman"/>
                <w:b/>
                <w:bCs/>
                <w:sz w:val="18"/>
                <w:szCs w:val="18"/>
              </w:rPr>
            </w:pPr>
            <w:r w:rsidRPr="005645FB">
              <w:rPr>
                <w:rFonts w:ascii="Times New Roman" w:hAnsi="Times New Roman" w:cs="Times New Roman"/>
                <w:b/>
                <w:bCs/>
                <w:sz w:val="18"/>
                <w:szCs w:val="18"/>
              </w:rPr>
              <w:t>7 = 4/1*100</w:t>
            </w:r>
          </w:p>
        </w:tc>
      </w:tr>
      <w:tr>
        <w:tblPrEx>
          <w:tblW w:w="10412" w:type="dxa"/>
          <w:tblInd w:w="-262" w:type="dxa"/>
          <w:tblLayout w:type="fixed"/>
          <w:tblCellMar>
            <w:left w:w="70" w:type="dxa"/>
            <w:right w:w="70" w:type="dxa"/>
          </w:tblCellMar>
        </w:tblPrEx>
        <w:trPr>
          <w:trHeight w:val="179"/>
        </w:trPr>
        <w:tc>
          <w:tcPr>
            <w:tcW w:w="2307" w:type="dxa"/>
            <w:tcBorders>
              <w:top w:val="nil"/>
              <w:left w:val="single" w:sz="8" w:space="0" w:color="auto"/>
              <w:bottom w:val="single" w:sz="4" w:space="0" w:color="auto"/>
              <w:right w:val="single" w:sz="4" w:space="0" w:color="auto"/>
              <w:tl2br w:val="nil"/>
              <w:tr2bl w:val="nil"/>
            </w:tcBorders>
            <w:textDirection w:val="lrTb"/>
            <w:vAlign w:val="center"/>
          </w:tcPr>
          <w:p w:rsidR="00DE3128" w:rsidRPr="00C95A90" w:rsidP="00DE3128">
            <w:pPr>
              <w:rPr>
                <w:rFonts w:ascii="Times New Roman" w:hAnsi="Times New Roman" w:cs="Times New Roman"/>
                <w:b/>
                <w:bCs/>
                <w:sz w:val="20"/>
                <w:szCs w:val="20"/>
              </w:rPr>
            </w:pPr>
            <w:r w:rsidRPr="00C95A90">
              <w:rPr>
                <w:rFonts w:ascii="Times New Roman" w:hAnsi="Times New Roman" w:cs="Times New Roman"/>
                <w:b/>
                <w:bCs/>
                <w:sz w:val="20"/>
                <w:szCs w:val="20"/>
              </w:rPr>
              <w:t>A. Daňové príjmy</w:t>
            </w:r>
          </w:p>
        </w:tc>
        <w:tc>
          <w:tcPr>
            <w:tcW w:w="1265"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222 573,6</w:t>
            </w:r>
          </w:p>
        </w:tc>
        <w:tc>
          <w:tcPr>
            <w:tcW w:w="1125" w:type="dxa"/>
            <w:tcBorders>
              <w:top w:val="nil"/>
              <w:left w:val="nil"/>
              <w:bottom w:val="single" w:sz="4" w:space="0" w:color="auto"/>
              <w:right w:val="single" w:sz="4" w:space="0" w:color="auto"/>
              <w:tl2br w:val="nil"/>
              <w:tr2bl w:val="nil"/>
            </w:tcBorders>
            <w:textDirection w:val="lrTb"/>
            <w:vAlign w:val="center"/>
          </w:tcPr>
          <w:p w:rsidR="00DE3128" w:rsidRPr="00C95A90" w:rsidP="005731F8">
            <w:pPr>
              <w:jc w:val="right"/>
              <w:rPr>
                <w:rFonts w:ascii="Times New Roman" w:hAnsi="Times New Roman" w:cs="Times New Roman"/>
                <w:b/>
                <w:bCs/>
                <w:sz w:val="20"/>
                <w:szCs w:val="20"/>
              </w:rPr>
            </w:pPr>
            <w:r w:rsidRPr="00C95A90" w:rsidR="005731F8">
              <w:rPr>
                <w:rFonts w:ascii="Times New Roman" w:hAnsi="Times New Roman" w:cs="Times New Roman"/>
                <w:b/>
                <w:bCs/>
                <w:sz w:val="20"/>
                <w:szCs w:val="20"/>
              </w:rPr>
              <w:t xml:space="preserve">215 </w:t>
            </w:r>
            <w:r w:rsidRPr="00C95A90">
              <w:rPr>
                <w:rFonts w:ascii="Times New Roman" w:hAnsi="Times New Roman" w:cs="Times New Roman"/>
                <w:b/>
                <w:bCs/>
                <w:sz w:val="20"/>
                <w:szCs w:val="20"/>
              </w:rPr>
              <w:t>657,0</w:t>
            </w:r>
          </w:p>
        </w:tc>
        <w:tc>
          <w:tcPr>
            <w:tcW w:w="1035"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215 657,0</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236 267,9</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109,6</w:t>
            </w:r>
          </w:p>
        </w:tc>
        <w:tc>
          <w:tcPr>
            <w:tcW w:w="1080"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20 610,9</w:t>
            </w:r>
          </w:p>
        </w:tc>
        <w:tc>
          <w:tcPr>
            <w:tcW w:w="1080" w:type="dxa"/>
            <w:tcBorders>
              <w:top w:val="nil"/>
              <w:left w:val="nil"/>
              <w:bottom w:val="single" w:sz="4" w:space="0" w:color="auto"/>
              <w:right w:val="single" w:sz="8"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10</w:t>
            </w:r>
            <w:r w:rsidRPr="00C95A90">
              <w:rPr>
                <w:rFonts w:ascii="Times New Roman" w:hAnsi="Times New Roman" w:cs="Times New Roman"/>
                <w:b/>
                <w:bCs/>
                <w:sz w:val="20"/>
                <w:szCs w:val="20"/>
              </w:rPr>
              <w:t>6,2</w:t>
            </w:r>
          </w:p>
        </w:tc>
      </w:tr>
      <w:tr>
        <w:tblPrEx>
          <w:tblW w:w="10412" w:type="dxa"/>
          <w:tblInd w:w="-262" w:type="dxa"/>
          <w:tblLayout w:type="fixed"/>
          <w:tblCellMar>
            <w:left w:w="70" w:type="dxa"/>
            <w:right w:w="70" w:type="dxa"/>
          </w:tblCellMar>
        </w:tblPrEx>
        <w:trPr>
          <w:trHeight w:val="501"/>
        </w:trPr>
        <w:tc>
          <w:tcPr>
            <w:tcW w:w="2307" w:type="dxa"/>
            <w:tcBorders>
              <w:top w:val="nil"/>
              <w:left w:val="single" w:sz="8" w:space="0" w:color="auto"/>
              <w:bottom w:val="single" w:sz="4" w:space="0" w:color="auto"/>
              <w:right w:val="single" w:sz="4" w:space="0" w:color="auto"/>
              <w:tl2br w:val="nil"/>
              <w:tr2bl w:val="nil"/>
            </w:tcBorders>
            <w:textDirection w:val="lrTb"/>
            <w:vAlign w:val="center"/>
          </w:tcPr>
          <w:p w:rsidR="00DE3128" w:rsidRPr="00C95A90" w:rsidP="00DE3128">
            <w:pPr>
              <w:rPr>
                <w:rFonts w:ascii="Times New Roman" w:hAnsi="Times New Roman" w:cs="Times New Roman"/>
                <w:sz w:val="20"/>
                <w:szCs w:val="20"/>
              </w:rPr>
            </w:pPr>
            <w:r w:rsidRPr="00C95A90">
              <w:rPr>
                <w:rFonts w:ascii="Times New Roman" w:hAnsi="Times New Roman" w:cs="Times New Roman"/>
                <w:sz w:val="20"/>
                <w:szCs w:val="20"/>
              </w:rPr>
              <w:t>Dane z príjmov, ziskov  a kapitálového majetku</w:t>
            </w:r>
          </w:p>
        </w:tc>
        <w:tc>
          <w:tcPr>
            <w:tcW w:w="1265"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48 729,1</w:t>
            </w:r>
          </w:p>
        </w:tc>
        <w:tc>
          <w:tcPr>
            <w:tcW w:w="1125"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43 144,0</w:t>
            </w:r>
          </w:p>
        </w:tc>
        <w:tc>
          <w:tcPr>
            <w:tcW w:w="1035"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43 144,0</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54 716,</w:t>
            </w:r>
            <w:r w:rsidR="00387C57">
              <w:rPr>
                <w:rFonts w:ascii="Times New Roman" w:hAnsi="Times New Roman" w:cs="Times New Roman"/>
                <w:sz w:val="20"/>
                <w:szCs w:val="20"/>
              </w:rPr>
              <w:t>1</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126,8</w:t>
            </w:r>
          </w:p>
        </w:tc>
        <w:tc>
          <w:tcPr>
            <w:tcW w:w="1080"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11 572,0</w:t>
            </w:r>
          </w:p>
        </w:tc>
        <w:tc>
          <w:tcPr>
            <w:tcW w:w="1080" w:type="dxa"/>
            <w:tcBorders>
              <w:top w:val="nil"/>
              <w:left w:val="nil"/>
              <w:bottom w:val="single" w:sz="4" w:space="0" w:color="auto"/>
              <w:right w:val="single" w:sz="8"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112,3</w:t>
            </w:r>
          </w:p>
        </w:tc>
      </w:tr>
      <w:tr>
        <w:tblPrEx>
          <w:tblW w:w="10412" w:type="dxa"/>
          <w:tblInd w:w="-262" w:type="dxa"/>
          <w:tblLayout w:type="fixed"/>
          <w:tblCellMar>
            <w:left w:w="70" w:type="dxa"/>
            <w:right w:w="70" w:type="dxa"/>
          </w:tblCellMar>
        </w:tblPrEx>
        <w:trPr>
          <w:trHeight w:val="170"/>
        </w:trPr>
        <w:tc>
          <w:tcPr>
            <w:tcW w:w="2307" w:type="dxa"/>
            <w:tcBorders>
              <w:top w:val="nil"/>
              <w:left w:val="single" w:sz="8" w:space="0" w:color="auto"/>
              <w:bottom w:val="single" w:sz="4" w:space="0" w:color="auto"/>
              <w:right w:val="single" w:sz="4" w:space="0" w:color="auto"/>
              <w:tl2br w:val="nil"/>
              <w:tr2bl w:val="nil"/>
            </w:tcBorders>
            <w:textDirection w:val="lrTb"/>
            <w:vAlign w:val="center"/>
          </w:tcPr>
          <w:p w:rsidR="00DE3128" w:rsidRPr="00C95A90" w:rsidP="00DE3128">
            <w:pPr>
              <w:rPr>
                <w:rFonts w:ascii="Times New Roman" w:hAnsi="Times New Roman" w:cs="Times New Roman"/>
                <w:sz w:val="20"/>
                <w:szCs w:val="20"/>
              </w:rPr>
            </w:pPr>
            <w:r w:rsidRPr="00C95A90">
              <w:rPr>
                <w:rFonts w:ascii="Times New Roman" w:hAnsi="Times New Roman" w:cs="Times New Roman"/>
                <w:sz w:val="20"/>
                <w:szCs w:val="20"/>
              </w:rPr>
              <w:t>Dane z majetku</w:t>
            </w:r>
          </w:p>
        </w:tc>
        <w:tc>
          <w:tcPr>
            <w:tcW w:w="1265"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966,2</w:t>
            </w:r>
          </w:p>
        </w:tc>
        <w:tc>
          <w:tcPr>
            <w:tcW w:w="1125"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0,0</w:t>
            </w:r>
          </w:p>
        </w:tc>
        <w:tc>
          <w:tcPr>
            <w:tcW w:w="1035"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0,0</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327,4</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x</w:t>
            </w:r>
          </w:p>
        </w:tc>
        <w:tc>
          <w:tcPr>
            <w:tcW w:w="1080"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327,4</w:t>
            </w:r>
          </w:p>
        </w:tc>
        <w:tc>
          <w:tcPr>
            <w:tcW w:w="1080" w:type="dxa"/>
            <w:tcBorders>
              <w:top w:val="nil"/>
              <w:left w:val="nil"/>
              <w:bottom w:val="single" w:sz="4" w:space="0" w:color="auto"/>
              <w:right w:val="single" w:sz="8"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33,9</w:t>
            </w:r>
          </w:p>
        </w:tc>
      </w:tr>
      <w:tr>
        <w:tblPrEx>
          <w:tblW w:w="10412" w:type="dxa"/>
          <w:tblInd w:w="-262" w:type="dxa"/>
          <w:tblLayout w:type="fixed"/>
          <w:tblCellMar>
            <w:left w:w="70" w:type="dxa"/>
            <w:right w:w="70" w:type="dxa"/>
          </w:tblCellMar>
        </w:tblPrEx>
        <w:trPr>
          <w:trHeight w:val="277"/>
        </w:trPr>
        <w:tc>
          <w:tcPr>
            <w:tcW w:w="2307" w:type="dxa"/>
            <w:tcBorders>
              <w:top w:val="nil"/>
              <w:left w:val="single" w:sz="8" w:space="0" w:color="auto"/>
              <w:bottom w:val="single" w:sz="4" w:space="0" w:color="auto"/>
              <w:right w:val="single" w:sz="4" w:space="0" w:color="auto"/>
              <w:tl2br w:val="nil"/>
              <w:tr2bl w:val="nil"/>
            </w:tcBorders>
            <w:textDirection w:val="lrTb"/>
            <w:vAlign w:val="center"/>
          </w:tcPr>
          <w:p w:rsidR="00DE3128" w:rsidRPr="00C95A90" w:rsidP="00DE3128">
            <w:pPr>
              <w:rPr>
                <w:rFonts w:ascii="Times New Roman" w:hAnsi="Times New Roman" w:cs="Times New Roman"/>
                <w:sz w:val="20"/>
                <w:szCs w:val="20"/>
              </w:rPr>
            </w:pPr>
            <w:r w:rsidRPr="00C95A90">
              <w:rPr>
                <w:rFonts w:ascii="Times New Roman" w:hAnsi="Times New Roman" w:cs="Times New Roman"/>
                <w:sz w:val="20"/>
                <w:szCs w:val="20"/>
              </w:rPr>
              <w:t>Dane za  tovary a služby</w:t>
            </w:r>
          </w:p>
        </w:tc>
        <w:tc>
          <w:tcPr>
            <w:tcW w:w="1265"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172 363,6</w:t>
            </w:r>
          </w:p>
        </w:tc>
        <w:tc>
          <w:tcPr>
            <w:tcW w:w="1125"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171 913,0</w:t>
            </w:r>
          </w:p>
        </w:tc>
        <w:tc>
          <w:tcPr>
            <w:tcW w:w="1035"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171 913,0</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180 591,5</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105,0</w:t>
            </w:r>
          </w:p>
        </w:tc>
        <w:tc>
          <w:tcPr>
            <w:tcW w:w="1080"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8 678,5</w:t>
            </w:r>
          </w:p>
        </w:tc>
        <w:tc>
          <w:tcPr>
            <w:tcW w:w="1080" w:type="dxa"/>
            <w:tcBorders>
              <w:top w:val="nil"/>
              <w:left w:val="nil"/>
              <w:bottom w:val="single" w:sz="4" w:space="0" w:color="auto"/>
              <w:right w:val="single" w:sz="8"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104,8</w:t>
            </w:r>
          </w:p>
        </w:tc>
      </w:tr>
      <w:tr>
        <w:tblPrEx>
          <w:tblW w:w="10412" w:type="dxa"/>
          <w:tblInd w:w="-262" w:type="dxa"/>
          <w:tblLayout w:type="fixed"/>
          <w:tblCellMar>
            <w:left w:w="70" w:type="dxa"/>
            <w:right w:w="70" w:type="dxa"/>
          </w:tblCellMar>
        </w:tblPrEx>
        <w:trPr>
          <w:trHeight w:val="501"/>
        </w:trPr>
        <w:tc>
          <w:tcPr>
            <w:tcW w:w="2307" w:type="dxa"/>
            <w:tcBorders>
              <w:top w:val="nil"/>
              <w:left w:val="single" w:sz="8" w:space="0" w:color="auto"/>
              <w:bottom w:val="single" w:sz="4" w:space="0" w:color="auto"/>
              <w:right w:val="single" w:sz="4" w:space="0" w:color="auto"/>
              <w:tl2br w:val="nil"/>
              <w:tr2bl w:val="nil"/>
            </w:tcBorders>
            <w:textDirection w:val="lrTb"/>
            <w:vAlign w:val="center"/>
          </w:tcPr>
          <w:p w:rsidR="00DE3128" w:rsidRPr="00C95A90" w:rsidP="00DE3128">
            <w:pPr>
              <w:rPr>
                <w:rFonts w:ascii="Times New Roman" w:hAnsi="Times New Roman" w:cs="Times New Roman"/>
                <w:sz w:val="20"/>
                <w:szCs w:val="20"/>
              </w:rPr>
            </w:pPr>
            <w:r w:rsidRPr="00C95A90">
              <w:rPr>
                <w:rFonts w:ascii="Times New Roman" w:hAnsi="Times New Roman" w:cs="Times New Roman"/>
                <w:sz w:val="20"/>
                <w:szCs w:val="20"/>
              </w:rPr>
              <w:t>Dane z medz</w:t>
            </w:r>
            <w:r w:rsidRPr="00C95A90">
              <w:rPr>
                <w:rFonts w:ascii="Times New Roman" w:hAnsi="Times New Roman" w:cs="Times New Roman"/>
                <w:sz w:val="20"/>
                <w:szCs w:val="20"/>
              </w:rPr>
              <w:t>inárodného obchodu a transakcií</w:t>
            </w:r>
          </w:p>
        </w:tc>
        <w:tc>
          <w:tcPr>
            <w:tcW w:w="1265"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514,7</w:t>
            </w:r>
          </w:p>
        </w:tc>
        <w:tc>
          <w:tcPr>
            <w:tcW w:w="1125"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600,0</w:t>
            </w:r>
          </w:p>
        </w:tc>
        <w:tc>
          <w:tcPr>
            <w:tcW w:w="1035"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600,0</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63</w:t>
            </w:r>
            <w:r w:rsidR="00387C57">
              <w:rPr>
                <w:rFonts w:ascii="Times New Roman" w:hAnsi="Times New Roman" w:cs="Times New Roman"/>
                <w:sz w:val="20"/>
                <w:szCs w:val="20"/>
              </w:rPr>
              <w:t>2</w:t>
            </w:r>
            <w:r w:rsidRPr="00C95A90">
              <w:rPr>
                <w:rFonts w:ascii="Times New Roman" w:hAnsi="Times New Roman" w:cs="Times New Roman"/>
                <w:sz w:val="20"/>
                <w:szCs w:val="20"/>
              </w:rPr>
              <w:t>,</w:t>
            </w:r>
            <w:r w:rsidR="00387C57">
              <w:rPr>
                <w:rFonts w:ascii="Times New Roman" w:hAnsi="Times New Roman" w:cs="Times New Roman"/>
                <w:sz w:val="20"/>
                <w:szCs w:val="20"/>
              </w:rPr>
              <w:t>9</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105,5</w:t>
            </w:r>
          </w:p>
        </w:tc>
        <w:tc>
          <w:tcPr>
            <w:tcW w:w="1080"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33,0</w:t>
            </w:r>
          </w:p>
        </w:tc>
        <w:tc>
          <w:tcPr>
            <w:tcW w:w="1080" w:type="dxa"/>
            <w:tcBorders>
              <w:top w:val="nil"/>
              <w:left w:val="nil"/>
              <w:bottom w:val="single" w:sz="4" w:space="0" w:color="auto"/>
              <w:right w:val="single" w:sz="8"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123,0</w:t>
            </w:r>
          </w:p>
        </w:tc>
      </w:tr>
      <w:tr>
        <w:tblPrEx>
          <w:tblW w:w="10412" w:type="dxa"/>
          <w:tblInd w:w="-262" w:type="dxa"/>
          <w:tblLayout w:type="fixed"/>
          <w:tblCellMar>
            <w:left w:w="70" w:type="dxa"/>
            <w:right w:w="70" w:type="dxa"/>
          </w:tblCellMar>
        </w:tblPrEx>
        <w:trPr>
          <w:trHeight w:val="173"/>
        </w:trPr>
        <w:tc>
          <w:tcPr>
            <w:tcW w:w="2307" w:type="dxa"/>
            <w:tcBorders>
              <w:top w:val="nil"/>
              <w:left w:val="single" w:sz="8" w:space="0" w:color="auto"/>
              <w:bottom w:val="single" w:sz="4" w:space="0" w:color="auto"/>
              <w:right w:val="single" w:sz="4" w:space="0" w:color="auto"/>
              <w:tl2br w:val="nil"/>
              <w:tr2bl w:val="nil"/>
            </w:tcBorders>
            <w:textDirection w:val="lrTb"/>
            <w:vAlign w:val="center"/>
          </w:tcPr>
          <w:p w:rsidR="00DE3128" w:rsidRPr="00C95A90" w:rsidP="00DE3128">
            <w:pPr>
              <w:rPr>
                <w:rFonts w:ascii="Times New Roman" w:hAnsi="Times New Roman" w:cs="Times New Roman"/>
                <w:b/>
                <w:bCs/>
                <w:sz w:val="20"/>
                <w:szCs w:val="20"/>
              </w:rPr>
            </w:pPr>
            <w:r w:rsidRPr="00C95A90">
              <w:rPr>
                <w:rFonts w:ascii="Times New Roman" w:hAnsi="Times New Roman" w:cs="Times New Roman"/>
                <w:b/>
                <w:bCs/>
                <w:sz w:val="20"/>
                <w:szCs w:val="20"/>
              </w:rPr>
              <w:t>B. Nedaňové príjmy</w:t>
            </w:r>
          </w:p>
        </w:tc>
        <w:tc>
          <w:tcPr>
            <w:tcW w:w="1265"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21 242,2</w:t>
            </w:r>
          </w:p>
        </w:tc>
        <w:tc>
          <w:tcPr>
            <w:tcW w:w="1125"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14 966,4</w:t>
            </w:r>
          </w:p>
        </w:tc>
        <w:tc>
          <w:tcPr>
            <w:tcW w:w="1035"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14 724,0</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19 827,4</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134,7</w:t>
            </w:r>
          </w:p>
        </w:tc>
        <w:tc>
          <w:tcPr>
            <w:tcW w:w="1080"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5 103,4</w:t>
            </w:r>
          </w:p>
        </w:tc>
        <w:tc>
          <w:tcPr>
            <w:tcW w:w="1080" w:type="dxa"/>
            <w:tcBorders>
              <w:top w:val="nil"/>
              <w:left w:val="nil"/>
              <w:bottom w:val="single" w:sz="4" w:space="0" w:color="auto"/>
              <w:right w:val="single" w:sz="8"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93,3</w:t>
            </w:r>
          </w:p>
        </w:tc>
      </w:tr>
      <w:tr>
        <w:tblPrEx>
          <w:tblW w:w="10412" w:type="dxa"/>
          <w:tblInd w:w="-262" w:type="dxa"/>
          <w:tblLayout w:type="fixed"/>
          <w:tblCellMar>
            <w:left w:w="70" w:type="dxa"/>
            <w:right w:w="70" w:type="dxa"/>
          </w:tblCellMar>
        </w:tblPrEx>
        <w:trPr>
          <w:trHeight w:val="501"/>
        </w:trPr>
        <w:tc>
          <w:tcPr>
            <w:tcW w:w="2307" w:type="dxa"/>
            <w:tcBorders>
              <w:top w:val="nil"/>
              <w:left w:val="single" w:sz="8" w:space="0" w:color="auto"/>
              <w:bottom w:val="single" w:sz="4" w:space="0" w:color="auto"/>
              <w:right w:val="single" w:sz="4" w:space="0" w:color="auto"/>
              <w:tl2br w:val="nil"/>
              <w:tr2bl w:val="nil"/>
            </w:tcBorders>
            <w:textDirection w:val="lrTb"/>
            <w:vAlign w:val="center"/>
          </w:tcPr>
          <w:p w:rsidR="00DE3128" w:rsidRPr="00C95A90" w:rsidP="00DE3128">
            <w:pPr>
              <w:rPr>
                <w:rFonts w:ascii="Times New Roman" w:hAnsi="Times New Roman" w:cs="Times New Roman"/>
                <w:sz w:val="20"/>
                <w:szCs w:val="20"/>
              </w:rPr>
            </w:pPr>
            <w:r w:rsidRPr="00C95A90">
              <w:rPr>
                <w:rFonts w:ascii="Times New Roman" w:hAnsi="Times New Roman" w:cs="Times New Roman"/>
                <w:sz w:val="20"/>
                <w:szCs w:val="20"/>
              </w:rPr>
              <w:t>Príjmy z podnikania a z vlastníctva majetku</w:t>
            </w:r>
          </w:p>
        </w:tc>
        <w:tc>
          <w:tcPr>
            <w:tcW w:w="1265"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1 631,3</w:t>
            </w:r>
          </w:p>
        </w:tc>
        <w:tc>
          <w:tcPr>
            <w:tcW w:w="1125"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2 116,5</w:t>
            </w:r>
          </w:p>
        </w:tc>
        <w:tc>
          <w:tcPr>
            <w:tcW w:w="1035"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2 278,6</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1 349,2</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59,2</w:t>
            </w:r>
          </w:p>
        </w:tc>
        <w:tc>
          <w:tcPr>
            <w:tcW w:w="1080" w:type="dxa"/>
            <w:tcBorders>
              <w:top w:val="nil"/>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-929,4</w:t>
            </w:r>
          </w:p>
        </w:tc>
        <w:tc>
          <w:tcPr>
            <w:tcW w:w="1080" w:type="dxa"/>
            <w:tcBorders>
              <w:top w:val="nil"/>
              <w:left w:val="nil"/>
              <w:bottom w:val="single" w:sz="4" w:space="0" w:color="auto"/>
              <w:right w:val="single" w:sz="8"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82,7</w:t>
            </w:r>
          </w:p>
        </w:tc>
      </w:tr>
      <w:tr>
        <w:tblPrEx>
          <w:tblW w:w="10412" w:type="dxa"/>
          <w:tblInd w:w="-262" w:type="dxa"/>
          <w:tblLayout w:type="fixed"/>
          <w:tblCellMar>
            <w:left w:w="70" w:type="dxa"/>
            <w:right w:w="70" w:type="dxa"/>
          </w:tblCellMar>
        </w:tblPrEx>
        <w:trPr>
          <w:trHeight w:val="501"/>
        </w:trPr>
        <w:tc>
          <w:tcPr>
            <w:tcW w:w="230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DE3128" w:rsidRPr="00C95A90" w:rsidP="00DE3128">
            <w:pPr>
              <w:rPr>
                <w:rFonts w:ascii="Times New Roman" w:hAnsi="Times New Roman" w:cs="Times New Roman"/>
                <w:sz w:val="20"/>
                <w:szCs w:val="20"/>
              </w:rPr>
            </w:pPr>
            <w:r w:rsidRPr="00C95A90">
              <w:rPr>
                <w:rFonts w:ascii="Times New Roman" w:hAnsi="Times New Roman" w:cs="Times New Roman"/>
                <w:sz w:val="20"/>
                <w:szCs w:val="20"/>
              </w:rPr>
              <w:t>Administratív</w:t>
            </w:r>
            <w:r w:rsidRPr="00C95A90">
              <w:rPr>
                <w:rFonts w:ascii="Times New Roman" w:hAnsi="Times New Roman" w:cs="Times New Roman"/>
                <w:sz w:val="20"/>
                <w:szCs w:val="20"/>
              </w:rPr>
              <w:t>ne poplatky a iné poplatky a platby</w:t>
            </w:r>
          </w:p>
        </w:tc>
        <w:tc>
          <w:tcPr>
            <w:tcW w:w="1265"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8 648,0</w:t>
            </w:r>
          </w:p>
        </w:tc>
        <w:tc>
          <w:tcPr>
            <w:tcW w:w="1125"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7 621,5</w:t>
            </w:r>
          </w:p>
        </w:tc>
        <w:tc>
          <w:tcPr>
            <w:tcW w:w="1035"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7 614,6</w:t>
            </w:r>
          </w:p>
        </w:tc>
        <w:tc>
          <w:tcPr>
            <w:tcW w:w="1260"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7 668,5</w:t>
            </w:r>
          </w:p>
        </w:tc>
        <w:tc>
          <w:tcPr>
            <w:tcW w:w="1260"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100,7</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53,9</w:t>
            </w:r>
          </w:p>
        </w:tc>
        <w:tc>
          <w:tcPr>
            <w:tcW w:w="1080" w:type="dxa"/>
            <w:tcBorders>
              <w:top w:val="single" w:sz="4" w:space="0" w:color="auto"/>
              <w:left w:val="nil"/>
              <w:bottom w:val="single" w:sz="4" w:space="0" w:color="auto"/>
              <w:right w:val="single" w:sz="8"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88,7</w:t>
            </w:r>
          </w:p>
        </w:tc>
      </w:tr>
      <w:tr>
        <w:tblPrEx>
          <w:tblW w:w="10412" w:type="dxa"/>
          <w:tblInd w:w="-262" w:type="dxa"/>
          <w:tblLayout w:type="fixed"/>
          <w:tblCellMar>
            <w:left w:w="70" w:type="dxa"/>
            <w:right w:w="70" w:type="dxa"/>
          </w:tblCellMar>
        </w:tblPrEx>
        <w:trPr>
          <w:trHeight w:val="73"/>
        </w:trPr>
        <w:tc>
          <w:tcPr>
            <w:tcW w:w="230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DE3128" w:rsidRPr="00C95A90" w:rsidP="00DE3128">
            <w:pPr>
              <w:rPr>
                <w:rFonts w:ascii="Times New Roman" w:hAnsi="Times New Roman" w:cs="Times New Roman"/>
                <w:sz w:val="20"/>
                <w:szCs w:val="20"/>
              </w:rPr>
            </w:pPr>
            <w:r w:rsidRPr="00C95A90">
              <w:rPr>
                <w:rFonts w:ascii="Times New Roman" w:hAnsi="Times New Roman" w:cs="Times New Roman"/>
                <w:sz w:val="20"/>
                <w:szCs w:val="20"/>
              </w:rPr>
              <w:t>Kapitálové príjmy</w:t>
            </w:r>
          </w:p>
        </w:tc>
        <w:tc>
          <w:tcPr>
            <w:tcW w:w="1265"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566,1</w:t>
            </w:r>
          </w:p>
        </w:tc>
        <w:tc>
          <w:tcPr>
            <w:tcW w:w="1125"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1 264,4</w:t>
            </w:r>
          </w:p>
        </w:tc>
        <w:tc>
          <w:tcPr>
            <w:tcW w:w="1035"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609,4</w:t>
            </w:r>
          </w:p>
        </w:tc>
        <w:tc>
          <w:tcPr>
            <w:tcW w:w="1260"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639,1</w:t>
            </w:r>
          </w:p>
        </w:tc>
        <w:tc>
          <w:tcPr>
            <w:tcW w:w="1260"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104,9</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29,7</w:t>
            </w:r>
          </w:p>
        </w:tc>
        <w:tc>
          <w:tcPr>
            <w:tcW w:w="1080" w:type="dxa"/>
            <w:tcBorders>
              <w:top w:val="single" w:sz="4" w:space="0" w:color="auto"/>
              <w:left w:val="nil"/>
              <w:bottom w:val="single" w:sz="4" w:space="0" w:color="auto"/>
              <w:right w:val="single" w:sz="8"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112,9</w:t>
            </w:r>
          </w:p>
        </w:tc>
      </w:tr>
      <w:tr>
        <w:tblPrEx>
          <w:tblW w:w="10412" w:type="dxa"/>
          <w:tblInd w:w="-262" w:type="dxa"/>
          <w:tblLayout w:type="fixed"/>
          <w:tblCellMar>
            <w:left w:w="70" w:type="dxa"/>
            <w:right w:w="70" w:type="dxa"/>
          </w:tblCellMar>
        </w:tblPrEx>
        <w:trPr>
          <w:trHeight w:val="501"/>
        </w:trPr>
        <w:tc>
          <w:tcPr>
            <w:tcW w:w="230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DE3128" w:rsidRPr="00C95A90" w:rsidP="00DE3128">
            <w:pPr>
              <w:rPr>
                <w:rFonts w:ascii="Times New Roman" w:hAnsi="Times New Roman" w:cs="Times New Roman"/>
                <w:sz w:val="20"/>
                <w:szCs w:val="20"/>
              </w:rPr>
            </w:pPr>
            <w:r w:rsidRPr="00C95A90">
              <w:rPr>
                <w:rFonts w:ascii="Times New Roman" w:hAnsi="Times New Roman" w:cs="Times New Roman"/>
                <w:sz w:val="20"/>
                <w:szCs w:val="20"/>
              </w:rPr>
              <w:t>Úroky z tuzemských a zahraničných úverov, pôžičiek, NFV, vkladov a ážio</w:t>
            </w:r>
          </w:p>
        </w:tc>
        <w:tc>
          <w:tcPr>
            <w:tcW w:w="1265"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3 421,8</w:t>
            </w:r>
          </w:p>
        </w:tc>
        <w:tc>
          <w:tcPr>
            <w:tcW w:w="1125"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1 028,2</w:t>
            </w:r>
          </w:p>
        </w:tc>
        <w:tc>
          <w:tcPr>
            <w:tcW w:w="1035"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1 232,8</w:t>
            </w:r>
          </w:p>
        </w:tc>
        <w:tc>
          <w:tcPr>
            <w:tcW w:w="1260"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4 303,0</w:t>
            </w:r>
          </w:p>
        </w:tc>
        <w:tc>
          <w:tcPr>
            <w:tcW w:w="1260"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349,0</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3 070,2</w:t>
            </w:r>
          </w:p>
        </w:tc>
        <w:tc>
          <w:tcPr>
            <w:tcW w:w="1080" w:type="dxa"/>
            <w:tcBorders>
              <w:top w:val="single" w:sz="4" w:space="0" w:color="auto"/>
              <w:left w:val="nil"/>
              <w:bottom w:val="single" w:sz="4" w:space="0" w:color="auto"/>
              <w:right w:val="single" w:sz="8"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125,8</w:t>
            </w:r>
          </w:p>
        </w:tc>
      </w:tr>
      <w:tr>
        <w:tblPrEx>
          <w:tblW w:w="10412" w:type="dxa"/>
          <w:tblInd w:w="-262" w:type="dxa"/>
          <w:tblLayout w:type="fixed"/>
          <w:tblCellMar>
            <w:left w:w="70" w:type="dxa"/>
            <w:right w:w="70" w:type="dxa"/>
          </w:tblCellMar>
        </w:tblPrEx>
        <w:trPr>
          <w:trHeight w:val="70"/>
        </w:trPr>
        <w:tc>
          <w:tcPr>
            <w:tcW w:w="230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DE3128" w:rsidRPr="00C95A90" w:rsidP="00DE3128">
            <w:pPr>
              <w:rPr>
                <w:rFonts w:ascii="Times New Roman" w:hAnsi="Times New Roman" w:cs="Times New Roman"/>
                <w:sz w:val="20"/>
                <w:szCs w:val="20"/>
              </w:rPr>
            </w:pPr>
            <w:r w:rsidRPr="00C95A90">
              <w:rPr>
                <w:rFonts w:ascii="Times New Roman" w:hAnsi="Times New Roman" w:cs="Times New Roman"/>
                <w:sz w:val="20"/>
                <w:szCs w:val="20"/>
              </w:rPr>
              <w:t>Iné nedaňové príjmy</w:t>
            </w:r>
          </w:p>
        </w:tc>
        <w:tc>
          <w:tcPr>
            <w:tcW w:w="1265"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6 975,0</w:t>
            </w:r>
          </w:p>
        </w:tc>
        <w:tc>
          <w:tcPr>
            <w:tcW w:w="1125"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2 935,8</w:t>
            </w:r>
          </w:p>
        </w:tc>
        <w:tc>
          <w:tcPr>
            <w:tcW w:w="1035"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2 988,6</w:t>
            </w:r>
          </w:p>
        </w:tc>
        <w:tc>
          <w:tcPr>
            <w:tcW w:w="1260"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5 867,6</w:t>
            </w:r>
          </w:p>
        </w:tc>
        <w:tc>
          <w:tcPr>
            <w:tcW w:w="1260"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196,3</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2 879,0</w:t>
            </w:r>
          </w:p>
        </w:tc>
        <w:tc>
          <w:tcPr>
            <w:tcW w:w="1080" w:type="dxa"/>
            <w:tcBorders>
              <w:top w:val="single" w:sz="4" w:space="0" w:color="auto"/>
              <w:left w:val="nil"/>
              <w:bottom w:val="single" w:sz="4" w:space="0" w:color="auto"/>
              <w:right w:val="single" w:sz="8" w:space="0" w:color="auto"/>
              <w:tl2br w:val="nil"/>
              <w:tr2bl w:val="nil"/>
            </w:tcBorders>
            <w:textDirection w:val="lrTb"/>
            <w:vAlign w:val="center"/>
          </w:tcPr>
          <w:p w:rsidR="00DE3128" w:rsidRPr="00C95A90" w:rsidP="00DE3128">
            <w:pPr>
              <w:jc w:val="right"/>
              <w:rPr>
                <w:rFonts w:ascii="Times New Roman" w:hAnsi="Times New Roman" w:cs="Times New Roman"/>
                <w:sz w:val="20"/>
                <w:szCs w:val="20"/>
              </w:rPr>
            </w:pPr>
            <w:r w:rsidRPr="00C95A90">
              <w:rPr>
                <w:rFonts w:ascii="Times New Roman" w:hAnsi="Times New Roman" w:cs="Times New Roman"/>
                <w:sz w:val="20"/>
                <w:szCs w:val="20"/>
              </w:rPr>
              <w:t>84,1</w:t>
            </w:r>
          </w:p>
        </w:tc>
      </w:tr>
      <w:tr>
        <w:tblPrEx>
          <w:tblW w:w="10412" w:type="dxa"/>
          <w:tblInd w:w="-262" w:type="dxa"/>
          <w:tblLayout w:type="fixed"/>
          <w:tblCellMar>
            <w:left w:w="70" w:type="dxa"/>
            <w:right w:w="70" w:type="dxa"/>
          </w:tblCellMar>
        </w:tblPrEx>
        <w:trPr>
          <w:trHeight w:val="113"/>
        </w:trPr>
        <w:tc>
          <w:tcPr>
            <w:tcW w:w="230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DE3128" w:rsidRPr="00C95A90" w:rsidP="00DE3128">
            <w:pPr>
              <w:rPr>
                <w:rFonts w:ascii="Times New Roman" w:hAnsi="Times New Roman" w:cs="Times New Roman"/>
                <w:b/>
                <w:bCs/>
                <w:sz w:val="20"/>
                <w:szCs w:val="20"/>
              </w:rPr>
            </w:pPr>
            <w:r w:rsidRPr="00C95A90">
              <w:rPr>
                <w:rFonts w:ascii="Times New Roman" w:hAnsi="Times New Roman" w:cs="Times New Roman"/>
                <w:b/>
                <w:bCs/>
                <w:sz w:val="20"/>
                <w:szCs w:val="20"/>
              </w:rPr>
              <w:t>C. Granty a transfery</w:t>
            </w:r>
          </w:p>
        </w:tc>
        <w:tc>
          <w:tcPr>
            <w:tcW w:w="1265"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14 878,2</w:t>
            </w:r>
          </w:p>
        </w:tc>
        <w:tc>
          <w:tcPr>
            <w:tcW w:w="1125"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42 093,6</w:t>
            </w:r>
          </w:p>
        </w:tc>
        <w:tc>
          <w:tcPr>
            <w:tcW w:w="1035"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35 108,8</w:t>
            </w:r>
          </w:p>
        </w:tc>
        <w:tc>
          <w:tcPr>
            <w:tcW w:w="1260"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35 881,7</w:t>
            </w:r>
          </w:p>
        </w:tc>
        <w:tc>
          <w:tcPr>
            <w:tcW w:w="1260"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102,2</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772,9</w:t>
            </w:r>
          </w:p>
        </w:tc>
        <w:tc>
          <w:tcPr>
            <w:tcW w:w="1080" w:type="dxa"/>
            <w:tcBorders>
              <w:top w:val="single" w:sz="4" w:space="0" w:color="auto"/>
              <w:left w:val="nil"/>
              <w:bottom w:val="single" w:sz="4" w:space="0" w:color="auto"/>
              <w:right w:val="single" w:sz="8"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241,2</w:t>
            </w:r>
          </w:p>
        </w:tc>
      </w:tr>
      <w:tr>
        <w:tblPrEx>
          <w:tblW w:w="10412" w:type="dxa"/>
          <w:tblInd w:w="-262" w:type="dxa"/>
          <w:tblLayout w:type="fixed"/>
          <w:tblCellMar>
            <w:left w:w="70" w:type="dxa"/>
            <w:right w:w="70" w:type="dxa"/>
          </w:tblCellMar>
        </w:tblPrEx>
        <w:trPr>
          <w:trHeight w:val="321"/>
        </w:trPr>
        <w:tc>
          <w:tcPr>
            <w:tcW w:w="2307" w:type="dxa"/>
            <w:tcBorders>
              <w:top w:val="single" w:sz="4" w:space="0" w:color="auto"/>
              <w:left w:val="single" w:sz="8" w:space="0" w:color="auto"/>
              <w:bottom w:val="double" w:sz="6" w:space="0" w:color="auto"/>
              <w:right w:val="single" w:sz="4" w:space="0" w:color="auto"/>
              <w:tl2br w:val="nil"/>
              <w:tr2bl w:val="nil"/>
            </w:tcBorders>
            <w:textDirection w:val="lrTb"/>
            <w:vAlign w:val="center"/>
          </w:tcPr>
          <w:p w:rsidR="00DE3128" w:rsidRPr="00C95A90" w:rsidP="00DE3128">
            <w:pPr>
              <w:jc w:val="both"/>
              <w:rPr>
                <w:rFonts w:ascii="Times New Roman" w:hAnsi="Times New Roman" w:cs="Times New Roman"/>
                <w:b/>
                <w:bCs/>
                <w:sz w:val="20"/>
                <w:szCs w:val="20"/>
              </w:rPr>
            </w:pPr>
            <w:r w:rsidRPr="00C95A90">
              <w:rPr>
                <w:rFonts w:ascii="Times New Roman" w:hAnsi="Times New Roman" w:cs="Times New Roman"/>
                <w:b/>
                <w:bCs/>
                <w:sz w:val="20"/>
                <w:szCs w:val="20"/>
              </w:rPr>
              <w:t>Príjmy spolu</w:t>
            </w:r>
          </w:p>
        </w:tc>
        <w:tc>
          <w:tcPr>
            <w:tcW w:w="1265" w:type="dxa"/>
            <w:tcBorders>
              <w:top w:val="single" w:sz="4" w:space="0" w:color="auto"/>
              <w:left w:val="nil"/>
              <w:bottom w:val="double" w:sz="6"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258 694,0</w:t>
            </w:r>
          </w:p>
        </w:tc>
        <w:tc>
          <w:tcPr>
            <w:tcW w:w="1125" w:type="dxa"/>
            <w:tcBorders>
              <w:top w:val="single" w:sz="4" w:space="0" w:color="auto"/>
              <w:left w:val="nil"/>
              <w:bottom w:val="double" w:sz="6"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272 717,0</w:t>
            </w:r>
          </w:p>
        </w:tc>
        <w:tc>
          <w:tcPr>
            <w:tcW w:w="1035" w:type="dxa"/>
            <w:tcBorders>
              <w:top w:val="single" w:sz="4" w:space="0" w:color="auto"/>
              <w:left w:val="nil"/>
              <w:bottom w:val="double" w:sz="6"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265 489,8</w:t>
            </w:r>
          </w:p>
        </w:tc>
        <w:tc>
          <w:tcPr>
            <w:tcW w:w="1260" w:type="dxa"/>
            <w:tcBorders>
              <w:top w:val="single" w:sz="4" w:space="0" w:color="auto"/>
              <w:left w:val="nil"/>
              <w:bottom w:val="double" w:sz="6"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291 977,0</w:t>
            </w:r>
          </w:p>
        </w:tc>
        <w:tc>
          <w:tcPr>
            <w:tcW w:w="1260" w:type="dxa"/>
            <w:tcBorders>
              <w:top w:val="single" w:sz="4" w:space="0" w:color="auto"/>
              <w:left w:val="nil"/>
              <w:bottom w:val="double" w:sz="6"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110,0</w:t>
            </w:r>
          </w:p>
        </w:tc>
        <w:tc>
          <w:tcPr>
            <w:tcW w:w="1080" w:type="dxa"/>
            <w:tcBorders>
              <w:top w:val="single" w:sz="4" w:space="0" w:color="auto"/>
              <w:left w:val="nil"/>
              <w:bottom w:val="double" w:sz="6" w:space="0" w:color="auto"/>
              <w:right w:val="single" w:sz="4"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26 487,2</w:t>
            </w:r>
          </w:p>
        </w:tc>
        <w:tc>
          <w:tcPr>
            <w:tcW w:w="1080" w:type="dxa"/>
            <w:tcBorders>
              <w:top w:val="single" w:sz="4" w:space="0" w:color="auto"/>
              <w:left w:val="nil"/>
              <w:bottom w:val="double" w:sz="6" w:space="0" w:color="auto"/>
              <w:right w:val="single" w:sz="8" w:space="0" w:color="auto"/>
              <w:tl2br w:val="nil"/>
              <w:tr2bl w:val="nil"/>
            </w:tcBorders>
            <w:textDirection w:val="lrTb"/>
            <w:vAlign w:val="center"/>
          </w:tcPr>
          <w:p w:rsidR="00DE3128" w:rsidRPr="00C95A90" w:rsidP="00DE3128">
            <w:pPr>
              <w:jc w:val="right"/>
              <w:rPr>
                <w:rFonts w:ascii="Times New Roman" w:hAnsi="Times New Roman" w:cs="Times New Roman"/>
                <w:b/>
                <w:bCs/>
                <w:sz w:val="20"/>
                <w:szCs w:val="20"/>
              </w:rPr>
            </w:pPr>
            <w:r w:rsidRPr="00C95A90">
              <w:rPr>
                <w:rFonts w:ascii="Times New Roman" w:hAnsi="Times New Roman" w:cs="Times New Roman"/>
                <w:b/>
                <w:bCs/>
                <w:sz w:val="20"/>
                <w:szCs w:val="20"/>
              </w:rPr>
              <w:t>112,9</w:t>
            </w:r>
          </w:p>
        </w:tc>
      </w:tr>
    </w:tbl>
    <w:p w:rsidR="00DE3128" w:rsidRPr="0060489D" w:rsidP="0060489D">
      <w:pPr>
        <w:ind w:hanging="360"/>
        <w:rPr>
          <w:rFonts w:ascii="Times New Roman" w:hAnsi="Times New Roman" w:cs="Times New Roman"/>
          <w:sz w:val="20"/>
          <w:szCs w:val="20"/>
        </w:rPr>
      </w:pPr>
      <w:r w:rsidR="00D455C2">
        <w:rPr>
          <w:rFonts w:ascii="Times New Roman" w:hAnsi="Times New Roman" w:cs="Times New Roman"/>
          <w:sz w:val="20"/>
          <w:szCs w:val="20"/>
        </w:rPr>
        <w:t xml:space="preserve"> </w:t>
      </w:r>
      <w:r w:rsidRPr="00FB7C2A">
        <w:rPr>
          <w:rFonts w:ascii="Times New Roman" w:hAnsi="Times New Roman" w:cs="Times New Roman"/>
          <w:sz w:val="20"/>
          <w:szCs w:val="20"/>
        </w:rPr>
        <w:t>Zdroj: Minister</w:t>
      </w:r>
      <w:r w:rsidRPr="00FB7C2A">
        <w:rPr>
          <w:rFonts w:ascii="Times New Roman" w:hAnsi="Times New Roman" w:cs="Times New Roman"/>
          <w:sz w:val="20"/>
          <w:szCs w:val="20"/>
        </w:rPr>
        <w:t>stvo financií SR</w:t>
      </w:r>
    </w:p>
    <w:p w:rsidR="00DE3128" w:rsidRPr="00455324" w:rsidP="00DE3128">
      <w:pPr>
        <w:spacing w:after="120"/>
        <w:jc w:val="center"/>
        <w:rPr>
          <w:rFonts w:ascii="Times New Roman" w:hAnsi="Times New Roman" w:cs="Times New Roman"/>
          <w:b/>
        </w:rPr>
      </w:pPr>
      <w:r w:rsidR="005645FB">
        <w:rPr>
          <w:rFonts w:ascii="Times New Roman" w:hAnsi="Times New Roman" w:cs="Times New Roman"/>
          <w:b/>
        </w:rPr>
        <w:br w:type="page"/>
      </w:r>
      <w:r>
        <w:rPr>
          <w:rFonts w:ascii="Times New Roman" w:hAnsi="Times New Roman" w:cs="Times New Roman"/>
          <w:b/>
        </w:rPr>
        <w:t xml:space="preserve">2.1.1. </w:t>
      </w:r>
      <w:r w:rsidRPr="00455324">
        <w:rPr>
          <w:rFonts w:ascii="Times New Roman" w:hAnsi="Times New Roman" w:cs="Times New Roman"/>
          <w:b/>
        </w:rPr>
        <w:t>Daňové príjmy</w:t>
      </w:r>
    </w:p>
    <w:p w:rsidR="00DE3128" w:rsidRPr="00164C8F" w:rsidP="00DE312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autoSpaceDN/>
        <w:rPr>
          <w:rFonts w:ascii="Times New Roman" w:hAnsi="Times New Roman" w:cs="Times New Roman"/>
        </w:rPr>
      </w:pPr>
      <w:r w:rsidRPr="00164C8F">
        <w:rPr>
          <w:rFonts w:ascii="Times New Roman" w:hAnsi="Times New Roman" w:cs="Times New Roman"/>
          <w:b/>
          <w:bCs/>
        </w:rPr>
        <w:t> </w:t>
      </w:r>
    </w:p>
    <w:p w:rsidR="00DE3128" w:rsidP="00DE3128">
      <w:pPr>
        <w:spacing w:line="360" w:lineRule="auto"/>
        <w:ind w:firstLine="709"/>
        <w:jc w:val="both"/>
        <w:rPr>
          <w:rFonts w:ascii="Times New Roman" w:hAnsi="Times New Roman" w:cs="Times New Roman"/>
        </w:rPr>
      </w:pPr>
      <w:r w:rsidRPr="004B0056">
        <w:rPr>
          <w:rFonts w:ascii="Times New Roman" w:hAnsi="Times New Roman" w:cs="Times New Roman"/>
        </w:rPr>
        <w:t xml:space="preserve">Daňové príjmy štátneho rozpočtu na rok 2006 boli rozpočtované vo výške </w:t>
      </w:r>
      <w:r>
        <w:rPr>
          <w:rFonts w:ascii="Times New Roman" w:hAnsi="Times New Roman" w:cs="Times New Roman"/>
        </w:rPr>
        <w:t>215 657,0</w:t>
      </w:r>
      <w:r w:rsidRPr="004B0056">
        <w:rPr>
          <w:rFonts w:ascii="Times New Roman" w:hAnsi="Times New Roman" w:cs="Times New Roman"/>
        </w:rPr>
        <w:t xml:space="preserve"> mil. Sk. Schválený rozpočet nebol v priebehu roka upravovaný žiadnymi rozpočtovými opatreniami. Skutočné daňové príjmy štátneho rozpočtu dosiahli 236 267,9 mil. Sk, čo predstavuje ročné plnenie rozpočtu na 109,6 %. Na </w:t>
      </w:r>
      <w:r>
        <w:rPr>
          <w:rFonts w:ascii="Times New Roman" w:hAnsi="Times New Roman" w:cs="Times New Roman"/>
        </w:rPr>
        <w:t xml:space="preserve">vyššom plnení v </w:t>
      </w:r>
      <w:r w:rsidRPr="004B0056">
        <w:rPr>
          <w:rFonts w:ascii="Times New Roman" w:hAnsi="Times New Roman" w:cs="Times New Roman"/>
        </w:rPr>
        <w:t>skutočnosti oproti rozpočtu o 20 610,9 mil. Sk sa najviac podieľali daň z príjmov právnických osôb a daň z pridanej hodnoty. V porovnaní s rokom 2005 boli celkové daňové príjmy vyššie o 13 694,2 mil. Sk, čo zodpovedá medziročnému rastu </w:t>
      </w:r>
      <w:r w:rsidR="00C651EB">
        <w:rPr>
          <w:rFonts w:ascii="Times New Roman" w:hAnsi="Times New Roman" w:cs="Times New Roman"/>
        </w:rPr>
        <w:t xml:space="preserve">o </w:t>
      </w:r>
      <w:r w:rsidRPr="004B0056">
        <w:rPr>
          <w:rFonts w:ascii="Times New Roman" w:hAnsi="Times New Roman" w:cs="Times New Roman"/>
        </w:rPr>
        <w:t>6,2</w:t>
      </w:r>
      <w:r>
        <w:rPr>
          <w:rFonts w:ascii="Times New Roman" w:hAnsi="Times New Roman" w:cs="Times New Roman"/>
        </w:rPr>
        <w:t xml:space="preserve"> %. </w:t>
      </w:r>
      <w:r w:rsidRPr="004B0056">
        <w:rPr>
          <w:rFonts w:ascii="Times New Roman" w:hAnsi="Times New Roman" w:cs="Times New Roman"/>
        </w:rPr>
        <w:t>Súhrnný   prehľad  o  plnení  daňových  príjmov  poskytuje  nasledovný  prehľad (v mil. Sk):</w:t>
      </w:r>
    </w:p>
    <w:p w:rsidR="00DE3128" w:rsidRPr="004B0056" w:rsidP="00DE3128">
      <w:pPr>
        <w:spacing w:line="360" w:lineRule="auto"/>
        <w:ind w:firstLine="737"/>
        <w:jc w:val="both"/>
        <w:rPr>
          <w:rFonts w:ascii="Times New Roman" w:hAnsi="Times New Roman" w:cs="Times New Roman"/>
        </w:rPr>
      </w:pPr>
    </w:p>
    <w:tbl>
      <w:tblPr>
        <w:tblW w:w="10558" w:type="dxa"/>
        <w:jc w:val="center"/>
        <w:tblCellMar>
          <w:left w:w="70" w:type="dxa"/>
          <w:right w:w="70" w:type="dxa"/>
        </w:tblCellMar>
      </w:tblPr>
      <w:tblGrid>
        <w:gridCol w:w="2816"/>
        <w:gridCol w:w="1169"/>
        <w:gridCol w:w="1080"/>
        <w:gridCol w:w="1080"/>
        <w:gridCol w:w="1123"/>
        <w:gridCol w:w="1059"/>
        <w:gridCol w:w="1152"/>
        <w:gridCol w:w="1079"/>
      </w:tblGrid>
      <w:tr>
        <w:tblPrEx>
          <w:tblW w:w="10558" w:type="dxa"/>
          <w:jc w:val="center"/>
          <w:tblCellMar>
            <w:left w:w="70" w:type="dxa"/>
            <w:right w:w="70" w:type="dxa"/>
          </w:tblCellMar>
        </w:tblPrEx>
        <w:trPr>
          <w:trHeight w:val="519"/>
          <w:jc w:val="center"/>
        </w:trPr>
        <w:tc>
          <w:tcPr>
            <w:tcW w:w="2816" w:type="dxa"/>
            <w:vMerge w:val="restart"/>
            <w:tcBorders>
              <w:top w:val="single" w:sz="8" w:space="0" w:color="auto"/>
              <w:left w:val="single" w:sz="8" w:space="0" w:color="auto"/>
              <w:bottom w:val="single" w:sz="4" w:space="0" w:color="000000"/>
              <w:right w:val="single" w:sz="4" w:space="0" w:color="auto"/>
              <w:tl2br w:val="nil"/>
              <w:tr2bl w:val="nil"/>
            </w:tcBorders>
            <w:textDirection w:val="lrTb"/>
            <w:vAlign w:val="center"/>
          </w:tcPr>
          <w:p w:rsidR="00DE3128" w:rsidRPr="0079055B" w:rsidP="00DE3128">
            <w:pPr>
              <w:jc w:val="center"/>
              <w:rPr>
                <w:rFonts w:ascii="Times New Roman" w:hAnsi="Times New Roman" w:cs="Times New Roman"/>
                <w:b/>
                <w:bCs/>
                <w:sz w:val="20"/>
                <w:szCs w:val="20"/>
              </w:rPr>
            </w:pPr>
            <w:r w:rsidRPr="0079055B">
              <w:rPr>
                <w:rFonts w:ascii="Times New Roman" w:hAnsi="Times New Roman" w:cs="Times New Roman"/>
                <w:b/>
                <w:bCs/>
                <w:sz w:val="20"/>
                <w:szCs w:val="20"/>
              </w:rPr>
              <w:t>Druh daňových príjmov</w:t>
            </w:r>
          </w:p>
        </w:tc>
        <w:tc>
          <w:tcPr>
            <w:tcW w:w="1169" w:type="dxa"/>
            <w:vMerge w:val="restart"/>
            <w:tcBorders>
              <w:top w:val="single" w:sz="8" w:space="0" w:color="auto"/>
              <w:left w:val="single" w:sz="4" w:space="0" w:color="auto"/>
              <w:bottom w:val="single" w:sz="4" w:space="0" w:color="auto"/>
              <w:right w:val="single" w:sz="4" w:space="0" w:color="auto"/>
              <w:tl2br w:val="nil"/>
              <w:tr2bl w:val="nil"/>
            </w:tcBorders>
            <w:textDirection w:val="lrTb"/>
            <w:vAlign w:val="center"/>
          </w:tcPr>
          <w:p w:rsidR="00DE3128" w:rsidRPr="0079055B" w:rsidP="00DE3128">
            <w:pPr>
              <w:jc w:val="center"/>
              <w:rPr>
                <w:rFonts w:ascii="Times New Roman" w:hAnsi="Times New Roman" w:cs="Times New Roman"/>
                <w:b/>
                <w:bCs/>
                <w:sz w:val="20"/>
                <w:szCs w:val="20"/>
              </w:rPr>
            </w:pPr>
            <w:r w:rsidRPr="0079055B">
              <w:rPr>
                <w:rFonts w:ascii="Times New Roman" w:hAnsi="Times New Roman" w:cs="Times New Roman"/>
                <w:b/>
                <w:bCs/>
                <w:sz w:val="20"/>
                <w:szCs w:val="20"/>
              </w:rPr>
              <w:t>Skutočnosť 2005</w:t>
            </w:r>
          </w:p>
        </w:tc>
        <w:tc>
          <w:tcPr>
            <w:tcW w:w="2160" w:type="dxa"/>
            <w:gridSpan w:val="2"/>
            <w:tcBorders>
              <w:top w:val="single" w:sz="8" w:space="0" w:color="auto"/>
              <w:left w:val="nil"/>
              <w:bottom w:val="single" w:sz="4" w:space="0" w:color="auto"/>
              <w:right w:val="single" w:sz="4" w:space="0" w:color="000000"/>
              <w:tl2br w:val="nil"/>
              <w:tr2bl w:val="nil"/>
            </w:tcBorders>
            <w:noWrap/>
            <w:textDirection w:val="lrTb"/>
            <w:vAlign w:val="center"/>
          </w:tcPr>
          <w:p w:rsidR="00DE3128" w:rsidRPr="0079055B" w:rsidP="00DE3128">
            <w:pPr>
              <w:jc w:val="center"/>
              <w:rPr>
                <w:rFonts w:ascii="Times New Roman" w:hAnsi="Times New Roman" w:cs="Times New Roman"/>
                <w:b/>
                <w:bCs/>
                <w:sz w:val="20"/>
                <w:szCs w:val="20"/>
              </w:rPr>
            </w:pPr>
            <w:r w:rsidRPr="0079055B">
              <w:rPr>
                <w:rFonts w:ascii="Times New Roman" w:hAnsi="Times New Roman" w:cs="Times New Roman"/>
                <w:b/>
                <w:bCs/>
                <w:sz w:val="20"/>
                <w:szCs w:val="20"/>
              </w:rPr>
              <w:t>Rozpočet 2006</w:t>
            </w:r>
          </w:p>
        </w:tc>
        <w:tc>
          <w:tcPr>
            <w:tcW w:w="1123" w:type="dxa"/>
            <w:vMerge w:val="restart"/>
            <w:tcBorders>
              <w:top w:val="single" w:sz="8" w:space="0" w:color="auto"/>
              <w:left w:val="single" w:sz="4" w:space="0" w:color="auto"/>
              <w:bottom w:val="single" w:sz="4" w:space="0" w:color="auto"/>
              <w:right w:val="single" w:sz="4" w:space="0" w:color="auto"/>
              <w:tl2br w:val="nil"/>
              <w:tr2bl w:val="nil"/>
            </w:tcBorders>
            <w:textDirection w:val="lrTb"/>
            <w:vAlign w:val="center"/>
          </w:tcPr>
          <w:p w:rsidR="00DE3128" w:rsidRPr="0079055B" w:rsidP="00DE3128">
            <w:pPr>
              <w:jc w:val="center"/>
              <w:rPr>
                <w:rFonts w:ascii="Times New Roman" w:hAnsi="Times New Roman" w:cs="Times New Roman"/>
                <w:b/>
                <w:bCs/>
                <w:sz w:val="20"/>
                <w:szCs w:val="20"/>
              </w:rPr>
            </w:pPr>
            <w:r w:rsidRPr="0079055B">
              <w:rPr>
                <w:rFonts w:ascii="Times New Roman" w:hAnsi="Times New Roman" w:cs="Times New Roman"/>
                <w:b/>
                <w:bCs/>
                <w:sz w:val="20"/>
                <w:szCs w:val="20"/>
              </w:rPr>
              <w:t>Skutočnosť 2006</w:t>
            </w:r>
          </w:p>
        </w:tc>
        <w:tc>
          <w:tcPr>
            <w:tcW w:w="1059" w:type="dxa"/>
            <w:vMerge w:val="restart"/>
            <w:tcBorders>
              <w:top w:val="single" w:sz="8" w:space="0" w:color="auto"/>
              <w:left w:val="single" w:sz="4" w:space="0" w:color="auto"/>
              <w:bottom w:val="single" w:sz="4" w:space="0" w:color="000000"/>
              <w:right w:val="single" w:sz="4" w:space="0" w:color="auto"/>
              <w:tl2br w:val="nil"/>
              <w:tr2bl w:val="nil"/>
            </w:tcBorders>
            <w:textDirection w:val="lrTb"/>
            <w:vAlign w:val="center"/>
          </w:tcPr>
          <w:p w:rsidR="00DE3128" w:rsidRPr="0079055B" w:rsidP="00DE3128">
            <w:pPr>
              <w:jc w:val="center"/>
              <w:rPr>
                <w:rFonts w:ascii="Times New Roman" w:hAnsi="Times New Roman" w:cs="Times New Roman"/>
                <w:b/>
                <w:bCs/>
                <w:sz w:val="20"/>
                <w:szCs w:val="20"/>
              </w:rPr>
            </w:pPr>
            <w:r w:rsidRPr="0079055B">
              <w:rPr>
                <w:rFonts w:ascii="Times New Roman" w:hAnsi="Times New Roman" w:cs="Times New Roman"/>
                <w:b/>
                <w:bCs/>
                <w:sz w:val="20"/>
                <w:szCs w:val="20"/>
              </w:rPr>
              <w:t>Rozdi</w:t>
            </w:r>
            <w:r w:rsidRPr="0079055B">
              <w:rPr>
                <w:rFonts w:ascii="Times New Roman" w:hAnsi="Times New Roman" w:cs="Times New Roman"/>
                <w:b/>
                <w:bCs/>
                <w:sz w:val="20"/>
                <w:szCs w:val="20"/>
              </w:rPr>
              <w:t xml:space="preserve">el         </w:t>
            </w:r>
          </w:p>
        </w:tc>
        <w:tc>
          <w:tcPr>
            <w:tcW w:w="1152" w:type="dxa"/>
            <w:vMerge w:val="restart"/>
            <w:tcBorders>
              <w:top w:val="single" w:sz="8" w:space="0" w:color="auto"/>
              <w:left w:val="single" w:sz="4" w:space="0" w:color="auto"/>
              <w:bottom w:val="single" w:sz="4" w:space="0" w:color="auto"/>
              <w:right w:val="single" w:sz="4" w:space="0" w:color="auto"/>
              <w:tl2br w:val="nil"/>
              <w:tr2bl w:val="nil"/>
            </w:tcBorders>
            <w:textDirection w:val="lrTb"/>
            <w:vAlign w:val="center"/>
          </w:tcPr>
          <w:p w:rsidR="00DE3128" w:rsidRPr="0079055B" w:rsidP="00DE3128">
            <w:pPr>
              <w:jc w:val="center"/>
              <w:rPr>
                <w:rFonts w:ascii="Times New Roman" w:hAnsi="Times New Roman" w:cs="Times New Roman"/>
                <w:b/>
                <w:bCs/>
                <w:sz w:val="20"/>
                <w:szCs w:val="20"/>
              </w:rPr>
            </w:pPr>
            <w:r w:rsidRPr="0079055B">
              <w:rPr>
                <w:rFonts w:ascii="Times New Roman" w:hAnsi="Times New Roman" w:cs="Times New Roman"/>
                <w:b/>
                <w:bCs/>
                <w:sz w:val="20"/>
                <w:szCs w:val="20"/>
              </w:rPr>
              <w:t>% plneni</w:t>
            </w:r>
            <w:r w:rsidR="0079055B">
              <w:rPr>
                <w:rFonts w:ascii="Times New Roman" w:hAnsi="Times New Roman" w:cs="Times New Roman"/>
                <w:b/>
                <w:bCs/>
                <w:sz w:val="20"/>
                <w:szCs w:val="20"/>
              </w:rPr>
              <w:t>a upraveného</w:t>
            </w:r>
            <w:r w:rsidRPr="0079055B">
              <w:rPr>
                <w:rFonts w:ascii="Times New Roman" w:hAnsi="Times New Roman" w:cs="Times New Roman"/>
                <w:b/>
                <w:bCs/>
                <w:sz w:val="20"/>
                <w:szCs w:val="20"/>
              </w:rPr>
              <w:t xml:space="preserve"> rozp</w:t>
            </w:r>
            <w:r w:rsidR="0079055B">
              <w:rPr>
                <w:rFonts w:ascii="Times New Roman" w:hAnsi="Times New Roman" w:cs="Times New Roman"/>
                <w:b/>
                <w:bCs/>
                <w:sz w:val="20"/>
                <w:szCs w:val="20"/>
              </w:rPr>
              <w:t>očtu</w:t>
            </w:r>
            <w:r w:rsidRPr="0079055B">
              <w:rPr>
                <w:rFonts w:ascii="Times New Roman" w:hAnsi="Times New Roman" w:cs="Times New Roman"/>
                <w:b/>
                <w:bCs/>
                <w:sz w:val="20"/>
                <w:szCs w:val="20"/>
              </w:rPr>
              <w:t xml:space="preserve"> </w:t>
            </w:r>
          </w:p>
        </w:tc>
        <w:tc>
          <w:tcPr>
            <w:tcW w:w="1079" w:type="dxa"/>
            <w:vMerge w:val="restart"/>
            <w:tcBorders>
              <w:top w:val="single" w:sz="8" w:space="0" w:color="auto"/>
              <w:left w:val="single" w:sz="4" w:space="0" w:color="auto"/>
              <w:bottom w:val="single" w:sz="4" w:space="0" w:color="auto"/>
              <w:right w:val="single" w:sz="8" w:space="0" w:color="auto"/>
              <w:tl2br w:val="nil"/>
              <w:tr2bl w:val="nil"/>
            </w:tcBorders>
            <w:textDirection w:val="lrTb"/>
            <w:vAlign w:val="center"/>
          </w:tcPr>
          <w:p w:rsidR="00DE3128" w:rsidRPr="0079055B" w:rsidP="00DE3128">
            <w:pPr>
              <w:jc w:val="center"/>
              <w:rPr>
                <w:rFonts w:ascii="Times New Roman" w:hAnsi="Times New Roman" w:cs="Times New Roman"/>
                <w:b/>
                <w:bCs/>
                <w:sz w:val="20"/>
                <w:szCs w:val="20"/>
              </w:rPr>
            </w:pPr>
            <w:r w:rsidRPr="0079055B">
              <w:rPr>
                <w:rFonts w:ascii="Times New Roman" w:hAnsi="Times New Roman" w:cs="Times New Roman"/>
                <w:b/>
                <w:bCs/>
                <w:sz w:val="20"/>
                <w:szCs w:val="20"/>
              </w:rPr>
              <w:t xml:space="preserve">Index     2006/2005     </w:t>
            </w:r>
          </w:p>
        </w:tc>
      </w:tr>
      <w:tr>
        <w:tblPrEx>
          <w:tblW w:w="10558" w:type="dxa"/>
          <w:jc w:val="center"/>
          <w:tblCellMar>
            <w:left w:w="70" w:type="dxa"/>
            <w:right w:w="70" w:type="dxa"/>
          </w:tblCellMar>
        </w:tblPrEx>
        <w:trPr>
          <w:trHeight w:val="487"/>
          <w:jc w:val="center"/>
        </w:trPr>
        <w:tc>
          <w:tcPr>
            <w:tcW w:w="2816" w:type="dxa"/>
            <w:vMerge/>
            <w:tcBorders>
              <w:top w:val="single" w:sz="4" w:space="0" w:color="auto"/>
              <w:left w:val="single" w:sz="8" w:space="0" w:color="auto"/>
              <w:bottom w:val="single" w:sz="4" w:space="0" w:color="000000"/>
              <w:right w:val="single" w:sz="4" w:space="0" w:color="auto"/>
              <w:tl2br w:val="nil"/>
              <w:tr2bl w:val="nil"/>
            </w:tcBorders>
            <w:textDirection w:val="lrTb"/>
            <w:vAlign w:val="center"/>
          </w:tcPr>
          <w:p w:rsidR="00DE3128" w:rsidRPr="0079055B" w:rsidP="00DE3128">
            <w:pPr>
              <w:rPr>
                <w:rFonts w:ascii="Times New Roman" w:hAnsi="Times New Roman" w:cs="Times New Roman"/>
                <w:b/>
                <w:bCs/>
                <w:sz w:val="20"/>
                <w:szCs w:val="20"/>
              </w:rPr>
            </w:pPr>
          </w:p>
        </w:tc>
        <w:tc>
          <w:tcPr>
            <w:tcW w:w="1169"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79055B" w:rsidP="00DE3128">
            <w:pPr>
              <w:jc w:val="center"/>
              <w:rPr>
                <w:rFonts w:ascii="Times New Roman" w:hAnsi="Times New Roman" w:cs="Times New Roman"/>
                <w:b/>
                <w:bCs/>
                <w:sz w:val="20"/>
                <w:szCs w:val="20"/>
              </w:rPr>
            </w:pPr>
          </w:p>
        </w:tc>
        <w:tc>
          <w:tcPr>
            <w:tcW w:w="1080" w:type="dxa"/>
            <w:tcBorders>
              <w:top w:val="nil"/>
              <w:left w:val="nil"/>
              <w:bottom w:val="single" w:sz="4" w:space="0" w:color="auto"/>
              <w:right w:val="single" w:sz="4" w:space="0" w:color="auto"/>
              <w:tl2br w:val="nil"/>
              <w:tr2bl w:val="nil"/>
            </w:tcBorders>
            <w:textDirection w:val="lrTb"/>
            <w:vAlign w:val="center"/>
          </w:tcPr>
          <w:p w:rsidR="00DE3128" w:rsidRPr="0079055B" w:rsidP="00DE3128">
            <w:pPr>
              <w:jc w:val="center"/>
              <w:rPr>
                <w:rFonts w:ascii="Times New Roman" w:hAnsi="Times New Roman" w:cs="Times New Roman"/>
                <w:b/>
                <w:bCs/>
                <w:sz w:val="20"/>
                <w:szCs w:val="20"/>
              </w:rPr>
            </w:pPr>
            <w:r w:rsidRPr="0079055B">
              <w:rPr>
                <w:rFonts w:ascii="Times New Roman" w:hAnsi="Times New Roman" w:cs="Times New Roman"/>
                <w:b/>
                <w:bCs/>
                <w:sz w:val="20"/>
                <w:szCs w:val="20"/>
              </w:rPr>
              <w:t>Schválený</w:t>
            </w:r>
          </w:p>
        </w:tc>
        <w:tc>
          <w:tcPr>
            <w:tcW w:w="1080" w:type="dxa"/>
            <w:tcBorders>
              <w:top w:val="nil"/>
              <w:left w:val="nil"/>
              <w:bottom w:val="single" w:sz="4" w:space="0" w:color="auto"/>
              <w:right w:val="single" w:sz="4" w:space="0" w:color="auto"/>
              <w:tl2br w:val="nil"/>
              <w:tr2bl w:val="nil"/>
            </w:tcBorders>
            <w:textDirection w:val="lrTb"/>
            <w:vAlign w:val="center"/>
          </w:tcPr>
          <w:p w:rsidR="00DE3128" w:rsidRPr="0079055B" w:rsidP="00DE3128">
            <w:pPr>
              <w:jc w:val="center"/>
              <w:rPr>
                <w:rFonts w:ascii="Times New Roman" w:hAnsi="Times New Roman" w:cs="Times New Roman"/>
                <w:b/>
                <w:bCs/>
                <w:sz w:val="20"/>
                <w:szCs w:val="20"/>
              </w:rPr>
            </w:pPr>
            <w:r w:rsidRPr="0079055B">
              <w:rPr>
                <w:rFonts w:ascii="Times New Roman" w:hAnsi="Times New Roman" w:cs="Times New Roman"/>
                <w:b/>
                <w:bCs/>
                <w:sz w:val="20"/>
                <w:szCs w:val="20"/>
              </w:rPr>
              <w:t>Upravený</w:t>
            </w:r>
          </w:p>
        </w:tc>
        <w:tc>
          <w:tcPr>
            <w:tcW w:w="1123"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79055B" w:rsidP="00DE3128">
            <w:pPr>
              <w:jc w:val="center"/>
              <w:rPr>
                <w:rFonts w:ascii="Times New Roman" w:hAnsi="Times New Roman" w:cs="Times New Roman"/>
                <w:b/>
                <w:bCs/>
                <w:sz w:val="20"/>
                <w:szCs w:val="20"/>
              </w:rPr>
            </w:pPr>
          </w:p>
        </w:tc>
        <w:tc>
          <w:tcPr>
            <w:tcW w:w="1059"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E3128" w:rsidRPr="0079055B" w:rsidP="00DE3128">
            <w:pPr>
              <w:jc w:val="center"/>
              <w:rPr>
                <w:rFonts w:ascii="Times New Roman" w:hAnsi="Times New Roman" w:cs="Times New Roman"/>
                <w:b/>
                <w:bCs/>
                <w:sz w:val="20"/>
                <w:szCs w:val="20"/>
              </w:rPr>
            </w:pPr>
          </w:p>
        </w:tc>
        <w:tc>
          <w:tcPr>
            <w:tcW w:w="1152"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79055B" w:rsidP="00DE3128">
            <w:pPr>
              <w:jc w:val="center"/>
              <w:rPr>
                <w:rFonts w:ascii="Times New Roman" w:hAnsi="Times New Roman" w:cs="Times New Roman"/>
                <w:b/>
                <w:bCs/>
                <w:sz w:val="20"/>
                <w:szCs w:val="20"/>
              </w:rPr>
            </w:pPr>
          </w:p>
        </w:tc>
        <w:tc>
          <w:tcPr>
            <w:tcW w:w="1079" w:type="dxa"/>
            <w:vMerge/>
            <w:tcBorders>
              <w:top w:val="single" w:sz="4" w:space="0" w:color="auto"/>
              <w:left w:val="single" w:sz="4" w:space="0" w:color="auto"/>
              <w:bottom w:val="single" w:sz="4" w:space="0" w:color="auto"/>
              <w:right w:val="single" w:sz="8" w:space="0" w:color="auto"/>
              <w:tl2br w:val="nil"/>
              <w:tr2bl w:val="nil"/>
            </w:tcBorders>
            <w:textDirection w:val="lrTb"/>
            <w:vAlign w:val="center"/>
          </w:tcPr>
          <w:p w:rsidR="00DE3128" w:rsidRPr="0079055B" w:rsidP="00DE3128">
            <w:pPr>
              <w:jc w:val="center"/>
              <w:rPr>
                <w:rFonts w:ascii="Times New Roman" w:hAnsi="Times New Roman" w:cs="Times New Roman"/>
                <w:b/>
                <w:bCs/>
                <w:sz w:val="20"/>
                <w:szCs w:val="20"/>
              </w:rPr>
            </w:pPr>
          </w:p>
        </w:tc>
      </w:tr>
      <w:tr>
        <w:tblPrEx>
          <w:tblW w:w="10558" w:type="dxa"/>
          <w:jc w:val="center"/>
          <w:tblCellMar>
            <w:left w:w="70" w:type="dxa"/>
            <w:right w:w="70" w:type="dxa"/>
          </w:tblCellMar>
        </w:tblPrEx>
        <w:trPr>
          <w:trHeight w:val="118"/>
          <w:jc w:val="center"/>
        </w:trPr>
        <w:tc>
          <w:tcPr>
            <w:tcW w:w="2816" w:type="dxa"/>
            <w:vMerge/>
            <w:tcBorders>
              <w:top w:val="single" w:sz="4" w:space="0" w:color="auto"/>
              <w:left w:val="single" w:sz="8" w:space="0" w:color="auto"/>
              <w:bottom w:val="single" w:sz="4" w:space="0" w:color="000000"/>
              <w:right w:val="single" w:sz="4" w:space="0" w:color="auto"/>
              <w:tl2br w:val="nil"/>
              <w:tr2bl w:val="nil"/>
            </w:tcBorders>
            <w:textDirection w:val="lrTb"/>
            <w:vAlign w:val="center"/>
          </w:tcPr>
          <w:p w:rsidR="00DE3128" w:rsidRPr="0079055B" w:rsidP="00DE3128">
            <w:pPr>
              <w:rPr>
                <w:rFonts w:ascii="Times New Roman" w:hAnsi="Times New Roman" w:cs="Times New Roman"/>
                <w:b/>
                <w:bCs/>
                <w:sz w:val="20"/>
                <w:szCs w:val="20"/>
              </w:rPr>
            </w:pPr>
          </w:p>
        </w:tc>
        <w:tc>
          <w:tcPr>
            <w:tcW w:w="1169" w:type="dxa"/>
            <w:tcBorders>
              <w:top w:val="nil"/>
              <w:left w:val="nil"/>
              <w:bottom w:val="single" w:sz="4" w:space="0" w:color="auto"/>
              <w:right w:val="single" w:sz="4" w:space="0" w:color="auto"/>
              <w:tl2br w:val="nil"/>
              <w:tr2bl w:val="nil"/>
            </w:tcBorders>
            <w:noWrap/>
            <w:textDirection w:val="lrTb"/>
            <w:vAlign w:val="center"/>
          </w:tcPr>
          <w:p w:rsidR="00DE3128" w:rsidRPr="003F68AC" w:rsidP="00DE3128">
            <w:pPr>
              <w:jc w:val="center"/>
              <w:rPr>
                <w:rFonts w:ascii="Times New Roman" w:hAnsi="Times New Roman" w:cs="Times New Roman"/>
                <w:b/>
                <w:sz w:val="18"/>
                <w:szCs w:val="18"/>
              </w:rPr>
            </w:pPr>
            <w:r w:rsidRPr="003F68AC">
              <w:rPr>
                <w:rFonts w:ascii="Times New Roman" w:hAnsi="Times New Roman" w:cs="Times New Roman"/>
                <w:b/>
                <w:sz w:val="18"/>
                <w:szCs w:val="18"/>
              </w:rPr>
              <w:t>1</w:t>
            </w:r>
          </w:p>
        </w:tc>
        <w:tc>
          <w:tcPr>
            <w:tcW w:w="1080" w:type="dxa"/>
            <w:tcBorders>
              <w:top w:val="nil"/>
              <w:left w:val="nil"/>
              <w:bottom w:val="single" w:sz="4" w:space="0" w:color="auto"/>
              <w:right w:val="single" w:sz="4" w:space="0" w:color="auto"/>
              <w:tl2br w:val="nil"/>
              <w:tr2bl w:val="nil"/>
            </w:tcBorders>
            <w:noWrap/>
            <w:textDirection w:val="lrTb"/>
            <w:vAlign w:val="center"/>
          </w:tcPr>
          <w:p w:rsidR="00DE3128" w:rsidRPr="003F68AC" w:rsidP="00DE3128">
            <w:pPr>
              <w:jc w:val="center"/>
              <w:rPr>
                <w:rFonts w:ascii="Times New Roman" w:hAnsi="Times New Roman" w:cs="Times New Roman"/>
                <w:b/>
                <w:sz w:val="18"/>
                <w:szCs w:val="18"/>
              </w:rPr>
            </w:pPr>
            <w:r w:rsidRPr="003F68AC">
              <w:rPr>
                <w:rFonts w:ascii="Times New Roman" w:hAnsi="Times New Roman" w:cs="Times New Roman"/>
                <w:b/>
                <w:sz w:val="18"/>
                <w:szCs w:val="18"/>
              </w:rPr>
              <w:t>2</w:t>
            </w:r>
          </w:p>
        </w:tc>
        <w:tc>
          <w:tcPr>
            <w:tcW w:w="1080" w:type="dxa"/>
            <w:tcBorders>
              <w:top w:val="nil"/>
              <w:left w:val="nil"/>
              <w:bottom w:val="single" w:sz="4" w:space="0" w:color="auto"/>
              <w:right w:val="single" w:sz="4" w:space="0" w:color="auto"/>
              <w:tl2br w:val="nil"/>
              <w:tr2bl w:val="nil"/>
            </w:tcBorders>
            <w:noWrap/>
            <w:textDirection w:val="lrTb"/>
            <w:vAlign w:val="center"/>
          </w:tcPr>
          <w:p w:rsidR="00DE3128" w:rsidRPr="003F68AC" w:rsidP="00DE3128">
            <w:pPr>
              <w:jc w:val="center"/>
              <w:rPr>
                <w:rFonts w:ascii="Times New Roman" w:hAnsi="Times New Roman" w:cs="Times New Roman"/>
                <w:b/>
                <w:sz w:val="18"/>
                <w:szCs w:val="18"/>
              </w:rPr>
            </w:pPr>
            <w:r w:rsidRPr="003F68AC">
              <w:rPr>
                <w:rFonts w:ascii="Times New Roman" w:hAnsi="Times New Roman" w:cs="Times New Roman"/>
                <w:b/>
                <w:sz w:val="18"/>
                <w:szCs w:val="18"/>
              </w:rPr>
              <w:t>3</w:t>
            </w:r>
          </w:p>
        </w:tc>
        <w:tc>
          <w:tcPr>
            <w:tcW w:w="1123" w:type="dxa"/>
            <w:tcBorders>
              <w:top w:val="nil"/>
              <w:left w:val="nil"/>
              <w:bottom w:val="single" w:sz="4" w:space="0" w:color="auto"/>
              <w:right w:val="single" w:sz="4" w:space="0" w:color="auto"/>
              <w:tl2br w:val="nil"/>
              <w:tr2bl w:val="nil"/>
            </w:tcBorders>
            <w:noWrap/>
            <w:textDirection w:val="lrTb"/>
            <w:vAlign w:val="center"/>
          </w:tcPr>
          <w:p w:rsidR="00DE3128" w:rsidRPr="003F68AC" w:rsidP="00DE3128">
            <w:pPr>
              <w:jc w:val="center"/>
              <w:rPr>
                <w:rFonts w:ascii="Times New Roman" w:hAnsi="Times New Roman" w:cs="Times New Roman"/>
                <w:b/>
                <w:sz w:val="18"/>
                <w:szCs w:val="18"/>
              </w:rPr>
            </w:pPr>
            <w:r w:rsidRPr="003F68AC">
              <w:rPr>
                <w:rFonts w:ascii="Times New Roman" w:hAnsi="Times New Roman" w:cs="Times New Roman"/>
                <w:b/>
                <w:sz w:val="18"/>
                <w:szCs w:val="18"/>
              </w:rPr>
              <w:t>4</w:t>
            </w:r>
          </w:p>
        </w:tc>
        <w:tc>
          <w:tcPr>
            <w:tcW w:w="1059" w:type="dxa"/>
            <w:tcBorders>
              <w:top w:val="nil"/>
              <w:left w:val="nil"/>
              <w:bottom w:val="single" w:sz="4" w:space="0" w:color="auto"/>
              <w:right w:val="single" w:sz="4" w:space="0" w:color="auto"/>
              <w:tl2br w:val="nil"/>
              <w:tr2bl w:val="nil"/>
            </w:tcBorders>
            <w:noWrap/>
            <w:textDirection w:val="lrTb"/>
            <w:vAlign w:val="center"/>
          </w:tcPr>
          <w:p w:rsidR="00DE3128" w:rsidRPr="003F68AC" w:rsidP="00DE3128">
            <w:pPr>
              <w:jc w:val="center"/>
              <w:rPr>
                <w:rFonts w:ascii="Times New Roman" w:hAnsi="Times New Roman" w:cs="Times New Roman"/>
                <w:b/>
                <w:sz w:val="18"/>
                <w:szCs w:val="18"/>
              </w:rPr>
            </w:pPr>
            <w:r w:rsidRPr="003F68AC">
              <w:rPr>
                <w:rFonts w:ascii="Times New Roman" w:hAnsi="Times New Roman" w:cs="Times New Roman"/>
                <w:b/>
                <w:sz w:val="18"/>
                <w:szCs w:val="18"/>
              </w:rPr>
              <w:t>5 = 4-3</w:t>
            </w:r>
          </w:p>
        </w:tc>
        <w:tc>
          <w:tcPr>
            <w:tcW w:w="1152" w:type="dxa"/>
            <w:tcBorders>
              <w:top w:val="nil"/>
              <w:left w:val="nil"/>
              <w:bottom w:val="single" w:sz="4" w:space="0" w:color="auto"/>
              <w:right w:val="single" w:sz="4" w:space="0" w:color="auto"/>
              <w:tl2br w:val="nil"/>
              <w:tr2bl w:val="nil"/>
            </w:tcBorders>
            <w:noWrap/>
            <w:textDirection w:val="lrTb"/>
            <w:vAlign w:val="center"/>
          </w:tcPr>
          <w:p w:rsidR="00DE3128" w:rsidRPr="003F68AC" w:rsidP="00DE3128">
            <w:pPr>
              <w:jc w:val="center"/>
              <w:rPr>
                <w:rFonts w:ascii="Times New Roman" w:hAnsi="Times New Roman" w:cs="Times New Roman"/>
                <w:b/>
                <w:sz w:val="18"/>
                <w:szCs w:val="18"/>
              </w:rPr>
            </w:pPr>
            <w:r w:rsidRPr="003F68AC">
              <w:rPr>
                <w:rFonts w:ascii="Times New Roman" w:hAnsi="Times New Roman" w:cs="Times New Roman"/>
                <w:b/>
                <w:sz w:val="18"/>
                <w:szCs w:val="18"/>
              </w:rPr>
              <w:t>6=4/3*100</w:t>
            </w:r>
          </w:p>
        </w:tc>
        <w:tc>
          <w:tcPr>
            <w:tcW w:w="1079" w:type="dxa"/>
            <w:tcBorders>
              <w:top w:val="nil"/>
              <w:left w:val="nil"/>
              <w:bottom w:val="single" w:sz="4" w:space="0" w:color="auto"/>
              <w:right w:val="single" w:sz="8" w:space="0" w:color="auto"/>
              <w:tl2br w:val="nil"/>
              <w:tr2bl w:val="nil"/>
            </w:tcBorders>
            <w:noWrap/>
            <w:textDirection w:val="lrTb"/>
            <w:vAlign w:val="center"/>
          </w:tcPr>
          <w:p w:rsidR="00DE3128" w:rsidRPr="003F68AC" w:rsidP="00DE3128">
            <w:pPr>
              <w:jc w:val="center"/>
              <w:rPr>
                <w:rFonts w:ascii="Times New Roman" w:hAnsi="Times New Roman" w:cs="Times New Roman"/>
                <w:b/>
                <w:sz w:val="18"/>
                <w:szCs w:val="18"/>
              </w:rPr>
            </w:pPr>
            <w:r w:rsidRPr="003F68AC">
              <w:rPr>
                <w:rFonts w:ascii="Times New Roman" w:hAnsi="Times New Roman" w:cs="Times New Roman"/>
                <w:b/>
                <w:sz w:val="18"/>
                <w:szCs w:val="18"/>
              </w:rPr>
              <w:t>7=4/1*100</w:t>
            </w:r>
          </w:p>
        </w:tc>
      </w:tr>
      <w:tr>
        <w:tblPrEx>
          <w:tblW w:w="10558" w:type="dxa"/>
          <w:jc w:val="center"/>
          <w:tblCellMar>
            <w:left w:w="70" w:type="dxa"/>
            <w:right w:w="70" w:type="dxa"/>
          </w:tblCellMar>
        </w:tblPrEx>
        <w:trPr>
          <w:trHeight w:val="341"/>
          <w:jc w:val="center"/>
        </w:trPr>
        <w:tc>
          <w:tcPr>
            <w:tcW w:w="2816" w:type="dxa"/>
            <w:tcBorders>
              <w:top w:val="nil"/>
              <w:left w:val="single" w:sz="8" w:space="0" w:color="auto"/>
              <w:bottom w:val="single" w:sz="4" w:space="0" w:color="auto"/>
              <w:right w:val="single" w:sz="4" w:space="0" w:color="auto"/>
              <w:tl2br w:val="nil"/>
              <w:tr2bl w:val="nil"/>
            </w:tcBorders>
            <w:noWrap/>
            <w:textDirection w:val="lrTb"/>
            <w:vAlign w:val="center"/>
          </w:tcPr>
          <w:p w:rsidR="00DE3128" w:rsidRPr="0079055B" w:rsidP="00DE3128">
            <w:pPr>
              <w:rPr>
                <w:rFonts w:ascii="Times New Roman" w:hAnsi="Times New Roman" w:cs="Times New Roman"/>
                <w:b/>
                <w:bCs/>
                <w:sz w:val="20"/>
                <w:szCs w:val="20"/>
              </w:rPr>
            </w:pPr>
            <w:r w:rsidRPr="0079055B">
              <w:rPr>
                <w:rFonts w:ascii="Times New Roman" w:hAnsi="Times New Roman" w:cs="Times New Roman"/>
                <w:b/>
                <w:bCs/>
                <w:sz w:val="20"/>
                <w:szCs w:val="20"/>
              </w:rPr>
              <w:t>Dane z príjmov a kapitálového majetku</w:t>
            </w:r>
          </w:p>
        </w:tc>
        <w:tc>
          <w:tcPr>
            <w:tcW w:w="1169"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48 729,1</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43 144,0</w:t>
            </w:r>
          </w:p>
        </w:tc>
        <w:tc>
          <w:tcPr>
            <w:tcW w:w="1080"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43 144,0</w:t>
            </w:r>
          </w:p>
        </w:tc>
        <w:tc>
          <w:tcPr>
            <w:tcW w:w="1123"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54 716,1</w:t>
            </w:r>
          </w:p>
        </w:tc>
        <w:tc>
          <w:tcPr>
            <w:tcW w:w="1059"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11 572,1</w:t>
            </w:r>
          </w:p>
        </w:tc>
        <w:tc>
          <w:tcPr>
            <w:tcW w:w="1152"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126,8</w:t>
            </w:r>
          </w:p>
        </w:tc>
        <w:tc>
          <w:tcPr>
            <w:tcW w:w="1079" w:type="dxa"/>
            <w:tcBorders>
              <w:top w:val="nil"/>
              <w:left w:val="nil"/>
              <w:bottom w:val="single" w:sz="4" w:space="0" w:color="auto"/>
              <w:right w:val="single" w:sz="8"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112,3</w:t>
            </w:r>
          </w:p>
        </w:tc>
      </w:tr>
      <w:tr>
        <w:tblPrEx>
          <w:tblW w:w="10558" w:type="dxa"/>
          <w:jc w:val="center"/>
          <w:tblCellMar>
            <w:left w:w="70" w:type="dxa"/>
            <w:right w:w="70" w:type="dxa"/>
          </w:tblCellMar>
        </w:tblPrEx>
        <w:trPr>
          <w:trHeight w:val="205"/>
          <w:jc w:val="center"/>
        </w:trPr>
        <w:tc>
          <w:tcPr>
            <w:tcW w:w="2816" w:type="dxa"/>
            <w:tcBorders>
              <w:top w:val="nil"/>
              <w:left w:val="single" w:sz="8" w:space="0" w:color="auto"/>
              <w:bottom w:val="single" w:sz="4" w:space="0" w:color="auto"/>
              <w:right w:val="single" w:sz="4" w:space="0" w:color="auto"/>
              <w:tl2br w:val="nil"/>
              <w:tr2bl w:val="nil"/>
            </w:tcBorders>
            <w:noWrap/>
            <w:textDirection w:val="lrTb"/>
            <w:vAlign w:val="center"/>
          </w:tcPr>
          <w:p w:rsidR="00DE3128" w:rsidRPr="0079055B" w:rsidP="00DE3128">
            <w:pPr>
              <w:rPr>
                <w:rFonts w:ascii="Times New Roman" w:hAnsi="Times New Roman" w:cs="Times New Roman"/>
                <w:sz w:val="20"/>
                <w:szCs w:val="20"/>
              </w:rPr>
            </w:pPr>
            <w:r w:rsidRPr="0079055B">
              <w:rPr>
                <w:rFonts w:ascii="Times New Roman" w:hAnsi="Times New Roman" w:cs="Times New Roman"/>
                <w:sz w:val="20"/>
                <w:szCs w:val="20"/>
              </w:rPr>
              <w:t>Daň z príjmov fyzickej osob</w:t>
            </w:r>
            <w:r w:rsidRPr="0079055B">
              <w:rPr>
                <w:rFonts w:ascii="Times New Roman" w:hAnsi="Times New Roman" w:cs="Times New Roman"/>
                <w:sz w:val="20"/>
                <w:szCs w:val="20"/>
              </w:rPr>
              <w:t>y</w:t>
            </w:r>
          </w:p>
        </w:tc>
        <w:tc>
          <w:tcPr>
            <w:tcW w:w="1169"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2 792,8</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2 493,0</w:t>
            </w:r>
          </w:p>
        </w:tc>
        <w:tc>
          <w:tcPr>
            <w:tcW w:w="1080"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2 493,0</w:t>
            </w:r>
          </w:p>
        </w:tc>
        <w:tc>
          <w:tcPr>
            <w:tcW w:w="1123"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2 586,1</w:t>
            </w:r>
          </w:p>
        </w:tc>
        <w:tc>
          <w:tcPr>
            <w:tcW w:w="1059"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93,1</w:t>
            </w:r>
          </w:p>
        </w:tc>
        <w:tc>
          <w:tcPr>
            <w:tcW w:w="1152"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103,7</w:t>
            </w:r>
          </w:p>
        </w:tc>
        <w:tc>
          <w:tcPr>
            <w:tcW w:w="1079" w:type="dxa"/>
            <w:tcBorders>
              <w:top w:val="nil"/>
              <w:left w:val="nil"/>
              <w:bottom w:val="single" w:sz="4" w:space="0" w:color="auto"/>
              <w:right w:val="single" w:sz="8"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92,6</w:t>
            </w:r>
          </w:p>
        </w:tc>
      </w:tr>
      <w:tr>
        <w:tblPrEx>
          <w:tblW w:w="10558" w:type="dxa"/>
          <w:jc w:val="center"/>
          <w:tblCellMar>
            <w:left w:w="70" w:type="dxa"/>
            <w:right w:w="70" w:type="dxa"/>
          </w:tblCellMar>
        </w:tblPrEx>
        <w:trPr>
          <w:trHeight w:val="230"/>
          <w:jc w:val="center"/>
        </w:trPr>
        <w:tc>
          <w:tcPr>
            <w:tcW w:w="2816" w:type="dxa"/>
            <w:tcBorders>
              <w:top w:val="nil"/>
              <w:left w:val="single" w:sz="8" w:space="0" w:color="auto"/>
              <w:bottom w:val="single" w:sz="4" w:space="0" w:color="auto"/>
              <w:right w:val="single" w:sz="4" w:space="0" w:color="auto"/>
              <w:tl2br w:val="nil"/>
              <w:tr2bl w:val="nil"/>
            </w:tcBorders>
            <w:noWrap/>
            <w:textDirection w:val="lrTb"/>
            <w:vAlign w:val="center"/>
          </w:tcPr>
          <w:p w:rsidR="00DE3128" w:rsidRPr="0079055B" w:rsidP="00DE3128">
            <w:pPr>
              <w:rPr>
                <w:rFonts w:ascii="Times New Roman" w:hAnsi="Times New Roman" w:cs="Times New Roman"/>
                <w:sz w:val="20"/>
                <w:szCs w:val="20"/>
              </w:rPr>
            </w:pPr>
            <w:r w:rsidRPr="0079055B">
              <w:rPr>
                <w:rFonts w:ascii="Times New Roman" w:hAnsi="Times New Roman" w:cs="Times New Roman"/>
                <w:sz w:val="20"/>
                <w:szCs w:val="20"/>
              </w:rPr>
              <w:t>Daň z príjmov právnickej osoby</w:t>
            </w:r>
          </w:p>
        </w:tc>
        <w:tc>
          <w:tcPr>
            <w:tcW w:w="1169"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42 080,9</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36 181,0</w:t>
            </w:r>
          </w:p>
        </w:tc>
        <w:tc>
          <w:tcPr>
            <w:tcW w:w="1080"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36 181,0</w:t>
            </w:r>
          </w:p>
        </w:tc>
        <w:tc>
          <w:tcPr>
            <w:tcW w:w="1123"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47 271,4</w:t>
            </w:r>
          </w:p>
        </w:tc>
        <w:tc>
          <w:tcPr>
            <w:tcW w:w="1059"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11 090,4</w:t>
            </w:r>
          </w:p>
        </w:tc>
        <w:tc>
          <w:tcPr>
            <w:tcW w:w="1152"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130,7</w:t>
            </w:r>
          </w:p>
        </w:tc>
        <w:tc>
          <w:tcPr>
            <w:tcW w:w="1079" w:type="dxa"/>
            <w:tcBorders>
              <w:top w:val="nil"/>
              <w:left w:val="nil"/>
              <w:bottom w:val="single" w:sz="4" w:space="0" w:color="auto"/>
              <w:right w:val="single" w:sz="8"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112,3</w:t>
            </w:r>
          </w:p>
        </w:tc>
      </w:tr>
      <w:tr>
        <w:tblPrEx>
          <w:tblW w:w="10558" w:type="dxa"/>
          <w:jc w:val="center"/>
          <w:tblCellMar>
            <w:left w:w="70" w:type="dxa"/>
            <w:right w:w="70" w:type="dxa"/>
          </w:tblCellMar>
        </w:tblPrEx>
        <w:trPr>
          <w:trHeight w:val="70"/>
          <w:jc w:val="center"/>
        </w:trPr>
        <w:tc>
          <w:tcPr>
            <w:tcW w:w="2816" w:type="dxa"/>
            <w:tcBorders>
              <w:top w:val="nil"/>
              <w:left w:val="single" w:sz="8" w:space="0" w:color="auto"/>
              <w:bottom w:val="single" w:sz="4" w:space="0" w:color="auto"/>
              <w:right w:val="single" w:sz="4" w:space="0" w:color="auto"/>
              <w:tl2br w:val="nil"/>
              <w:tr2bl w:val="nil"/>
            </w:tcBorders>
            <w:noWrap/>
            <w:textDirection w:val="lrTb"/>
            <w:vAlign w:val="center"/>
          </w:tcPr>
          <w:p w:rsidR="00DE3128" w:rsidRPr="0079055B" w:rsidP="00DE3128">
            <w:pPr>
              <w:rPr>
                <w:rFonts w:ascii="Times New Roman" w:hAnsi="Times New Roman" w:cs="Times New Roman"/>
                <w:sz w:val="20"/>
                <w:szCs w:val="20"/>
              </w:rPr>
            </w:pPr>
            <w:r w:rsidRPr="0079055B">
              <w:rPr>
                <w:rFonts w:ascii="Times New Roman" w:hAnsi="Times New Roman" w:cs="Times New Roman"/>
                <w:sz w:val="20"/>
                <w:szCs w:val="20"/>
              </w:rPr>
              <w:t>Daň z príjmov vyberaná zrážkou</w:t>
            </w:r>
          </w:p>
        </w:tc>
        <w:tc>
          <w:tcPr>
            <w:tcW w:w="1169"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3 855,4</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4 470,0</w:t>
            </w:r>
          </w:p>
        </w:tc>
        <w:tc>
          <w:tcPr>
            <w:tcW w:w="1080"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4 470,0</w:t>
            </w:r>
          </w:p>
        </w:tc>
        <w:tc>
          <w:tcPr>
            <w:tcW w:w="1123"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4 858,6</w:t>
            </w:r>
          </w:p>
        </w:tc>
        <w:tc>
          <w:tcPr>
            <w:tcW w:w="1059"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388,6</w:t>
            </w:r>
          </w:p>
        </w:tc>
        <w:tc>
          <w:tcPr>
            <w:tcW w:w="1152"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108,7</w:t>
            </w:r>
          </w:p>
        </w:tc>
        <w:tc>
          <w:tcPr>
            <w:tcW w:w="1079" w:type="dxa"/>
            <w:tcBorders>
              <w:top w:val="nil"/>
              <w:left w:val="nil"/>
              <w:bottom w:val="single" w:sz="4" w:space="0" w:color="auto"/>
              <w:right w:val="single" w:sz="8"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126,0</w:t>
            </w:r>
          </w:p>
        </w:tc>
      </w:tr>
      <w:tr>
        <w:tblPrEx>
          <w:tblW w:w="10558" w:type="dxa"/>
          <w:jc w:val="center"/>
          <w:tblCellMar>
            <w:left w:w="70" w:type="dxa"/>
            <w:right w:w="70" w:type="dxa"/>
          </w:tblCellMar>
        </w:tblPrEx>
        <w:trPr>
          <w:trHeight w:val="70"/>
          <w:jc w:val="center"/>
        </w:trPr>
        <w:tc>
          <w:tcPr>
            <w:tcW w:w="2816" w:type="dxa"/>
            <w:tcBorders>
              <w:top w:val="nil"/>
              <w:left w:val="single" w:sz="8" w:space="0" w:color="auto"/>
              <w:bottom w:val="single" w:sz="4" w:space="0" w:color="auto"/>
              <w:right w:val="single" w:sz="4" w:space="0" w:color="auto"/>
              <w:tl2br w:val="nil"/>
              <w:tr2bl w:val="nil"/>
            </w:tcBorders>
            <w:noWrap/>
            <w:textDirection w:val="lrTb"/>
            <w:vAlign w:val="center"/>
          </w:tcPr>
          <w:p w:rsidR="00DE3128" w:rsidRPr="0079055B" w:rsidP="00DE3128">
            <w:pPr>
              <w:rPr>
                <w:rFonts w:ascii="Times New Roman" w:hAnsi="Times New Roman" w:cs="Times New Roman"/>
                <w:b/>
                <w:bCs/>
                <w:sz w:val="20"/>
                <w:szCs w:val="20"/>
              </w:rPr>
            </w:pPr>
            <w:r w:rsidRPr="0079055B">
              <w:rPr>
                <w:rFonts w:ascii="Times New Roman" w:hAnsi="Times New Roman" w:cs="Times New Roman"/>
                <w:b/>
                <w:bCs/>
                <w:sz w:val="20"/>
                <w:szCs w:val="20"/>
              </w:rPr>
              <w:t>Dane z majetku</w:t>
            </w:r>
          </w:p>
        </w:tc>
        <w:tc>
          <w:tcPr>
            <w:tcW w:w="1169"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966,2</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x</w:t>
            </w:r>
          </w:p>
        </w:tc>
        <w:tc>
          <w:tcPr>
            <w:tcW w:w="1080"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0,0</w:t>
            </w:r>
          </w:p>
        </w:tc>
        <w:tc>
          <w:tcPr>
            <w:tcW w:w="1123"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327,4</w:t>
            </w:r>
          </w:p>
        </w:tc>
        <w:tc>
          <w:tcPr>
            <w:tcW w:w="1059"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3</w:t>
            </w:r>
            <w:r w:rsidRPr="0079055B">
              <w:rPr>
                <w:rFonts w:ascii="Times New Roman" w:hAnsi="Times New Roman" w:cs="Times New Roman"/>
                <w:b/>
                <w:bCs/>
                <w:sz w:val="20"/>
                <w:szCs w:val="20"/>
              </w:rPr>
              <w:t>27,4</w:t>
            </w:r>
          </w:p>
        </w:tc>
        <w:tc>
          <w:tcPr>
            <w:tcW w:w="1152"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x</w:t>
            </w:r>
          </w:p>
        </w:tc>
        <w:tc>
          <w:tcPr>
            <w:tcW w:w="1079" w:type="dxa"/>
            <w:tcBorders>
              <w:top w:val="nil"/>
              <w:left w:val="nil"/>
              <w:bottom w:val="single" w:sz="4" w:space="0" w:color="auto"/>
              <w:right w:val="single" w:sz="8"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33,9</w:t>
            </w:r>
          </w:p>
        </w:tc>
      </w:tr>
      <w:tr>
        <w:tblPrEx>
          <w:tblW w:w="10558" w:type="dxa"/>
          <w:jc w:val="center"/>
          <w:tblCellMar>
            <w:left w:w="70" w:type="dxa"/>
            <w:right w:w="70" w:type="dxa"/>
          </w:tblCellMar>
        </w:tblPrEx>
        <w:trPr>
          <w:trHeight w:val="259"/>
          <w:jc w:val="center"/>
        </w:trPr>
        <w:tc>
          <w:tcPr>
            <w:tcW w:w="2816" w:type="dxa"/>
            <w:tcBorders>
              <w:top w:val="nil"/>
              <w:left w:val="single" w:sz="8" w:space="0" w:color="auto"/>
              <w:bottom w:val="single" w:sz="4" w:space="0" w:color="auto"/>
              <w:right w:val="single" w:sz="4" w:space="0" w:color="auto"/>
              <w:tl2br w:val="nil"/>
              <w:tr2bl w:val="nil"/>
            </w:tcBorders>
            <w:noWrap/>
            <w:textDirection w:val="lrTb"/>
            <w:vAlign w:val="center"/>
          </w:tcPr>
          <w:p w:rsidR="00DE3128" w:rsidRPr="0079055B" w:rsidP="00DE3128">
            <w:pPr>
              <w:rPr>
                <w:rFonts w:ascii="Times New Roman" w:hAnsi="Times New Roman" w:cs="Times New Roman"/>
                <w:b/>
                <w:bCs/>
                <w:sz w:val="20"/>
                <w:szCs w:val="20"/>
              </w:rPr>
            </w:pPr>
            <w:r w:rsidRPr="0079055B">
              <w:rPr>
                <w:rFonts w:ascii="Times New Roman" w:hAnsi="Times New Roman" w:cs="Times New Roman"/>
                <w:b/>
                <w:bCs/>
                <w:sz w:val="20"/>
                <w:szCs w:val="20"/>
              </w:rPr>
              <w:t>Dane za tovary a služby</w:t>
            </w:r>
          </w:p>
        </w:tc>
        <w:tc>
          <w:tcPr>
            <w:tcW w:w="1169"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172 363,6</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171 913,0</w:t>
            </w:r>
          </w:p>
        </w:tc>
        <w:tc>
          <w:tcPr>
            <w:tcW w:w="1080"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171 913,0</w:t>
            </w:r>
          </w:p>
        </w:tc>
        <w:tc>
          <w:tcPr>
            <w:tcW w:w="1123"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180 591,5</w:t>
            </w:r>
          </w:p>
        </w:tc>
        <w:tc>
          <w:tcPr>
            <w:tcW w:w="1059"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8 678,5</w:t>
            </w:r>
          </w:p>
        </w:tc>
        <w:tc>
          <w:tcPr>
            <w:tcW w:w="1152"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105,0</w:t>
            </w:r>
          </w:p>
        </w:tc>
        <w:tc>
          <w:tcPr>
            <w:tcW w:w="1079" w:type="dxa"/>
            <w:tcBorders>
              <w:top w:val="nil"/>
              <w:left w:val="nil"/>
              <w:bottom w:val="single" w:sz="4" w:space="0" w:color="auto"/>
              <w:right w:val="single" w:sz="8"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104,8</w:t>
            </w:r>
          </w:p>
        </w:tc>
      </w:tr>
      <w:tr>
        <w:tblPrEx>
          <w:tblW w:w="10558" w:type="dxa"/>
          <w:jc w:val="center"/>
          <w:tblCellMar>
            <w:left w:w="70" w:type="dxa"/>
            <w:right w:w="70" w:type="dxa"/>
          </w:tblCellMar>
        </w:tblPrEx>
        <w:trPr>
          <w:trHeight w:val="70"/>
          <w:jc w:val="center"/>
        </w:trPr>
        <w:tc>
          <w:tcPr>
            <w:tcW w:w="2816" w:type="dxa"/>
            <w:tcBorders>
              <w:top w:val="nil"/>
              <w:left w:val="single" w:sz="8" w:space="0" w:color="auto"/>
              <w:bottom w:val="single" w:sz="4" w:space="0" w:color="auto"/>
              <w:right w:val="single" w:sz="4" w:space="0" w:color="auto"/>
              <w:tl2br w:val="nil"/>
              <w:tr2bl w:val="nil"/>
            </w:tcBorders>
            <w:noWrap/>
            <w:textDirection w:val="lrTb"/>
            <w:vAlign w:val="center"/>
          </w:tcPr>
          <w:p w:rsidR="00DE3128" w:rsidRPr="0079055B" w:rsidP="00DE3128">
            <w:pPr>
              <w:rPr>
                <w:rFonts w:ascii="Times New Roman" w:hAnsi="Times New Roman" w:cs="Times New Roman"/>
                <w:sz w:val="20"/>
                <w:szCs w:val="20"/>
              </w:rPr>
            </w:pPr>
            <w:r w:rsidRPr="0079055B">
              <w:rPr>
                <w:rFonts w:ascii="Times New Roman" w:hAnsi="Times New Roman" w:cs="Times New Roman"/>
                <w:sz w:val="20"/>
                <w:szCs w:val="20"/>
              </w:rPr>
              <w:t>Daň z pridanej hodnoty</w:t>
            </w:r>
          </w:p>
        </w:tc>
        <w:tc>
          <w:tcPr>
            <w:tcW w:w="1169"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122 429,1</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119 997,0</w:t>
            </w:r>
          </w:p>
        </w:tc>
        <w:tc>
          <w:tcPr>
            <w:tcW w:w="1080"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119 997,0</w:t>
            </w:r>
          </w:p>
        </w:tc>
        <w:tc>
          <w:tcPr>
            <w:tcW w:w="1123"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128 462,9</w:t>
            </w:r>
          </w:p>
        </w:tc>
        <w:tc>
          <w:tcPr>
            <w:tcW w:w="1059"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8 465,9</w:t>
            </w:r>
          </w:p>
        </w:tc>
        <w:tc>
          <w:tcPr>
            <w:tcW w:w="1152"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107,1</w:t>
            </w:r>
          </w:p>
        </w:tc>
        <w:tc>
          <w:tcPr>
            <w:tcW w:w="1079" w:type="dxa"/>
            <w:tcBorders>
              <w:top w:val="nil"/>
              <w:left w:val="nil"/>
              <w:bottom w:val="single" w:sz="4" w:space="0" w:color="auto"/>
              <w:right w:val="single" w:sz="8"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104,9</w:t>
            </w:r>
          </w:p>
        </w:tc>
      </w:tr>
      <w:tr>
        <w:tblPrEx>
          <w:tblW w:w="10558" w:type="dxa"/>
          <w:jc w:val="center"/>
          <w:tblCellMar>
            <w:left w:w="70" w:type="dxa"/>
            <w:right w:w="70" w:type="dxa"/>
          </w:tblCellMar>
        </w:tblPrEx>
        <w:trPr>
          <w:trHeight w:val="86"/>
          <w:jc w:val="center"/>
        </w:trPr>
        <w:tc>
          <w:tcPr>
            <w:tcW w:w="2816" w:type="dxa"/>
            <w:tcBorders>
              <w:top w:val="nil"/>
              <w:left w:val="single" w:sz="8" w:space="0" w:color="auto"/>
              <w:bottom w:val="single" w:sz="4" w:space="0" w:color="auto"/>
              <w:right w:val="single" w:sz="4" w:space="0" w:color="auto"/>
              <w:tl2br w:val="nil"/>
              <w:tr2bl w:val="nil"/>
            </w:tcBorders>
            <w:noWrap/>
            <w:textDirection w:val="lrTb"/>
            <w:vAlign w:val="center"/>
          </w:tcPr>
          <w:p w:rsidR="00DE3128" w:rsidRPr="0079055B" w:rsidP="00DE3128">
            <w:pPr>
              <w:rPr>
                <w:rFonts w:ascii="Times New Roman" w:hAnsi="Times New Roman" w:cs="Times New Roman"/>
                <w:sz w:val="20"/>
                <w:szCs w:val="20"/>
              </w:rPr>
            </w:pPr>
            <w:r w:rsidRPr="0079055B">
              <w:rPr>
                <w:rFonts w:ascii="Times New Roman" w:hAnsi="Times New Roman" w:cs="Times New Roman"/>
                <w:sz w:val="20"/>
                <w:szCs w:val="20"/>
              </w:rPr>
              <w:t>Spotrebné dane</w:t>
            </w:r>
          </w:p>
        </w:tc>
        <w:tc>
          <w:tcPr>
            <w:tcW w:w="1169"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49 997,6</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51 914,0</w:t>
            </w:r>
          </w:p>
        </w:tc>
        <w:tc>
          <w:tcPr>
            <w:tcW w:w="1080"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51 914,0</w:t>
            </w:r>
          </w:p>
        </w:tc>
        <w:tc>
          <w:tcPr>
            <w:tcW w:w="1123"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52 144,8</w:t>
            </w:r>
          </w:p>
        </w:tc>
        <w:tc>
          <w:tcPr>
            <w:tcW w:w="1059"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230,8</w:t>
            </w:r>
          </w:p>
        </w:tc>
        <w:tc>
          <w:tcPr>
            <w:tcW w:w="1152"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100,4</w:t>
            </w:r>
          </w:p>
        </w:tc>
        <w:tc>
          <w:tcPr>
            <w:tcW w:w="1079" w:type="dxa"/>
            <w:tcBorders>
              <w:top w:val="nil"/>
              <w:left w:val="nil"/>
              <w:bottom w:val="single" w:sz="4" w:space="0" w:color="auto"/>
              <w:right w:val="single" w:sz="8"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104,3</w:t>
            </w:r>
          </w:p>
        </w:tc>
      </w:tr>
      <w:tr>
        <w:tblPrEx>
          <w:tblW w:w="10558" w:type="dxa"/>
          <w:jc w:val="center"/>
          <w:tblCellMar>
            <w:left w:w="70" w:type="dxa"/>
            <w:right w:w="70" w:type="dxa"/>
          </w:tblCellMar>
        </w:tblPrEx>
        <w:trPr>
          <w:trHeight w:val="341"/>
          <w:jc w:val="center"/>
        </w:trPr>
        <w:tc>
          <w:tcPr>
            <w:tcW w:w="2816" w:type="dxa"/>
            <w:tcBorders>
              <w:top w:val="nil"/>
              <w:left w:val="single" w:sz="8" w:space="0" w:color="auto"/>
              <w:bottom w:val="single" w:sz="4" w:space="0" w:color="auto"/>
              <w:right w:val="single" w:sz="4" w:space="0" w:color="auto"/>
              <w:tl2br w:val="nil"/>
              <w:tr2bl w:val="nil"/>
            </w:tcBorders>
            <w:noWrap/>
            <w:textDirection w:val="lrTb"/>
            <w:vAlign w:val="center"/>
          </w:tcPr>
          <w:p w:rsidR="00DE3128" w:rsidRPr="0079055B" w:rsidP="00DE3128">
            <w:pPr>
              <w:rPr>
                <w:rFonts w:ascii="Times New Roman" w:hAnsi="Times New Roman" w:cs="Times New Roman"/>
                <w:sz w:val="20"/>
                <w:szCs w:val="20"/>
              </w:rPr>
            </w:pPr>
            <w:r w:rsidRPr="0079055B">
              <w:rPr>
                <w:rFonts w:ascii="Times New Roman" w:hAnsi="Times New Roman" w:cs="Times New Roman"/>
                <w:sz w:val="20"/>
                <w:szCs w:val="20"/>
              </w:rPr>
              <w:t>Dane z použitia tovarov a z povolenia na výkon činnosti</w:t>
            </w:r>
          </w:p>
        </w:tc>
        <w:tc>
          <w:tcPr>
            <w:tcW w:w="1169"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-63,1</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2,0</w:t>
            </w:r>
          </w:p>
        </w:tc>
        <w:tc>
          <w:tcPr>
            <w:tcW w:w="1080"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2,0</w:t>
            </w:r>
          </w:p>
        </w:tc>
        <w:tc>
          <w:tcPr>
            <w:tcW w:w="1123"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-16,2</w:t>
            </w:r>
          </w:p>
        </w:tc>
        <w:tc>
          <w:tcPr>
            <w:tcW w:w="1059"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-18,2</w:t>
            </w:r>
          </w:p>
        </w:tc>
        <w:tc>
          <w:tcPr>
            <w:tcW w:w="1152"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-807,1</w:t>
            </w:r>
          </w:p>
        </w:tc>
        <w:tc>
          <w:tcPr>
            <w:tcW w:w="1079" w:type="dxa"/>
            <w:tcBorders>
              <w:top w:val="nil"/>
              <w:left w:val="nil"/>
              <w:bottom w:val="single" w:sz="4" w:space="0" w:color="auto"/>
              <w:right w:val="single" w:sz="8"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25,6</w:t>
            </w:r>
          </w:p>
        </w:tc>
      </w:tr>
      <w:tr>
        <w:tblPrEx>
          <w:tblW w:w="10558" w:type="dxa"/>
          <w:jc w:val="center"/>
          <w:tblCellMar>
            <w:left w:w="70" w:type="dxa"/>
            <w:right w:w="70" w:type="dxa"/>
          </w:tblCellMar>
        </w:tblPrEx>
        <w:trPr>
          <w:trHeight w:val="341"/>
          <w:jc w:val="center"/>
        </w:trPr>
        <w:tc>
          <w:tcPr>
            <w:tcW w:w="2816" w:type="dxa"/>
            <w:tcBorders>
              <w:top w:val="nil"/>
              <w:left w:val="single" w:sz="8" w:space="0" w:color="auto"/>
              <w:bottom w:val="single" w:sz="4" w:space="0" w:color="auto"/>
              <w:right w:val="single" w:sz="4" w:space="0" w:color="auto"/>
              <w:tl2br w:val="nil"/>
              <w:tr2bl w:val="nil"/>
            </w:tcBorders>
            <w:noWrap/>
            <w:textDirection w:val="lrTb"/>
            <w:vAlign w:val="center"/>
          </w:tcPr>
          <w:p w:rsidR="00DE3128" w:rsidRPr="0079055B" w:rsidP="00DE3128">
            <w:pPr>
              <w:rPr>
                <w:rFonts w:ascii="Times New Roman" w:hAnsi="Times New Roman" w:cs="Times New Roman"/>
                <w:b/>
                <w:bCs/>
                <w:sz w:val="20"/>
                <w:szCs w:val="20"/>
              </w:rPr>
            </w:pPr>
            <w:r w:rsidRPr="0079055B">
              <w:rPr>
                <w:rFonts w:ascii="Times New Roman" w:hAnsi="Times New Roman" w:cs="Times New Roman"/>
                <w:b/>
                <w:bCs/>
                <w:sz w:val="20"/>
                <w:szCs w:val="20"/>
              </w:rPr>
              <w:t>Dane z medzinárodného obchodu a transakcií</w:t>
            </w:r>
          </w:p>
        </w:tc>
        <w:tc>
          <w:tcPr>
            <w:tcW w:w="1169"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514,7</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600,0</w:t>
            </w:r>
          </w:p>
        </w:tc>
        <w:tc>
          <w:tcPr>
            <w:tcW w:w="1080"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600,0</w:t>
            </w:r>
          </w:p>
        </w:tc>
        <w:tc>
          <w:tcPr>
            <w:tcW w:w="1123"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632,9</w:t>
            </w:r>
          </w:p>
        </w:tc>
        <w:tc>
          <w:tcPr>
            <w:tcW w:w="1059"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32,9</w:t>
            </w:r>
          </w:p>
        </w:tc>
        <w:tc>
          <w:tcPr>
            <w:tcW w:w="1152"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105,5</w:t>
            </w:r>
          </w:p>
        </w:tc>
        <w:tc>
          <w:tcPr>
            <w:tcW w:w="1079" w:type="dxa"/>
            <w:tcBorders>
              <w:top w:val="nil"/>
              <w:left w:val="nil"/>
              <w:bottom w:val="single" w:sz="4" w:space="0" w:color="auto"/>
              <w:right w:val="single" w:sz="8"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123,0</w:t>
            </w:r>
          </w:p>
        </w:tc>
      </w:tr>
      <w:tr>
        <w:tblPrEx>
          <w:tblW w:w="10558" w:type="dxa"/>
          <w:jc w:val="center"/>
          <w:tblCellMar>
            <w:left w:w="70" w:type="dxa"/>
            <w:right w:w="70" w:type="dxa"/>
          </w:tblCellMar>
        </w:tblPrEx>
        <w:trPr>
          <w:trHeight w:val="70"/>
          <w:jc w:val="center"/>
        </w:trPr>
        <w:tc>
          <w:tcPr>
            <w:tcW w:w="2816" w:type="dxa"/>
            <w:tcBorders>
              <w:top w:val="nil"/>
              <w:left w:val="single" w:sz="8" w:space="0" w:color="auto"/>
              <w:bottom w:val="single" w:sz="4" w:space="0" w:color="auto"/>
              <w:right w:val="single" w:sz="4" w:space="0" w:color="auto"/>
              <w:tl2br w:val="nil"/>
              <w:tr2bl w:val="nil"/>
            </w:tcBorders>
            <w:noWrap/>
            <w:textDirection w:val="lrTb"/>
            <w:vAlign w:val="center"/>
          </w:tcPr>
          <w:p w:rsidR="00DE3128" w:rsidRPr="0079055B" w:rsidP="00DE3128">
            <w:pPr>
              <w:rPr>
                <w:rFonts w:ascii="Times New Roman" w:hAnsi="Times New Roman" w:cs="Times New Roman"/>
                <w:sz w:val="20"/>
                <w:szCs w:val="20"/>
              </w:rPr>
            </w:pPr>
            <w:r w:rsidRPr="0079055B">
              <w:rPr>
                <w:rFonts w:ascii="Times New Roman" w:hAnsi="Times New Roman" w:cs="Times New Roman"/>
                <w:sz w:val="20"/>
                <w:szCs w:val="20"/>
              </w:rPr>
              <w:t>Dovozné clo</w:t>
            </w:r>
          </w:p>
        </w:tc>
        <w:tc>
          <w:tcPr>
            <w:tcW w:w="1169"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33,5</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x</w:t>
            </w:r>
          </w:p>
        </w:tc>
        <w:tc>
          <w:tcPr>
            <w:tcW w:w="1080"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x</w:t>
            </w:r>
          </w:p>
        </w:tc>
        <w:tc>
          <w:tcPr>
            <w:tcW w:w="1123"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-32,3</w:t>
            </w:r>
          </w:p>
        </w:tc>
        <w:tc>
          <w:tcPr>
            <w:tcW w:w="1059"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x</w:t>
            </w:r>
          </w:p>
        </w:tc>
        <w:tc>
          <w:tcPr>
            <w:tcW w:w="1152"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x</w:t>
            </w:r>
          </w:p>
        </w:tc>
        <w:tc>
          <w:tcPr>
            <w:tcW w:w="1079" w:type="dxa"/>
            <w:tcBorders>
              <w:top w:val="nil"/>
              <w:left w:val="nil"/>
              <w:bottom w:val="single" w:sz="4" w:space="0" w:color="auto"/>
              <w:right w:val="single" w:sz="8"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-96,3</w:t>
            </w:r>
          </w:p>
        </w:tc>
      </w:tr>
      <w:tr>
        <w:tblPrEx>
          <w:tblW w:w="10558" w:type="dxa"/>
          <w:jc w:val="center"/>
          <w:tblCellMar>
            <w:left w:w="70" w:type="dxa"/>
            <w:right w:w="70" w:type="dxa"/>
          </w:tblCellMar>
        </w:tblPrEx>
        <w:trPr>
          <w:trHeight w:val="234"/>
          <w:jc w:val="center"/>
        </w:trPr>
        <w:tc>
          <w:tcPr>
            <w:tcW w:w="2816" w:type="dxa"/>
            <w:tcBorders>
              <w:top w:val="nil"/>
              <w:left w:val="single" w:sz="8" w:space="0" w:color="auto"/>
              <w:bottom w:val="single" w:sz="4" w:space="0" w:color="auto"/>
              <w:right w:val="single" w:sz="4" w:space="0" w:color="auto"/>
              <w:tl2br w:val="nil"/>
              <w:tr2bl w:val="nil"/>
            </w:tcBorders>
            <w:noWrap/>
            <w:textDirection w:val="lrTb"/>
            <w:vAlign w:val="center"/>
          </w:tcPr>
          <w:p w:rsidR="00DE3128" w:rsidRPr="0079055B" w:rsidP="00DE3128">
            <w:pPr>
              <w:rPr>
                <w:rFonts w:ascii="Times New Roman" w:hAnsi="Times New Roman" w:cs="Times New Roman"/>
                <w:sz w:val="20"/>
                <w:szCs w:val="20"/>
              </w:rPr>
            </w:pPr>
            <w:r w:rsidRPr="0079055B">
              <w:rPr>
                <w:rFonts w:ascii="Times New Roman" w:hAnsi="Times New Roman" w:cs="Times New Roman"/>
                <w:sz w:val="20"/>
                <w:szCs w:val="20"/>
              </w:rPr>
              <w:t>Dovozná prirážka</w:t>
            </w:r>
          </w:p>
        </w:tc>
        <w:tc>
          <w:tcPr>
            <w:tcW w:w="1169"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6,9</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x</w:t>
            </w:r>
          </w:p>
        </w:tc>
        <w:tc>
          <w:tcPr>
            <w:tcW w:w="1080"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x</w:t>
            </w:r>
          </w:p>
        </w:tc>
        <w:tc>
          <w:tcPr>
            <w:tcW w:w="1123"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-0,2</w:t>
            </w:r>
          </w:p>
        </w:tc>
        <w:tc>
          <w:tcPr>
            <w:tcW w:w="1059"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x</w:t>
            </w:r>
          </w:p>
        </w:tc>
        <w:tc>
          <w:tcPr>
            <w:tcW w:w="1152"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x</w:t>
            </w:r>
          </w:p>
        </w:tc>
        <w:tc>
          <w:tcPr>
            <w:tcW w:w="1079" w:type="dxa"/>
            <w:tcBorders>
              <w:top w:val="nil"/>
              <w:left w:val="nil"/>
              <w:bottom w:val="single" w:sz="4" w:space="0" w:color="auto"/>
              <w:right w:val="single" w:sz="8"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-2,3</w:t>
            </w:r>
          </w:p>
        </w:tc>
      </w:tr>
      <w:tr>
        <w:tblPrEx>
          <w:tblW w:w="10558" w:type="dxa"/>
          <w:jc w:val="center"/>
          <w:tblCellMar>
            <w:left w:w="70" w:type="dxa"/>
            <w:right w:w="70" w:type="dxa"/>
          </w:tblCellMar>
        </w:tblPrEx>
        <w:trPr>
          <w:trHeight w:val="341"/>
          <w:jc w:val="center"/>
        </w:trPr>
        <w:tc>
          <w:tcPr>
            <w:tcW w:w="2816" w:type="dxa"/>
            <w:tcBorders>
              <w:top w:val="nil"/>
              <w:left w:val="single" w:sz="8" w:space="0" w:color="auto"/>
              <w:bottom w:val="single" w:sz="4" w:space="0" w:color="auto"/>
              <w:right w:val="single" w:sz="4" w:space="0" w:color="auto"/>
              <w:tl2br w:val="nil"/>
              <w:tr2bl w:val="nil"/>
            </w:tcBorders>
            <w:noWrap/>
            <w:textDirection w:val="lrTb"/>
            <w:vAlign w:val="center"/>
          </w:tcPr>
          <w:p w:rsidR="00DE3128" w:rsidRPr="0079055B" w:rsidP="00DE3128">
            <w:pPr>
              <w:rPr>
                <w:rFonts w:ascii="Times New Roman" w:hAnsi="Times New Roman" w:cs="Times New Roman"/>
                <w:sz w:val="20"/>
                <w:szCs w:val="20"/>
              </w:rPr>
            </w:pPr>
            <w:r w:rsidRPr="0079055B">
              <w:rPr>
                <w:rFonts w:ascii="Times New Roman" w:hAnsi="Times New Roman" w:cs="Times New Roman"/>
                <w:sz w:val="20"/>
                <w:szCs w:val="20"/>
              </w:rPr>
              <w:t>Podiel na vybratých finančných prostriedkoch</w:t>
            </w:r>
          </w:p>
        </w:tc>
        <w:tc>
          <w:tcPr>
            <w:tcW w:w="1169"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474,0</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600,0</w:t>
            </w:r>
          </w:p>
        </w:tc>
        <w:tc>
          <w:tcPr>
            <w:tcW w:w="1080"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600,0</w:t>
            </w:r>
          </w:p>
        </w:tc>
        <w:tc>
          <w:tcPr>
            <w:tcW w:w="1123"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664,6</w:t>
            </w:r>
          </w:p>
        </w:tc>
        <w:tc>
          <w:tcPr>
            <w:tcW w:w="1059"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64,6</w:t>
            </w:r>
          </w:p>
        </w:tc>
        <w:tc>
          <w:tcPr>
            <w:tcW w:w="1152"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110,8</w:t>
            </w:r>
          </w:p>
        </w:tc>
        <w:tc>
          <w:tcPr>
            <w:tcW w:w="1079" w:type="dxa"/>
            <w:tcBorders>
              <w:top w:val="nil"/>
              <w:left w:val="nil"/>
              <w:bottom w:val="single" w:sz="4" w:space="0" w:color="auto"/>
              <w:right w:val="single" w:sz="8"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140,2</w:t>
            </w:r>
          </w:p>
        </w:tc>
      </w:tr>
      <w:tr>
        <w:tblPrEx>
          <w:tblW w:w="10558" w:type="dxa"/>
          <w:jc w:val="center"/>
          <w:tblCellMar>
            <w:left w:w="70" w:type="dxa"/>
            <w:right w:w="70" w:type="dxa"/>
          </w:tblCellMar>
        </w:tblPrEx>
        <w:trPr>
          <w:trHeight w:val="141"/>
          <w:jc w:val="center"/>
        </w:trPr>
        <w:tc>
          <w:tcPr>
            <w:tcW w:w="2816" w:type="dxa"/>
            <w:tcBorders>
              <w:top w:val="nil"/>
              <w:left w:val="single" w:sz="8" w:space="0" w:color="auto"/>
              <w:bottom w:val="single" w:sz="4" w:space="0" w:color="auto"/>
              <w:right w:val="single" w:sz="4" w:space="0" w:color="auto"/>
              <w:tl2br w:val="nil"/>
              <w:tr2bl w:val="nil"/>
            </w:tcBorders>
            <w:noWrap/>
            <w:textDirection w:val="lrTb"/>
            <w:vAlign w:val="center"/>
          </w:tcPr>
          <w:p w:rsidR="00DE3128" w:rsidRPr="0079055B" w:rsidP="00DE3128">
            <w:pPr>
              <w:rPr>
                <w:rFonts w:ascii="Times New Roman" w:hAnsi="Times New Roman" w:cs="Times New Roman"/>
                <w:sz w:val="20"/>
                <w:szCs w:val="20"/>
              </w:rPr>
            </w:pPr>
            <w:r w:rsidRPr="0079055B">
              <w:rPr>
                <w:rFonts w:ascii="Times New Roman" w:hAnsi="Times New Roman" w:cs="Times New Roman"/>
                <w:sz w:val="20"/>
                <w:szCs w:val="20"/>
              </w:rPr>
              <w:t>Ostatné colné príjmy</w:t>
            </w:r>
          </w:p>
        </w:tc>
        <w:tc>
          <w:tcPr>
            <w:tcW w:w="1169"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0,3</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x</w:t>
            </w:r>
          </w:p>
        </w:tc>
        <w:tc>
          <w:tcPr>
            <w:tcW w:w="1080"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x</w:t>
            </w:r>
          </w:p>
        </w:tc>
        <w:tc>
          <w:tcPr>
            <w:tcW w:w="1123"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0,8</w:t>
            </w:r>
          </w:p>
        </w:tc>
        <w:tc>
          <w:tcPr>
            <w:tcW w:w="1059"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x</w:t>
            </w:r>
          </w:p>
        </w:tc>
        <w:tc>
          <w:tcPr>
            <w:tcW w:w="1152" w:type="dxa"/>
            <w:tcBorders>
              <w:top w:val="nil"/>
              <w:left w:val="nil"/>
              <w:bottom w:val="single" w:sz="4"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x</w:t>
            </w:r>
          </w:p>
        </w:tc>
        <w:tc>
          <w:tcPr>
            <w:tcW w:w="1079" w:type="dxa"/>
            <w:tcBorders>
              <w:top w:val="nil"/>
              <w:left w:val="nil"/>
              <w:bottom w:val="single" w:sz="4" w:space="0" w:color="auto"/>
              <w:right w:val="single" w:sz="8" w:space="0" w:color="auto"/>
              <w:tl2br w:val="nil"/>
              <w:tr2bl w:val="nil"/>
            </w:tcBorders>
            <w:noWrap/>
            <w:textDirection w:val="lrTb"/>
            <w:vAlign w:val="center"/>
          </w:tcPr>
          <w:p w:rsidR="00DE3128" w:rsidRPr="0079055B" w:rsidP="00DE3128">
            <w:pPr>
              <w:jc w:val="right"/>
              <w:rPr>
                <w:rFonts w:ascii="Times New Roman" w:hAnsi="Times New Roman" w:cs="Times New Roman"/>
                <w:sz w:val="20"/>
                <w:szCs w:val="20"/>
              </w:rPr>
            </w:pPr>
            <w:r w:rsidRPr="0079055B">
              <w:rPr>
                <w:rFonts w:ascii="Times New Roman" w:hAnsi="Times New Roman" w:cs="Times New Roman"/>
                <w:sz w:val="20"/>
                <w:szCs w:val="20"/>
              </w:rPr>
              <w:t>265,7</w:t>
            </w:r>
          </w:p>
        </w:tc>
      </w:tr>
      <w:tr>
        <w:tblPrEx>
          <w:tblW w:w="10558" w:type="dxa"/>
          <w:jc w:val="center"/>
          <w:tblCellMar>
            <w:left w:w="70" w:type="dxa"/>
            <w:right w:w="70" w:type="dxa"/>
          </w:tblCellMar>
        </w:tblPrEx>
        <w:trPr>
          <w:trHeight w:val="341"/>
          <w:jc w:val="center"/>
        </w:trPr>
        <w:tc>
          <w:tcPr>
            <w:tcW w:w="2816" w:type="dxa"/>
            <w:tcBorders>
              <w:top w:val="single" w:sz="4" w:space="0" w:color="auto"/>
              <w:left w:val="single" w:sz="8" w:space="0" w:color="auto"/>
              <w:bottom w:val="double" w:sz="6" w:space="0" w:color="auto"/>
              <w:right w:val="single" w:sz="4" w:space="0" w:color="auto"/>
              <w:tl2br w:val="nil"/>
              <w:tr2bl w:val="nil"/>
            </w:tcBorders>
            <w:noWrap/>
            <w:textDirection w:val="lrTb"/>
            <w:vAlign w:val="center"/>
          </w:tcPr>
          <w:p w:rsidR="00DE3128" w:rsidRPr="0079055B" w:rsidP="00DE3128">
            <w:pPr>
              <w:rPr>
                <w:rFonts w:ascii="Times New Roman" w:hAnsi="Times New Roman" w:cs="Times New Roman"/>
                <w:b/>
                <w:bCs/>
                <w:sz w:val="20"/>
                <w:szCs w:val="20"/>
              </w:rPr>
            </w:pPr>
            <w:r w:rsidRPr="0079055B">
              <w:rPr>
                <w:rFonts w:ascii="Times New Roman" w:hAnsi="Times New Roman" w:cs="Times New Roman"/>
                <w:b/>
                <w:bCs/>
                <w:sz w:val="20"/>
                <w:szCs w:val="20"/>
              </w:rPr>
              <w:t>Daňové príjmy spolu</w:t>
            </w:r>
          </w:p>
        </w:tc>
        <w:tc>
          <w:tcPr>
            <w:tcW w:w="1169" w:type="dxa"/>
            <w:tcBorders>
              <w:top w:val="single" w:sz="4" w:space="0" w:color="auto"/>
              <w:left w:val="nil"/>
              <w:bottom w:val="double" w:sz="6"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222 573,6</w:t>
            </w:r>
          </w:p>
        </w:tc>
        <w:tc>
          <w:tcPr>
            <w:tcW w:w="1080" w:type="dxa"/>
            <w:tcBorders>
              <w:top w:val="single" w:sz="4" w:space="0" w:color="auto"/>
              <w:left w:val="nil"/>
              <w:bottom w:val="double" w:sz="6"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215 657,0</w:t>
            </w:r>
          </w:p>
        </w:tc>
        <w:tc>
          <w:tcPr>
            <w:tcW w:w="1080" w:type="dxa"/>
            <w:tcBorders>
              <w:top w:val="single" w:sz="4" w:space="0" w:color="auto"/>
              <w:left w:val="nil"/>
              <w:bottom w:val="double" w:sz="6"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215 657,0</w:t>
            </w:r>
          </w:p>
        </w:tc>
        <w:tc>
          <w:tcPr>
            <w:tcW w:w="1123" w:type="dxa"/>
            <w:tcBorders>
              <w:top w:val="single" w:sz="4" w:space="0" w:color="auto"/>
              <w:left w:val="nil"/>
              <w:bottom w:val="double" w:sz="6"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236 267,9</w:t>
            </w:r>
          </w:p>
        </w:tc>
        <w:tc>
          <w:tcPr>
            <w:tcW w:w="1059" w:type="dxa"/>
            <w:tcBorders>
              <w:top w:val="single" w:sz="4" w:space="0" w:color="auto"/>
              <w:left w:val="nil"/>
              <w:bottom w:val="double" w:sz="6"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20 610,9</w:t>
            </w:r>
          </w:p>
        </w:tc>
        <w:tc>
          <w:tcPr>
            <w:tcW w:w="1152" w:type="dxa"/>
            <w:tcBorders>
              <w:top w:val="single" w:sz="4" w:space="0" w:color="auto"/>
              <w:left w:val="nil"/>
              <w:bottom w:val="double" w:sz="6" w:space="0" w:color="auto"/>
              <w:right w:val="single" w:sz="4"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109,6</w:t>
            </w:r>
          </w:p>
        </w:tc>
        <w:tc>
          <w:tcPr>
            <w:tcW w:w="1079" w:type="dxa"/>
            <w:tcBorders>
              <w:top w:val="single" w:sz="4" w:space="0" w:color="auto"/>
              <w:left w:val="nil"/>
              <w:bottom w:val="double" w:sz="6" w:space="0" w:color="auto"/>
              <w:right w:val="single" w:sz="8" w:space="0" w:color="auto"/>
              <w:tl2br w:val="nil"/>
              <w:tr2bl w:val="nil"/>
            </w:tcBorders>
            <w:noWrap/>
            <w:textDirection w:val="lrTb"/>
            <w:vAlign w:val="center"/>
          </w:tcPr>
          <w:p w:rsidR="00DE3128" w:rsidRPr="0079055B" w:rsidP="00DE3128">
            <w:pPr>
              <w:jc w:val="right"/>
              <w:rPr>
                <w:rFonts w:ascii="Times New Roman" w:hAnsi="Times New Roman" w:cs="Times New Roman"/>
                <w:b/>
                <w:bCs/>
                <w:sz w:val="20"/>
                <w:szCs w:val="20"/>
              </w:rPr>
            </w:pPr>
            <w:r w:rsidRPr="0079055B">
              <w:rPr>
                <w:rFonts w:ascii="Times New Roman" w:hAnsi="Times New Roman" w:cs="Times New Roman"/>
                <w:b/>
                <w:bCs/>
                <w:sz w:val="20"/>
                <w:szCs w:val="20"/>
              </w:rPr>
              <w:t>106,2</w:t>
            </w:r>
          </w:p>
        </w:tc>
      </w:tr>
    </w:tbl>
    <w:p w:rsidR="0079055B" w:rsidP="0079055B">
      <w:pPr>
        <w:ind w:hanging="720"/>
        <w:rPr>
          <w:rFonts w:ascii="Times New Roman" w:hAnsi="Times New Roman" w:cs="Times New Roman"/>
          <w:sz w:val="16"/>
          <w:szCs w:val="16"/>
        </w:rPr>
      </w:pPr>
      <w:r w:rsidR="003F68AC">
        <w:rPr>
          <w:rFonts w:ascii="Times New Roman" w:hAnsi="Times New Roman" w:cs="Times New Roman"/>
          <w:sz w:val="16"/>
          <w:szCs w:val="16"/>
        </w:rPr>
        <w:t>Poznámka</w:t>
      </w:r>
      <w:r w:rsidRPr="00164C8F" w:rsidR="00DE3128">
        <w:rPr>
          <w:rFonts w:ascii="Times New Roman" w:hAnsi="Times New Roman" w:cs="Times New Roman"/>
          <w:sz w:val="16"/>
          <w:szCs w:val="16"/>
        </w:rPr>
        <w:t>: DPPO</w:t>
      </w:r>
      <w:r w:rsidR="00FA0ABE">
        <w:rPr>
          <w:rFonts w:ascii="Times New Roman" w:hAnsi="Times New Roman" w:cs="Times New Roman"/>
          <w:sz w:val="16"/>
          <w:szCs w:val="16"/>
        </w:rPr>
        <w:t xml:space="preserve"> a DPH je vrátane daní z daňove</w:t>
      </w:r>
      <w:r w:rsidR="00FA0ABE">
        <w:rPr>
          <w:rFonts w:ascii="Times New Roman" w:hAnsi="Times New Roman" w:cs="Times New Roman"/>
          <w:sz w:val="16"/>
          <w:szCs w:val="16"/>
        </w:rPr>
        <w:t>j sústavy platnej do roku 1992.</w:t>
      </w:r>
    </w:p>
    <w:p w:rsidR="00DE3128" w:rsidP="0079055B">
      <w:pPr>
        <w:ind w:hanging="720"/>
        <w:rPr>
          <w:rFonts w:ascii="Times New Roman" w:hAnsi="Times New Roman" w:cs="Times New Roman"/>
          <w:sz w:val="20"/>
          <w:szCs w:val="20"/>
        </w:rPr>
      </w:pPr>
      <w:r w:rsidRPr="00FB7C2A">
        <w:rPr>
          <w:rFonts w:ascii="Times New Roman" w:hAnsi="Times New Roman" w:cs="Times New Roman"/>
          <w:sz w:val="20"/>
          <w:szCs w:val="20"/>
        </w:rPr>
        <w:t>Zdroj: Ministerstvo financií SR</w:t>
      </w:r>
    </w:p>
    <w:p w:rsidR="00A30410" w:rsidP="0079055B">
      <w:pPr>
        <w:ind w:hanging="720"/>
        <w:rPr>
          <w:rFonts w:ascii="Times New Roman" w:hAnsi="Times New Roman" w:cs="Times New Roman"/>
          <w:sz w:val="20"/>
          <w:szCs w:val="20"/>
        </w:rPr>
      </w:pPr>
    </w:p>
    <w:p w:rsidR="00A30410" w:rsidP="0079055B">
      <w:pPr>
        <w:ind w:hanging="720"/>
        <w:rPr>
          <w:rFonts w:ascii="Times New Roman" w:hAnsi="Times New Roman" w:cs="Times New Roman"/>
          <w:sz w:val="20"/>
          <w:szCs w:val="20"/>
        </w:rPr>
      </w:pPr>
    </w:p>
    <w:p w:rsidR="00A30410" w:rsidP="0079055B">
      <w:pPr>
        <w:ind w:hanging="720"/>
        <w:rPr>
          <w:rFonts w:ascii="Times New Roman" w:hAnsi="Times New Roman" w:cs="Times New Roman"/>
          <w:sz w:val="20"/>
          <w:szCs w:val="20"/>
        </w:rPr>
      </w:pPr>
    </w:p>
    <w:p w:rsidR="00A30410" w:rsidP="0079055B">
      <w:pPr>
        <w:ind w:hanging="720"/>
        <w:rPr>
          <w:rFonts w:ascii="Times New Roman" w:hAnsi="Times New Roman" w:cs="Times New Roman"/>
          <w:sz w:val="20"/>
          <w:szCs w:val="20"/>
        </w:rPr>
      </w:pPr>
    </w:p>
    <w:p w:rsidR="00A30410" w:rsidP="0079055B">
      <w:pPr>
        <w:ind w:hanging="720"/>
        <w:rPr>
          <w:rFonts w:ascii="Times New Roman" w:hAnsi="Times New Roman" w:cs="Times New Roman"/>
          <w:sz w:val="20"/>
          <w:szCs w:val="20"/>
        </w:rPr>
      </w:pPr>
    </w:p>
    <w:p w:rsidR="00A30410" w:rsidP="0079055B">
      <w:pPr>
        <w:ind w:hanging="720"/>
        <w:rPr>
          <w:rFonts w:ascii="Times New Roman" w:hAnsi="Times New Roman" w:cs="Times New Roman"/>
          <w:sz w:val="20"/>
          <w:szCs w:val="20"/>
        </w:rPr>
      </w:pPr>
    </w:p>
    <w:p w:rsidR="00A30410" w:rsidRPr="0079055B" w:rsidP="0079055B">
      <w:pPr>
        <w:ind w:hanging="720"/>
        <w:rPr>
          <w:rFonts w:ascii="Times New Roman" w:hAnsi="Times New Roman" w:cs="Times New Roman"/>
          <w:sz w:val="16"/>
          <w:szCs w:val="16"/>
        </w:rPr>
      </w:pPr>
    </w:p>
    <w:p w:rsidR="00DE3128" w:rsidRPr="00630ECA" w:rsidP="00DE3128">
      <w:pPr>
        <w:spacing w:line="360" w:lineRule="auto"/>
        <w:jc w:val="center"/>
        <w:rPr>
          <w:rFonts w:ascii="Times New Roman" w:hAnsi="Times New Roman" w:cs="Times New Roman"/>
          <w:b/>
        </w:rPr>
      </w:pPr>
      <w:r w:rsidR="002F44B5">
        <w:rPr>
          <w:rFonts w:ascii="Times New Roman" w:hAnsi="Times New Roman" w:cs="Times New Roman"/>
          <w:b/>
        </w:rPr>
        <w:br w:type="page"/>
      </w:r>
      <w:r w:rsidRPr="00630ECA">
        <w:rPr>
          <w:rFonts w:ascii="Times New Roman" w:hAnsi="Times New Roman" w:cs="Times New Roman"/>
          <w:b/>
        </w:rPr>
        <w:t>2.1.1.1. Dane z príjmov a kapitálového majetku</w:t>
      </w:r>
    </w:p>
    <w:p w:rsidR="00DE3128" w:rsidP="00DE3128">
      <w:pPr>
        <w:spacing w:line="360" w:lineRule="auto"/>
        <w:ind w:firstLine="709"/>
        <w:jc w:val="both"/>
        <w:rPr>
          <w:rFonts w:ascii="Times New Roman" w:hAnsi="Times New Roman" w:cs="Times New Roman"/>
        </w:rPr>
      </w:pPr>
    </w:p>
    <w:p w:rsidR="00DE3128" w:rsidRPr="00630ECA" w:rsidP="00DE3128">
      <w:pPr>
        <w:spacing w:line="360" w:lineRule="auto"/>
        <w:ind w:firstLine="709"/>
        <w:jc w:val="both"/>
        <w:rPr>
          <w:rFonts w:ascii="Times New Roman" w:hAnsi="Times New Roman" w:cs="Times New Roman"/>
        </w:rPr>
      </w:pPr>
      <w:r w:rsidRPr="00630ECA">
        <w:rPr>
          <w:rFonts w:ascii="Times New Roman" w:hAnsi="Times New Roman" w:cs="Times New Roman"/>
        </w:rPr>
        <w:t>Dane z príjmov a kapitálového majetku sa rozpočtovali sumou 43 144,0 mil. Sk.</w:t>
      </w:r>
      <w:r w:rsidRPr="00630ECA">
        <w:rPr>
          <w:rFonts w:ascii="Times New Roman" w:hAnsi="Times New Roman" w:cs="Times New Roman"/>
          <w:highlight w:val="yellow"/>
        </w:rPr>
        <w:t xml:space="preserve"> </w:t>
      </w:r>
      <w:r w:rsidRPr="00630ECA">
        <w:rPr>
          <w:rFonts w:ascii="Times New Roman" w:hAnsi="Times New Roman" w:cs="Times New Roman"/>
        </w:rPr>
        <w:t>V skutočnosti dosiahli celkový výnos 54 716,1 mil. Sk, čím prekročili rozpočet o 11 572,1 mil. Sk</w:t>
      </w:r>
      <w:r>
        <w:rPr>
          <w:rFonts w:ascii="Times New Roman" w:hAnsi="Times New Roman" w:cs="Times New Roman"/>
        </w:rPr>
        <w:t xml:space="preserve">, resp. o </w:t>
      </w:r>
      <w:r w:rsidRPr="00630ECA">
        <w:rPr>
          <w:rFonts w:ascii="Times New Roman" w:hAnsi="Times New Roman" w:cs="Times New Roman"/>
        </w:rPr>
        <w:t>26,8 %.</w:t>
      </w:r>
    </w:p>
    <w:p w:rsidR="00DE3128" w:rsidP="00DE3128">
      <w:pPr>
        <w:autoSpaceDE/>
        <w:autoSpaceDN/>
        <w:spacing w:before="120" w:line="360" w:lineRule="auto"/>
        <w:ind w:firstLine="709"/>
        <w:jc w:val="both"/>
        <w:rPr>
          <w:rFonts w:ascii="Times New Roman" w:hAnsi="Times New Roman" w:cs="Times New Roman"/>
        </w:rPr>
      </w:pPr>
      <w:r w:rsidRPr="00630ECA">
        <w:rPr>
          <w:rFonts w:ascii="Wingdings" w:hAnsi="Wingdings" w:cs="Times New Roman"/>
        </w:rPr>
        <w:sym w:font="Wingdings" w:char="F0D8"/>
      </w:r>
      <w:r w:rsidRPr="00630ECA">
        <w:rPr>
          <w:rFonts w:ascii="Times New Roman" w:hAnsi="Times New Roman" w:cs="Times New Roman"/>
        </w:rPr>
        <w:t xml:space="preserve"> </w:t>
      </w:r>
      <w:r w:rsidRPr="00630ECA">
        <w:rPr>
          <w:rFonts w:ascii="Times New Roman" w:hAnsi="Times New Roman" w:cs="Times New Roman"/>
          <w:b/>
        </w:rPr>
        <w:t>Daň z príjmov fyzických osôb</w:t>
      </w:r>
      <w:r w:rsidRPr="00630ECA">
        <w:rPr>
          <w:rFonts w:ascii="Times New Roman" w:hAnsi="Times New Roman" w:cs="Times New Roman"/>
        </w:rPr>
        <w:t xml:space="preserve"> </w:t>
      </w:r>
      <w:r>
        <w:rPr>
          <w:rFonts w:ascii="Times New Roman" w:hAnsi="Times New Roman" w:cs="Times New Roman"/>
        </w:rPr>
        <w:t>zo závislej činnosti i z podnikania a inej samostatnej  zárobkovej  činnosti  je  od  roku 2005 podielovo</w:t>
      </w:r>
      <w:r w:rsidR="00FA0ABE">
        <w:rPr>
          <w:rFonts w:ascii="Times New Roman" w:hAnsi="Times New Roman" w:cs="Times New Roman"/>
        </w:rPr>
        <w:t xml:space="preserve">u daňou. V  zmysle zákona      </w:t>
      </w:r>
      <w:r>
        <w:rPr>
          <w:rFonts w:ascii="Times New Roman" w:hAnsi="Times New Roman" w:cs="Times New Roman"/>
        </w:rPr>
        <w:t>č. 564/2004 Z. z. o rozpočtovom určení výnosu dane z príjmov územnej samospráve a o zmene a doplnení niektorých zákonov získavajú z jej výnosu o</w:t>
      </w:r>
      <w:r w:rsidRPr="000D4F4F">
        <w:rPr>
          <w:rFonts w:ascii="Times New Roman" w:hAnsi="Times New Roman" w:cs="Times New Roman"/>
        </w:rPr>
        <w:t>bce 70,3 %, vyššie  územné celky 23,5 % a štátny rozpočet 6,2 %</w:t>
      </w:r>
      <w:r>
        <w:rPr>
          <w:rFonts w:ascii="Times New Roman" w:hAnsi="Times New Roman" w:cs="Times New Roman"/>
        </w:rPr>
        <w:t xml:space="preserve">. Týmto systémom </w:t>
      </w:r>
      <w:r w:rsidRPr="000D4F4F">
        <w:rPr>
          <w:rFonts w:ascii="Times New Roman" w:hAnsi="Times New Roman" w:cs="Times New Roman"/>
        </w:rPr>
        <w:t xml:space="preserve">financovania obcí a vyšších územných celkov, </w:t>
      </w:r>
      <w:r>
        <w:rPr>
          <w:rFonts w:ascii="Times New Roman" w:hAnsi="Times New Roman" w:cs="Times New Roman"/>
        </w:rPr>
        <w:t>ktorým sa nahradili</w:t>
      </w:r>
      <w:r>
        <w:rPr>
          <w:rFonts w:ascii="Times New Roman" w:hAnsi="Times New Roman" w:cs="Times New Roman"/>
        </w:rPr>
        <w:t xml:space="preserve"> </w:t>
      </w:r>
      <w:r w:rsidRPr="000D4F4F">
        <w:rPr>
          <w:rFonts w:ascii="Times New Roman" w:hAnsi="Times New Roman" w:cs="Times New Roman"/>
        </w:rPr>
        <w:t>dotácie</w:t>
      </w:r>
      <w:r>
        <w:rPr>
          <w:rFonts w:ascii="Times New Roman" w:hAnsi="Times New Roman" w:cs="Times New Roman"/>
        </w:rPr>
        <w:t xml:space="preserve"> poskytované</w:t>
      </w:r>
      <w:r w:rsidRPr="000D4F4F">
        <w:rPr>
          <w:rFonts w:ascii="Times New Roman" w:hAnsi="Times New Roman" w:cs="Times New Roman"/>
        </w:rPr>
        <w:t xml:space="preserve"> zo štátneho rozpočtu pre miestnu samosprávu</w:t>
      </w:r>
      <w:r>
        <w:rPr>
          <w:rFonts w:ascii="Times New Roman" w:hAnsi="Times New Roman" w:cs="Times New Roman"/>
        </w:rPr>
        <w:t xml:space="preserve">, sa realizoval </w:t>
      </w:r>
      <w:r w:rsidRPr="000D4F4F">
        <w:rPr>
          <w:rFonts w:ascii="Times New Roman" w:hAnsi="Times New Roman" w:cs="Times New Roman"/>
        </w:rPr>
        <w:t>projekt fiškálnej decentralizácie</w:t>
      </w:r>
      <w:r>
        <w:rPr>
          <w:rFonts w:ascii="Times New Roman" w:hAnsi="Times New Roman" w:cs="Times New Roman"/>
        </w:rPr>
        <w:t xml:space="preserve"> s cieľom </w:t>
      </w:r>
      <w:r w:rsidRPr="000D4F4F">
        <w:rPr>
          <w:rFonts w:ascii="Times New Roman" w:hAnsi="Times New Roman" w:cs="Times New Roman"/>
        </w:rPr>
        <w:t>posilni</w:t>
      </w:r>
      <w:r>
        <w:rPr>
          <w:rFonts w:ascii="Times New Roman" w:hAnsi="Times New Roman" w:cs="Times New Roman"/>
        </w:rPr>
        <w:t>ť</w:t>
      </w:r>
      <w:r w:rsidRPr="000D4F4F">
        <w:rPr>
          <w:rFonts w:ascii="Times New Roman" w:hAnsi="Times New Roman" w:cs="Times New Roman"/>
        </w:rPr>
        <w:t xml:space="preserve"> finančn</w:t>
      </w:r>
      <w:r>
        <w:rPr>
          <w:rFonts w:ascii="Times New Roman" w:hAnsi="Times New Roman" w:cs="Times New Roman"/>
        </w:rPr>
        <w:t>ú</w:t>
      </w:r>
      <w:r w:rsidRPr="000D4F4F">
        <w:rPr>
          <w:rFonts w:ascii="Times New Roman" w:hAnsi="Times New Roman" w:cs="Times New Roman"/>
        </w:rPr>
        <w:t xml:space="preserve"> samostatnos</w:t>
      </w:r>
      <w:r>
        <w:rPr>
          <w:rFonts w:ascii="Times New Roman" w:hAnsi="Times New Roman" w:cs="Times New Roman"/>
        </w:rPr>
        <w:t>ť</w:t>
      </w:r>
      <w:r w:rsidRPr="000D4F4F">
        <w:rPr>
          <w:rFonts w:ascii="Times New Roman" w:hAnsi="Times New Roman" w:cs="Times New Roman"/>
        </w:rPr>
        <w:t xml:space="preserve"> územnej samosprávy.</w:t>
      </w:r>
    </w:p>
    <w:p w:rsidR="00DE3128" w:rsidRPr="00630ECA" w:rsidP="00DE3128">
      <w:pPr>
        <w:autoSpaceDE/>
        <w:autoSpaceDN/>
        <w:spacing w:before="120" w:line="360" w:lineRule="auto"/>
        <w:ind w:firstLine="709"/>
        <w:jc w:val="both"/>
        <w:rPr>
          <w:rFonts w:ascii="Times New Roman" w:hAnsi="Times New Roman" w:cs="Times New Roman"/>
          <w:b/>
        </w:rPr>
      </w:pPr>
      <w:r>
        <w:rPr>
          <w:rFonts w:ascii="Times New Roman" w:hAnsi="Times New Roman" w:cs="Times New Roman"/>
        </w:rPr>
        <w:t xml:space="preserve">Na rok 2006 sa celkový výnos dane </w:t>
      </w:r>
      <w:r w:rsidRPr="00630ECA">
        <w:rPr>
          <w:rFonts w:ascii="Times New Roman" w:hAnsi="Times New Roman" w:cs="Times New Roman"/>
        </w:rPr>
        <w:t xml:space="preserve">rozpočtoval vo výške 39 302,0 mil. Sk, z toho </w:t>
      </w:r>
      <w:r w:rsidR="00FA0ABE">
        <w:rPr>
          <w:rFonts w:ascii="Times New Roman" w:hAnsi="Times New Roman" w:cs="Times New Roman"/>
        </w:rPr>
        <w:t>daň z príjmov zo závislej činnosti tvorila</w:t>
      </w:r>
      <w:r w:rsidRPr="00630ECA">
        <w:rPr>
          <w:rFonts w:ascii="Times New Roman" w:hAnsi="Times New Roman" w:cs="Times New Roman"/>
        </w:rPr>
        <w:t xml:space="preserve"> 34 445,0 mil. Sk a</w:t>
      </w:r>
      <w:r w:rsidR="00FA0ABE">
        <w:rPr>
          <w:rFonts w:ascii="Times New Roman" w:hAnsi="Times New Roman" w:cs="Times New Roman"/>
        </w:rPr>
        <w:t> z príjmov</w:t>
      </w:r>
      <w:r w:rsidRPr="00630ECA">
        <w:rPr>
          <w:rFonts w:ascii="Times New Roman" w:hAnsi="Times New Roman" w:cs="Times New Roman"/>
        </w:rPr>
        <w:t xml:space="preserve"> z podnikania 4 857,0 mil. Sk. </w:t>
      </w:r>
      <w:r>
        <w:rPr>
          <w:rFonts w:ascii="Times New Roman" w:hAnsi="Times New Roman" w:cs="Times New Roman"/>
        </w:rPr>
        <w:t xml:space="preserve">Príjem štátneho rozpočtu sa s ohľadom na uvedené </w:t>
      </w:r>
      <w:r w:rsidRPr="00630ECA">
        <w:rPr>
          <w:rFonts w:ascii="Times New Roman" w:hAnsi="Times New Roman" w:cs="Times New Roman"/>
        </w:rPr>
        <w:t>pravidl</w:t>
      </w:r>
      <w:r>
        <w:rPr>
          <w:rFonts w:ascii="Times New Roman" w:hAnsi="Times New Roman" w:cs="Times New Roman"/>
        </w:rPr>
        <w:t>á</w:t>
      </w:r>
      <w:r w:rsidRPr="00630ECA">
        <w:rPr>
          <w:rFonts w:ascii="Times New Roman" w:hAnsi="Times New Roman" w:cs="Times New Roman"/>
        </w:rPr>
        <w:t xml:space="preserve"> fiškálnej decentralizácie rozpočtova</w:t>
      </w:r>
      <w:r>
        <w:rPr>
          <w:rFonts w:ascii="Times New Roman" w:hAnsi="Times New Roman" w:cs="Times New Roman"/>
        </w:rPr>
        <w:t>l</w:t>
      </w:r>
      <w:r w:rsidRPr="00630ECA">
        <w:rPr>
          <w:rFonts w:ascii="Times New Roman" w:hAnsi="Times New Roman" w:cs="Times New Roman"/>
        </w:rPr>
        <w:t xml:space="preserve"> sum</w:t>
      </w:r>
      <w:r>
        <w:rPr>
          <w:rFonts w:ascii="Times New Roman" w:hAnsi="Times New Roman" w:cs="Times New Roman"/>
        </w:rPr>
        <w:t>ou</w:t>
      </w:r>
      <w:r w:rsidRPr="00630ECA">
        <w:rPr>
          <w:rFonts w:ascii="Times New Roman" w:hAnsi="Times New Roman" w:cs="Times New Roman"/>
        </w:rPr>
        <w:t xml:space="preserve"> 2 493,0 mil. Sk.</w:t>
      </w:r>
      <w:r w:rsidRPr="009B158D">
        <w:rPr>
          <w:rFonts w:ascii="Times New Roman" w:hAnsi="Times New Roman" w:cs="Times New Roman"/>
        </w:rPr>
        <w:t xml:space="preserve"> </w:t>
      </w:r>
    </w:p>
    <w:p w:rsidR="00DE3128" w:rsidP="00DE3128">
      <w:pPr>
        <w:spacing w:line="360" w:lineRule="auto"/>
        <w:ind w:firstLine="709"/>
        <w:jc w:val="both"/>
        <w:rPr>
          <w:rFonts w:ascii="Times New Roman" w:hAnsi="Times New Roman" w:cs="Times New Roman"/>
        </w:rPr>
      </w:pPr>
      <w:r w:rsidRPr="00630ECA">
        <w:rPr>
          <w:rFonts w:ascii="Times New Roman" w:hAnsi="Times New Roman" w:cs="Times New Roman"/>
        </w:rPr>
        <w:t>Nasledujúca tabuľka prináša prehľad o skutočných výnosoch dane z príjmov fyzických osôb a jej distribúcie medzi štátny rozpočet a územné samosprávy</w:t>
      </w:r>
      <w:r>
        <w:rPr>
          <w:rFonts w:ascii="Times New Roman" w:hAnsi="Times New Roman" w:cs="Times New Roman"/>
        </w:rPr>
        <w:t xml:space="preserve"> </w:t>
      </w:r>
      <w:r w:rsidRPr="00630ECA">
        <w:rPr>
          <w:rFonts w:ascii="Times New Roman" w:hAnsi="Times New Roman" w:cs="Times New Roman"/>
        </w:rPr>
        <w:t>(v mil. Sk):</w:t>
      </w:r>
    </w:p>
    <w:p w:rsidR="00DE3128" w:rsidP="001D64A6">
      <w:pPr>
        <w:spacing w:line="360" w:lineRule="auto"/>
        <w:jc w:val="both"/>
        <w:rPr>
          <w:rFonts w:ascii="Times New Roman" w:hAnsi="Times New Roman" w:cs="Times New Roman"/>
        </w:rPr>
      </w:pPr>
    </w:p>
    <w:p w:rsidR="00DE3128" w:rsidP="00DE3128">
      <w:pPr>
        <w:spacing w:line="360" w:lineRule="auto"/>
        <w:ind w:firstLine="709"/>
        <w:jc w:val="both"/>
        <w:rPr>
          <w:rFonts w:ascii="Times New Roman" w:hAnsi="Times New Roman" w:cs="Times New Roman"/>
        </w:rPr>
      </w:pPr>
    </w:p>
    <w:tbl>
      <w:tblPr>
        <w:tblW w:w="9568"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Pr>
      <w:tblGrid>
        <w:gridCol w:w="1992"/>
        <w:gridCol w:w="1096"/>
        <w:gridCol w:w="1080"/>
        <w:gridCol w:w="1080"/>
        <w:gridCol w:w="1080"/>
        <w:gridCol w:w="900"/>
        <w:gridCol w:w="1260"/>
        <w:gridCol w:w="1080"/>
      </w:tblGrid>
      <w:tr>
        <w:tblPrEx>
          <w:tblW w:w="9568"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PrEx>
        <w:trPr>
          <w:trHeight w:hRule="exact" w:val="394"/>
        </w:trPr>
        <w:tc>
          <w:tcPr>
            <w:tcW w:w="1992" w:type="dxa"/>
            <w:vMerge w:val="restart"/>
            <w:tcBorders>
              <w:top w:val="single" w:sz="8" w:space="0" w:color="auto"/>
              <w:left w:val="single" w:sz="8" w:space="0" w:color="auto"/>
              <w:bottom w:val="single" w:sz="4" w:space="0" w:color="auto"/>
              <w:right w:val="single" w:sz="4" w:space="0" w:color="auto"/>
              <w:tl2br w:val="nil"/>
              <w:tr2bl w:val="nil"/>
            </w:tcBorders>
            <w:tcMar>
              <w:left w:w="28" w:type="dxa"/>
              <w:right w:w="28" w:type="dxa"/>
            </w:tcMar>
            <w:textDirection w:val="lrTb"/>
            <w:vAlign w:val="center"/>
          </w:tcPr>
          <w:p w:rsidR="00DE3128" w:rsidRPr="009A2158" w:rsidP="00DE3128">
            <w:pPr>
              <w:spacing w:before="120" w:after="120" w:line="360" w:lineRule="auto"/>
              <w:jc w:val="center"/>
              <w:rPr>
                <w:rFonts w:ascii="Times New Roman" w:hAnsi="Times New Roman" w:cs="Times New Roman"/>
                <w:b/>
                <w:sz w:val="20"/>
                <w:szCs w:val="20"/>
              </w:rPr>
            </w:pPr>
            <w:r w:rsidRPr="009A2158">
              <w:rPr>
                <w:rFonts w:ascii="Times New Roman" w:hAnsi="Times New Roman" w:cs="Times New Roman"/>
                <w:b/>
                <w:sz w:val="20"/>
                <w:szCs w:val="20"/>
              </w:rPr>
              <w:t>Druh dane</w:t>
            </w:r>
          </w:p>
        </w:tc>
        <w:tc>
          <w:tcPr>
            <w:tcW w:w="1096" w:type="dxa"/>
            <w:vMerge w:val="restart"/>
            <w:tcBorders>
              <w:top w:val="single" w:sz="8" w:space="0" w:color="auto"/>
              <w:left w:val="single" w:sz="4" w:space="0" w:color="auto"/>
              <w:bottom w:val="single" w:sz="4" w:space="0" w:color="auto"/>
              <w:right w:val="single" w:sz="4" w:space="0" w:color="auto"/>
              <w:tl2br w:val="nil"/>
              <w:tr2bl w:val="nil"/>
            </w:tcBorders>
            <w:tcMar>
              <w:left w:w="28" w:type="dxa"/>
              <w:right w:w="28" w:type="dxa"/>
            </w:tcMar>
            <w:textDirection w:val="lrTb"/>
            <w:vAlign w:val="center"/>
          </w:tcPr>
          <w:p w:rsidR="00DE3128" w:rsidRPr="009A2158" w:rsidP="00DE3128">
            <w:pPr>
              <w:jc w:val="center"/>
              <w:rPr>
                <w:rFonts w:ascii="Times New Roman" w:hAnsi="Times New Roman" w:cs="Times New Roman"/>
                <w:b/>
                <w:sz w:val="20"/>
                <w:szCs w:val="20"/>
              </w:rPr>
            </w:pPr>
            <w:r w:rsidRPr="009A2158">
              <w:rPr>
                <w:rFonts w:ascii="Times New Roman" w:hAnsi="Times New Roman" w:cs="Times New Roman"/>
                <w:b/>
                <w:sz w:val="20"/>
                <w:szCs w:val="20"/>
              </w:rPr>
              <w:t>Skutočnosť</w:t>
            </w:r>
          </w:p>
          <w:p w:rsidR="00DE3128" w:rsidRPr="009A2158" w:rsidP="00DE3128">
            <w:pPr>
              <w:spacing w:line="360" w:lineRule="auto"/>
              <w:jc w:val="center"/>
              <w:rPr>
                <w:rFonts w:ascii="Times New Roman" w:hAnsi="Times New Roman" w:cs="Times New Roman"/>
                <w:b/>
                <w:sz w:val="20"/>
                <w:szCs w:val="20"/>
              </w:rPr>
            </w:pPr>
            <w:r w:rsidRPr="009A2158">
              <w:rPr>
                <w:rFonts w:ascii="Times New Roman" w:hAnsi="Times New Roman" w:cs="Times New Roman"/>
                <w:b/>
                <w:sz w:val="20"/>
                <w:szCs w:val="20"/>
              </w:rPr>
              <w:t>2005</w:t>
            </w:r>
          </w:p>
        </w:tc>
        <w:tc>
          <w:tcPr>
            <w:tcW w:w="2160" w:type="dxa"/>
            <w:gridSpan w:val="2"/>
            <w:tcBorders>
              <w:top w:val="single" w:sz="8" w:space="0" w:color="auto"/>
              <w:left w:val="single" w:sz="4" w:space="0" w:color="auto"/>
              <w:bottom w:val="single" w:sz="4" w:space="0" w:color="auto"/>
              <w:right w:val="single" w:sz="4" w:space="0" w:color="auto"/>
              <w:tl2br w:val="nil"/>
              <w:tr2bl w:val="nil"/>
            </w:tcBorders>
            <w:tcMar>
              <w:left w:w="28" w:type="dxa"/>
              <w:bottom w:w="57" w:type="dxa"/>
              <w:right w:w="28" w:type="dxa"/>
            </w:tcMar>
            <w:textDirection w:val="lrTb"/>
            <w:vAlign w:val="center"/>
          </w:tcPr>
          <w:p w:rsidR="00DE3128" w:rsidRPr="009A2158" w:rsidP="00DE3128">
            <w:pPr>
              <w:spacing w:before="120" w:after="120" w:line="360" w:lineRule="auto"/>
              <w:jc w:val="center"/>
              <w:rPr>
                <w:rFonts w:ascii="Times New Roman" w:hAnsi="Times New Roman" w:cs="Times New Roman"/>
                <w:b/>
                <w:sz w:val="20"/>
                <w:szCs w:val="20"/>
              </w:rPr>
            </w:pPr>
            <w:r w:rsidRPr="009A2158">
              <w:rPr>
                <w:rFonts w:ascii="Times New Roman" w:hAnsi="Times New Roman" w:cs="Times New Roman"/>
                <w:b/>
                <w:sz w:val="20"/>
                <w:szCs w:val="20"/>
              </w:rPr>
              <w:t>Rozpočet 2006</w:t>
            </w:r>
          </w:p>
        </w:tc>
        <w:tc>
          <w:tcPr>
            <w:tcW w:w="1080" w:type="dxa"/>
            <w:vMerge w:val="restart"/>
            <w:tcBorders>
              <w:top w:val="single" w:sz="8" w:space="0" w:color="auto"/>
              <w:left w:val="single" w:sz="4" w:space="0" w:color="auto"/>
              <w:bottom w:val="single" w:sz="4" w:space="0" w:color="auto"/>
              <w:right w:val="single" w:sz="4" w:space="0" w:color="auto"/>
              <w:tl2br w:val="nil"/>
              <w:tr2bl w:val="nil"/>
            </w:tcBorders>
            <w:tcMar>
              <w:left w:w="28" w:type="dxa"/>
              <w:right w:w="28" w:type="dxa"/>
            </w:tcMar>
            <w:textDirection w:val="lrTb"/>
            <w:vAlign w:val="center"/>
          </w:tcPr>
          <w:p w:rsidR="00DE3128" w:rsidRPr="009A2158" w:rsidP="00DE3128">
            <w:pPr>
              <w:jc w:val="center"/>
              <w:rPr>
                <w:rFonts w:ascii="Times New Roman" w:hAnsi="Times New Roman" w:cs="Times New Roman"/>
                <w:b/>
                <w:sz w:val="20"/>
                <w:szCs w:val="20"/>
              </w:rPr>
            </w:pPr>
            <w:r w:rsidRPr="009A2158">
              <w:rPr>
                <w:rFonts w:ascii="Times New Roman" w:hAnsi="Times New Roman" w:cs="Times New Roman"/>
                <w:b/>
                <w:sz w:val="20"/>
                <w:szCs w:val="20"/>
              </w:rPr>
              <w:t>Skutočnosť</w:t>
            </w:r>
          </w:p>
          <w:p w:rsidR="00DE3128" w:rsidRPr="009A2158" w:rsidP="00DE3128">
            <w:pPr>
              <w:jc w:val="center"/>
              <w:rPr>
                <w:rFonts w:ascii="Times New Roman" w:hAnsi="Times New Roman" w:cs="Times New Roman"/>
                <w:b/>
                <w:sz w:val="20"/>
                <w:szCs w:val="20"/>
              </w:rPr>
            </w:pPr>
            <w:r w:rsidRPr="009A2158">
              <w:rPr>
                <w:rFonts w:ascii="Times New Roman" w:hAnsi="Times New Roman" w:cs="Times New Roman"/>
                <w:b/>
                <w:sz w:val="20"/>
                <w:szCs w:val="20"/>
              </w:rPr>
              <w:t>2006</w:t>
            </w:r>
          </w:p>
        </w:tc>
        <w:tc>
          <w:tcPr>
            <w:tcW w:w="900" w:type="dxa"/>
            <w:vMerge w:val="restart"/>
            <w:tcBorders>
              <w:top w:val="single" w:sz="8" w:space="0" w:color="auto"/>
              <w:left w:val="single" w:sz="4" w:space="0" w:color="auto"/>
              <w:bottom w:val="single" w:sz="4" w:space="0" w:color="auto"/>
              <w:right w:val="single" w:sz="4" w:space="0" w:color="auto"/>
              <w:tl2br w:val="nil"/>
              <w:tr2bl w:val="nil"/>
            </w:tcBorders>
            <w:tcMar>
              <w:left w:w="28" w:type="dxa"/>
              <w:right w:w="28" w:type="dxa"/>
            </w:tcMar>
            <w:textDirection w:val="lrTb"/>
            <w:vAlign w:val="center"/>
          </w:tcPr>
          <w:p w:rsidR="00DE3128" w:rsidRPr="009A2158" w:rsidP="00DE3128">
            <w:pPr>
              <w:spacing w:line="360" w:lineRule="auto"/>
              <w:jc w:val="center"/>
              <w:rPr>
                <w:rFonts w:ascii="Times New Roman" w:hAnsi="Times New Roman" w:cs="Times New Roman"/>
                <w:b/>
                <w:sz w:val="20"/>
                <w:szCs w:val="20"/>
              </w:rPr>
            </w:pPr>
            <w:r w:rsidRPr="009A2158">
              <w:rPr>
                <w:rFonts w:ascii="Times New Roman" w:hAnsi="Times New Roman" w:cs="Times New Roman"/>
                <w:b/>
                <w:sz w:val="20"/>
                <w:szCs w:val="20"/>
              </w:rPr>
              <w:t>Rozdiel</w:t>
            </w:r>
          </w:p>
        </w:tc>
        <w:tc>
          <w:tcPr>
            <w:tcW w:w="1260" w:type="dxa"/>
            <w:vMerge w:val="restart"/>
            <w:tcBorders>
              <w:top w:val="single" w:sz="8" w:space="0" w:color="auto"/>
              <w:left w:val="single" w:sz="4" w:space="0" w:color="auto"/>
              <w:bottom w:val="single" w:sz="4" w:space="0" w:color="auto"/>
              <w:right w:val="single" w:sz="4" w:space="0" w:color="auto"/>
              <w:tl2br w:val="nil"/>
              <w:tr2bl w:val="nil"/>
            </w:tcBorders>
            <w:tcMar>
              <w:left w:w="28" w:type="dxa"/>
              <w:right w:w="28" w:type="dxa"/>
            </w:tcMar>
            <w:textDirection w:val="lrTb"/>
            <w:vAlign w:val="center"/>
          </w:tcPr>
          <w:p w:rsidR="00DE3128" w:rsidRPr="009A2158" w:rsidP="00DE3128">
            <w:pPr>
              <w:jc w:val="center"/>
              <w:rPr>
                <w:rFonts w:ascii="Times New Roman" w:hAnsi="Times New Roman" w:cs="Times New Roman"/>
                <w:b/>
                <w:sz w:val="20"/>
                <w:szCs w:val="20"/>
              </w:rPr>
            </w:pPr>
            <w:r w:rsidR="009A2158">
              <w:rPr>
                <w:rFonts w:ascii="Times New Roman" w:hAnsi="Times New Roman" w:cs="Times New Roman"/>
                <w:b/>
                <w:sz w:val="20"/>
                <w:szCs w:val="20"/>
              </w:rPr>
              <w:t>% plnenia upraveného</w:t>
            </w:r>
            <w:r w:rsidRPr="009A2158">
              <w:rPr>
                <w:rFonts w:ascii="Times New Roman" w:hAnsi="Times New Roman" w:cs="Times New Roman"/>
                <w:b/>
                <w:sz w:val="20"/>
                <w:szCs w:val="20"/>
              </w:rPr>
              <w:t xml:space="preserve"> rozp</w:t>
            </w:r>
            <w:r w:rsidR="009A2158">
              <w:rPr>
                <w:rFonts w:ascii="Times New Roman" w:hAnsi="Times New Roman" w:cs="Times New Roman"/>
                <w:b/>
                <w:sz w:val="20"/>
                <w:szCs w:val="20"/>
              </w:rPr>
              <w:t>očtu</w:t>
            </w:r>
          </w:p>
        </w:tc>
        <w:tc>
          <w:tcPr>
            <w:tcW w:w="1080" w:type="dxa"/>
            <w:vMerge w:val="restart"/>
            <w:tcBorders>
              <w:top w:val="single" w:sz="8" w:space="0" w:color="auto"/>
              <w:left w:val="single" w:sz="4" w:space="0" w:color="auto"/>
              <w:bottom w:val="single" w:sz="4" w:space="0" w:color="auto"/>
              <w:right w:val="single" w:sz="8" w:space="0" w:color="auto"/>
              <w:tl2br w:val="nil"/>
              <w:tr2bl w:val="nil"/>
            </w:tcBorders>
            <w:tcMar>
              <w:left w:w="28" w:type="dxa"/>
              <w:right w:w="28" w:type="dxa"/>
            </w:tcMar>
            <w:textDirection w:val="lrTb"/>
            <w:vAlign w:val="center"/>
          </w:tcPr>
          <w:p w:rsidR="00DE3128" w:rsidRPr="009A2158" w:rsidP="00DE3128">
            <w:pPr>
              <w:jc w:val="center"/>
              <w:rPr>
                <w:rFonts w:ascii="Times New Roman" w:hAnsi="Times New Roman" w:cs="Times New Roman"/>
                <w:b/>
                <w:sz w:val="20"/>
                <w:szCs w:val="20"/>
              </w:rPr>
            </w:pPr>
            <w:r w:rsidRPr="009A2158">
              <w:rPr>
                <w:rFonts w:ascii="Times New Roman" w:hAnsi="Times New Roman" w:cs="Times New Roman"/>
                <w:b/>
                <w:sz w:val="20"/>
                <w:szCs w:val="20"/>
              </w:rPr>
              <w:t>Index 2006/2005</w:t>
            </w:r>
          </w:p>
        </w:tc>
      </w:tr>
      <w:tr>
        <w:tblPrEx>
          <w:tblW w:w="9568" w:type="dxa"/>
          <w:tblInd w:w="80" w:type="dxa"/>
          <w:tblLayout w:type="fixed"/>
        </w:tblPrEx>
        <w:trPr>
          <w:trHeight w:hRule="exact" w:val="337"/>
        </w:trPr>
        <w:tc>
          <w:tcPr>
            <w:tcW w:w="1992" w:type="dxa"/>
            <w:vMerge/>
            <w:tcBorders>
              <w:top w:val="single" w:sz="4" w:space="0" w:color="auto"/>
              <w:left w:val="single" w:sz="8" w:space="0" w:color="auto"/>
              <w:bottom w:val="single" w:sz="4" w:space="0" w:color="auto"/>
              <w:right w:val="single" w:sz="4" w:space="0" w:color="auto"/>
              <w:tl2br w:val="nil"/>
              <w:tr2bl w:val="nil"/>
            </w:tcBorders>
            <w:textDirection w:val="lrTb"/>
            <w:vAlign w:val="top"/>
          </w:tcPr>
          <w:p w:rsidR="00DE3128" w:rsidRPr="009A2158" w:rsidP="00DE3128">
            <w:pPr>
              <w:spacing w:before="120" w:after="120" w:line="360" w:lineRule="auto"/>
              <w:jc w:val="both"/>
              <w:rPr>
                <w:rFonts w:ascii="Times New Roman" w:hAnsi="Times New Roman" w:cs="Times New Roman"/>
                <w:sz w:val="20"/>
                <w:szCs w:val="20"/>
              </w:rPr>
            </w:pPr>
          </w:p>
        </w:tc>
        <w:tc>
          <w:tcPr>
            <w:tcW w:w="1096"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DE3128" w:rsidRPr="009A2158" w:rsidP="00DE3128">
            <w:pPr>
              <w:spacing w:before="120" w:after="120" w:line="36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E304FC">
            <w:pPr>
              <w:spacing w:line="360" w:lineRule="auto"/>
              <w:jc w:val="center"/>
              <w:rPr>
                <w:rFonts w:ascii="Times New Roman" w:hAnsi="Times New Roman" w:cs="Times New Roman"/>
                <w:b/>
                <w:sz w:val="20"/>
                <w:szCs w:val="20"/>
              </w:rPr>
            </w:pPr>
            <w:r w:rsidR="00E304FC">
              <w:rPr>
                <w:rFonts w:ascii="Times New Roman" w:hAnsi="Times New Roman" w:cs="Times New Roman"/>
                <w:b/>
                <w:sz w:val="20"/>
                <w:szCs w:val="20"/>
              </w:rPr>
              <w:t>s</w:t>
            </w:r>
            <w:r w:rsidRPr="009A2158">
              <w:rPr>
                <w:rFonts w:ascii="Times New Roman" w:hAnsi="Times New Roman" w:cs="Times New Roman"/>
                <w:b/>
                <w:sz w:val="20"/>
                <w:szCs w:val="20"/>
              </w:rPr>
              <w:t>chválený</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E304FC">
            <w:pPr>
              <w:spacing w:line="360" w:lineRule="auto"/>
              <w:jc w:val="center"/>
              <w:rPr>
                <w:rFonts w:ascii="Times New Roman" w:hAnsi="Times New Roman" w:cs="Times New Roman"/>
                <w:b/>
                <w:sz w:val="20"/>
                <w:szCs w:val="20"/>
              </w:rPr>
            </w:pPr>
            <w:r w:rsidRPr="009A2158">
              <w:rPr>
                <w:rFonts w:ascii="Times New Roman" w:hAnsi="Times New Roman" w:cs="Times New Roman"/>
                <w:b/>
                <w:sz w:val="20"/>
                <w:szCs w:val="20"/>
              </w:rPr>
              <w:t>uprave</w:t>
            </w:r>
            <w:r w:rsidRPr="009A2158">
              <w:rPr>
                <w:rFonts w:ascii="Times New Roman" w:hAnsi="Times New Roman" w:cs="Times New Roman"/>
                <w:b/>
                <w:sz w:val="20"/>
                <w:szCs w:val="20"/>
              </w:rPr>
              <w:t>ný</w:t>
            </w:r>
          </w:p>
        </w:tc>
        <w:tc>
          <w:tcPr>
            <w:tcW w:w="108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DE3128" w:rsidRPr="009A2158" w:rsidP="00DE3128">
            <w:pPr>
              <w:spacing w:before="120" w:after="120" w:line="360" w:lineRule="auto"/>
              <w:jc w:val="both"/>
              <w:rPr>
                <w:rFonts w:ascii="Times New Roman" w:hAnsi="Times New Roman" w:cs="Times New Roman"/>
                <w:sz w:val="20"/>
                <w:szCs w:val="20"/>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DE3128" w:rsidRPr="009A2158" w:rsidP="00DE3128">
            <w:pPr>
              <w:spacing w:before="120" w:after="120" w:line="360" w:lineRule="auto"/>
              <w:jc w:val="both"/>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DE3128" w:rsidRPr="009A2158" w:rsidP="00DE3128">
            <w:pPr>
              <w:spacing w:before="120" w:after="120" w:line="360" w:lineRule="auto"/>
              <w:jc w:val="both"/>
              <w:rPr>
                <w:rFonts w:ascii="Times New Roman" w:hAnsi="Times New Roman" w:cs="Times New Roman"/>
                <w:sz w:val="20"/>
                <w:szCs w:val="20"/>
              </w:rPr>
            </w:pPr>
          </w:p>
        </w:tc>
        <w:tc>
          <w:tcPr>
            <w:tcW w:w="1080" w:type="dxa"/>
            <w:vMerge/>
            <w:tcBorders>
              <w:top w:val="single" w:sz="4" w:space="0" w:color="auto"/>
              <w:left w:val="single" w:sz="4" w:space="0" w:color="auto"/>
              <w:bottom w:val="single" w:sz="4" w:space="0" w:color="auto"/>
              <w:right w:val="single" w:sz="8" w:space="0" w:color="auto"/>
              <w:tl2br w:val="nil"/>
              <w:tr2bl w:val="nil"/>
            </w:tcBorders>
            <w:textDirection w:val="lrTb"/>
            <w:vAlign w:val="top"/>
          </w:tcPr>
          <w:p w:rsidR="00DE3128" w:rsidRPr="009A2158" w:rsidP="00DE3128">
            <w:pPr>
              <w:spacing w:before="120" w:after="120" w:line="360" w:lineRule="auto"/>
              <w:jc w:val="both"/>
              <w:rPr>
                <w:rFonts w:ascii="Times New Roman" w:hAnsi="Times New Roman" w:cs="Times New Roman"/>
                <w:sz w:val="20"/>
                <w:szCs w:val="20"/>
              </w:rPr>
            </w:pPr>
          </w:p>
        </w:tc>
      </w:tr>
      <w:tr>
        <w:tblPrEx>
          <w:tblW w:w="9568" w:type="dxa"/>
          <w:tblInd w:w="80" w:type="dxa"/>
          <w:tblLayout w:type="fixed"/>
        </w:tblPrEx>
        <w:trPr>
          <w:trHeight w:hRule="exact" w:val="187"/>
        </w:trPr>
        <w:tc>
          <w:tcPr>
            <w:tcW w:w="199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DE3128" w:rsidRPr="009A2158" w:rsidP="00DE3128">
            <w:pPr>
              <w:spacing w:line="360" w:lineRule="auto"/>
              <w:jc w:val="center"/>
              <w:rPr>
                <w:rFonts w:ascii="Times New Roman" w:hAnsi="Times New Roman" w:cs="Times New Roman"/>
                <w:sz w:val="20"/>
                <w:szCs w:val="20"/>
              </w:rPr>
            </w:pPr>
          </w:p>
        </w:tc>
        <w:tc>
          <w:tcPr>
            <w:tcW w:w="109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194ECD" w:rsidP="00194ECD">
            <w:pPr>
              <w:spacing w:line="360" w:lineRule="auto"/>
              <w:jc w:val="center"/>
              <w:rPr>
                <w:rFonts w:ascii="Times New Roman" w:hAnsi="Times New Roman" w:cs="Times New Roman"/>
                <w:b/>
                <w:sz w:val="18"/>
                <w:szCs w:val="18"/>
              </w:rPr>
            </w:pPr>
            <w:r w:rsidRPr="00194ECD">
              <w:rPr>
                <w:rFonts w:ascii="Times New Roman" w:hAnsi="Times New Roman" w:cs="Times New Roman"/>
                <w:b/>
                <w:sz w:val="18"/>
                <w:szCs w:val="18"/>
              </w:rPr>
              <w:t>1</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194ECD" w:rsidP="00194ECD">
            <w:pPr>
              <w:spacing w:line="360" w:lineRule="auto"/>
              <w:jc w:val="center"/>
              <w:rPr>
                <w:rFonts w:ascii="Times New Roman" w:hAnsi="Times New Roman" w:cs="Times New Roman"/>
                <w:b/>
                <w:sz w:val="18"/>
                <w:szCs w:val="18"/>
              </w:rPr>
            </w:pPr>
            <w:r w:rsidRPr="00194ECD">
              <w:rPr>
                <w:rFonts w:ascii="Times New Roman" w:hAnsi="Times New Roman" w:cs="Times New Roman"/>
                <w:b/>
                <w:sz w:val="18"/>
                <w:szCs w:val="18"/>
              </w:rPr>
              <w:t>2</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194ECD" w:rsidP="00194ECD">
            <w:pPr>
              <w:spacing w:line="360" w:lineRule="auto"/>
              <w:jc w:val="center"/>
              <w:rPr>
                <w:rFonts w:ascii="Times New Roman" w:hAnsi="Times New Roman" w:cs="Times New Roman"/>
                <w:b/>
                <w:sz w:val="18"/>
                <w:szCs w:val="18"/>
              </w:rPr>
            </w:pPr>
            <w:r w:rsidRPr="00194ECD">
              <w:rPr>
                <w:rFonts w:ascii="Times New Roman" w:hAnsi="Times New Roman" w:cs="Times New Roman"/>
                <w:b/>
                <w:sz w:val="18"/>
                <w:szCs w:val="18"/>
              </w:rPr>
              <w:t>3</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194ECD" w:rsidP="00194ECD">
            <w:pPr>
              <w:spacing w:line="360" w:lineRule="auto"/>
              <w:jc w:val="center"/>
              <w:rPr>
                <w:rFonts w:ascii="Times New Roman" w:hAnsi="Times New Roman" w:cs="Times New Roman"/>
                <w:b/>
                <w:sz w:val="18"/>
                <w:szCs w:val="18"/>
              </w:rPr>
            </w:pPr>
            <w:r w:rsidRPr="00194ECD">
              <w:rPr>
                <w:rFonts w:ascii="Times New Roman" w:hAnsi="Times New Roman" w:cs="Times New Roman"/>
                <w:b/>
                <w:sz w:val="18"/>
                <w:szCs w:val="18"/>
              </w:rPr>
              <w:t>4</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194ECD" w:rsidP="00194ECD">
            <w:pPr>
              <w:spacing w:line="360" w:lineRule="auto"/>
              <w:jc w:val="center"/>
              <w:rPr>
                <w:rFonts w:ascii="Times New Roman" w:hAnsi="Times New Roman" w:cs="Times New Roman"/>
                <w:b/>
                <w:sz w:val="18"/>
                <w:szCs w:val="18"/>
              </w:rPr>
            </w:pPr>
            <w:r w:rsidRPr="00194ECD">
              <w:rPr>
                <w:rFonts w:ascii="Times New Roman" w:hAnsi="Times New Roman" w:cs="Times New Roman"/>
                <w:b/>
                <w:sz w:val="18"/>
                <w:szCs w:val="18"/>
              </w:rPr>
              <w:t>5=4-3</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194ECD" w:rsidP="00194ECD">
            <w:pPr>
              <w:spacing w:line="360" w:lineRule="auto"/>
              <w:jc w:val="center"/>
              <w:rPr>
                <w:rFonts w:ascii="Times New Roman" w:hAnsi="Times New Roman" w:cs="Times New Roman"/>
                <w:b/>
                <w:sz w:val="18"/>
                <w:szCs w:val="18"/>
              </w:rPr>
            </w:pPr>
            <w:r w:rsidRPr="00194ECD">
              <w:rPr>
                <w:rFonts w:ascii="Times New Roman" w:hAnsi="Times New Roman" w:cs="Times New Roman"/>
                <w:b/>
                <w:sz w:val="18"/>
                <w:szCs w:val="18"/>
              </w:rPr>
              <w:t>6=4/3*100</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DE3128" w:rsidRPr="00194ECD" w:rsidP="00194ECD">
            <w:pPr>
              <w:spacing w:line="360" w:lineRule="auto"/>
              <w:jc w:val="center"/>
              <w:rPr>
                <w:rFonts w:ascii="Times New Roman" w:hAnsi="Times New Roman" w:cs="Times New Roman"/>
                <w:b/>
                <w:sz w:val="18"/>
                <w:szCs w:val="18"/>
              </w:rPr>
            </w:pPr>
            <w:r w:rsidRPr="00194ECD">
              <w:rPr>
                <w:rFonts w:ascii="Times New Roman" w:hAnsi="Times New Roman" w:cs="Times New Roman"/>
                <w:b/>
                <w:sz w:val="18"/>
                <w:szCs w:val="18"/>
              </w:rPr>
              <w:t>7=4/1*100</w:t>
            </w:r>
          </w:p>
        </w:tc>
      </w:tr>
      <w:tr>
        <w:tblPrEx>
          <w:tblW w:w="9568" w:type="dxa"/>
          <w:tblInd w:w="80" w:type="dxa"/>
          <w:tblLayout w:type="fixed"/>
        </w:tblPrEx>
        <w:trPr>
          <w:trHeight w:hRule="exact" w:val="337"/>
        </w:trPr>
        <w:tc>
          <w:tcPr>
            <w:tcW w:w="199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DE3128" w:rsidRPr="009A2158" w:rsidP="00DE3128">
            <w:pPr>
              <w:spacing w:line="360" w:lineRule="auto"/>
              <w:jc w:val="both"/>
              <w:rPr>
                <w:rFonts w:ascii="Times New Roman" w:hAnsi="Times New Roman" w:cs="Times New Roman"/>
                <w:sz w:val="20"/>
                <w:szCs w:val="20"/>
              </w:rPr>
            </w:pPr>
            <w:r w:rsidRPr="009A2158">
              <w:rPr>
                <w:rFonts w:ascii="Times New Roman" w:hAnsi="Times New Roman" w:cs="Times New Roman"/>
                <w:sz w:val="20"/>
                <w:szCs w:val="20"/>
              </w:rPr>
              <w:t>Daň z príjmov FO</w:t>
            </w:r>
          </w:p>
        </w:tc>
        <w:tc>
          <w:tcPr>
            <w:tcW w:w="109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spacing w:line="360" w:lineRule="auto"/>
              <w:jc w:val="right"/>
              <w:rPr>
                <w:rFonts w:ascii="Times New Roman" w:hAnsi="Times New Roman" w:cs="Times New Roman"/>
                <w:sz w:val="20"/>
                <w:szCs w:val="20"/>
              </w:rPr>
            </w:pPr>
            <w:r w:rsidRPr="009A2158">
              <w:rPr>
                <w:rFonts w:ascii="Times New Roman" w:hAnsi="Times New Roman" w:cs="Times New Roman"/>
                <w:sz w:val="20"/>
                <w:szCs w:val="20"/>
              </w:rPr>
              <w:t>40 117,1</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spacing w:line="360" w:lineRule="auto"/>
              <w:jc w:val="right"/>
              <w:rPr>
                <w:rFonts w:ascii="Times New Roman" w:hAnsi="Times New Roman" w:cs="Times New Roman"/>
                <w:sz w:val="20"/>
                <w:szCs w:val="20"/>
              </w:rPr>
            </w:pPr>
            <w:r w:rsidRPr="009A2158">
              <w:rPr>
                <w:rFonts w:ascii="Times New Roman" w:hAnsi="Times New Roman" w:cs="Times New Roman"/>
                <w:sz w:val="20"/>
                <w:szCs w:val="20"/>
              </w:rPr>
              <w:t>39 302,0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spacing w:line="360" w:lineRule="auto"/>
              <w:jc w:val="right"/>
              <w:rPr>
                <w:rFonts w:ascii="Times New Roman" w:hAnsi="Times New Roman" w:cs="Times New Roman"/>
                <w:sz w:val="20"/>
                <w:szCs w:val="20"/>
              </w:rPr>
            </w:pPr>
            <w:r w:rsidRPr="009A2158">
              <w:rPr>
                <w:rFonts w:ascii="Times New Roman" w:hAnsi="Times New Roman" w:cs="Times New Roman"/>
                <w:sz w:val="20"/>
                <w:szCs w:val="20"/>
              </w:rPr>
              <w:t>39 302,0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spacing w:line="360" w:lineRule="auto"/>
              <w:jc w:val="right"/>
              <w:rPr>
                <w:rFonts w:ascii="Times New Roman" w:hAnsi="Times New Roman" w:cs="Times New Roman"/>
                <w:sz w:val="20"/>
                <w:szCs w:val="20"/>
              </w:rPr>
            </w:pPr>
            <w:r w:rsidRPr="009A2158">
              <w:rPr>
                <w:rFonts w:ascii="Times New Roman" w:hAnsi="Times New Roman" w:cs="Times New Roman"/>
                <w:sz w:val="20"/>
                <w:szCs w:val="20"/>
              </w:rPr>
              <w:t>41 030,9</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spacing w:line="360" w:lineRule="auto"/>
              <w:jc w:val="right"/>
              <w:rPr>
                <w:rFonts w:ascii="Times New Roman" w:hAnsi="Times New Roman" w:cs="Times New Roman"/>
                <w:sz w:val="20"/>
                <w:szCs w:val="20"/>
              </w:rPr>
            </w:pPr>
            <w:r w:rsidRPr="009A2158">
              <w:rPr>
                <w:rFonts w:ascii="Times New Roman" w:hAnsi="Times New Roman" w:cs="Times New Roman"/>
                <w:sz w:val="20"/>
                <w:szCs w:val="20"/>
              </w:rPr>
              <w:t>1 728,9</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spacing w:line="360" w:lineRule="auto"/>
              <w:jc w:val="right"/>
              <w:rPr>
                <w:rFonts w:ascii="Times New Roman" w:hAnsi="Times New Roman" w:cs="Times New Roman"/>
                <w:sz w:val="20"/>
                <w:szCs w:val="20"/>
              </w:rPr>
            </w:pPr>
            <w:r w:rsidRPr="009A2158">
              <w:rPr>
                <w:rFonts w:ascii="Times New Roman" w:hAnsi="Times New Roman" w:cs="Times New Roman"/>
                <w:sz w:val="20"/>
                <w:szCs w:val="20"/>
              </w:rPr>
              <w:t>104,4</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DE3128" w:rsidRPr="009A2158" w:rsidP="00DE3128">
            <w:pPr>
              <w:spacing w:line="360" w:lineRule="auto"/>
              <w:jc w:val="right"/>
              <w:rPr>
                <w:rFonts w:ascii="Times New Roman" w:hAnsi="Times New Roman" w:cs="Times New Roman"/>
                <w:sz w:val="20"/>
                <w:szCs w:val="20"/>
              </w:rPr>
            </w:pPr>
            <w:r w:rsidRPr="009A2158">
              <w:rPr>
                <w:rFonts w:ascii="Times New Roman" w:hAnsi="Times New Roman" w:cs="Times New Roman"/>
                <w:sz w:val="20"/>
                <w:szCs w:val="20"/>
              </w:rPr>
              <w:t>102,3</w:t>
            </w:r>
          </w:p>
        </w:tc>
      </w:tr>
      <w:tr>
        <w:tblPrEx>
          <w:tblW w:w="9568" w:type="dxa"/>
          <w:tblInd w:w="80" w:type="dxa"/>
          <w:tblLayout w:type="fixed"/>
        </w:tblPrEx>
        <w:trPr>
          <w:trHeight w:val="337"/>
        </w:trPr>
        <w:tc>
          <w:tcPr>
            <w:tcW w:w="199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DE3128" w:rsidRPr="009A2158" w:rsidP="00DE3128">
            <w:pPr>
              <w:jc w:val="both"/>
              <w:rPr>
                <w:rFonts w:ascii="Times New Roman" w:hAnsi="Times New Roman" w:cs="Times New Roman"/>
                <w:sz w:val="20"/>
                <w:szCs w:val="20"/>
              </w:rPr>
            </w:pPr>
            <w:r w:rsidRPr="009A2158">
              <w:rPr>
                <w:rFonts w:ascii="Times New Roman" w:hAnsi="Times New Roman" w:cs="Times New Roman"/>
                <w:sz w:val="20"/>
                <w:szCs w:val="20"/>
              </w:rPr>
              <w:t>v tom: zo závislej</w:t>
            </w:r>
          </w:p>
          <w:p w:rsidR="00DE3128" w:rsidRPr="009A2158" w:rsidP="00DE3128">
            <w:pPr>
              <w:jc w:val="both"/>
              <w:rPr>
                <w:rFonts w:ascii="Times New Roman" w:hAnsi="Times New Roman" w:cs="Times New Roman"/>
                <w:sz w:val="20"/>
                <w:szCs w:val="20"/>
              </w:rPr>
            </w:pPr>
            <w:r w:rsidRPr="009A2158">
              <w:rPr>
                <w:rFonts w:ascii="Times New Roman" w:hAnsi="Times New Roman" w:cs="Times New Roman"/>
                <w:sz w:val="20"/>
                <w:szCs w:val="20"/>
              </w:rPr>
              <w:t xml:space="preserve">           činnosti</w:t>
            </w:r>
          </w:p>
        </w:tc>
        <w:tc>
          <w:tcPr>
            <w:tcW w:w="109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jc w:val="right"/>
              <w:rPr>
                <w:rFonts w:ascii="Times New Roman" w:hAnsi="Times New Roman" w:cs="Times New Roman"/>
                <w:sz w:val="20"/>
                <w:szCs w:val="20"/>
              </w:rPr>
            </w:pPr>
            <w:r w:rsidRPr="009A2158">
              <w:rPr>
                <w:rFonts w:ascii="Times New Roman" w:hAnsi="Times New Roman" w:cs="Times New Roman"/>
                <w:sz w:val="20"/>
                <w:szCs w:val="20"/>
              </w:rPr>
              <w:t>33 430,4</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jc w:val="right"/>
              <w:rPr>
                <w:rFonts w:ascii="Times New Roman" w:hAnsi="Times New Roman" w:cs="Times New Roman"/>
                <w:sz w:val="20"/>
                <w:szCs w:val="20"/>
              </w:rPr>
            </w:pPr>
            <w:r w:rsidRPr="009A2158">
              <w:rPr>
                <w:rFonts w:ascii="Times New Roman" w:hAnsi="Times New Roman" w:cs="Times New Roman"/>
                <w:sz w:val="20"/>
                <w:szCs w:val="20"/>
              </w:rPr>
              <w:t>34 445,0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jc w:val="right"/>
              <w:rPr>
                <w:rFonts w:ascii="Times New Roman" w:hAnsi="Times New Roman" w:cs="Times New Roman"/>
                <w:sz w:val="20"/>
                <w:szCs w:val="20"/>
              </w:rPr>
            </w:pPr>
            <w:r w:rsidRPr="009A2158">
              <w:rPr>
                <w:rFonts w:ascii="Times New Roman" w:hAnsi="Times New Roman" w:cs="Times New Roman"/>
                <w:sz w:val="20"/>
                <w:szCs w:val="20"/>
              </w:rPr>
              <w:t>34 445,0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jc w:val="right"/>
              <w:rPr>
                <w:rFonts w:ascii="Times New Roman" w:hAnsi="Times New Roman" w:cs="Times New Roman"/>
                <w:sz w:val="20"/>
                <w:szCs w:val="20"/>
              </w:rPr>
            </w:pPr>
            <w:r w:rsidRPr="009A2158">
              <w:rPr>
                <w:rFonts w:ascii="Times New Roman" w:hAnsi="Times New Roman" w:cs="Times New Roman"/>
                <w:sz w:val="20"/>
                <w:szCs w:val="20"/>
              </w:rPr>
              <w:t>35 409,9</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jc w:val="right"/>
              <w:rPr>
                <w:rFonts w:ascii="Times New Roman" w:hAnsi="Times New Roman" w:cs="Times New Roman"/>
                <w:sz w:val="20"/>
                <w:szCs w:val="20"/>
              </w:rPr>
            </w:pPr>
            <w:r w:rsidRPr="009A2158">
              <w:rPr>
                <w:rFonts w:ascii="Times New Roman" w:hAnsi="Times New Roman" w:cs="Times New Roman"/>
                <w:sz w:val="20"/>
                <w:szCs w:val="20"/>
              </w:rPr>
              <w:t>964,9</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jc w:val="right"/>
              <w:rPr>
                <w:rFonts w:ascii="Times New Roman" w:hAnsi="Times New Roman" w:cs="Times New Roman"/>
                <w:sz w:val="20"/>
                <w:szCs w:val="20"/>
              </w:rPr>
            </w:pPr>
            <w:r w:rsidRPr="009A2158">
              <w:rPr>
                <w:rFonts w:ascii="Times New Roman" w:hAnsi="Times New Roman" w:cs="Times New Roman"/>
                <w:sz w:val="20"/>
                <w:szCs w:val="20"/>
              </w:rPr>
              <w:t>102,8</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DE3128" w:rsidRPr="009A2158" w:rsidP="00DE3128">
            <w:pPr>
              <w:jc w:val="right"/>
              <w:rPr>
                <w:rFonts w:ascii="Times New Roman" w:hAnsi="Times New Roman" w:cs="Times New Roman"/>
                <w:sz w:val="20"/>
                <w:szCs w:val="20"/>
              </w:rPr>
            </w:pPr>
            <w:r w:rsidRPr="009A2158">
              <w:rPr>
                <w:rFonts w:ascii="Times New Roman" w:hAnsi="Times New Roman" w:cs="Times New Roman"/>
                <w:sz w:val="20"/>
                <w:szCs w:val="20"/>
              </w:rPr>
              <w:t>105,9</w:t>
            </w:r>
          </w:p>
        </w:tc>
      </w:tr>
      <w:tr>
        <w:tblPrEx>
          <w:tblW w:w="9568" w:type="dxa"/>
          <w:tblInd w:w="80" w:type="dxa"/>
          <w:tblLayout w:type="fixed"/>
        </w:tblPrEx>
        <w:trPr>
          <w:trHeight w:hRule="exact" w:val="259"/>
        </w:trPr>
        <w:tc>
          <w:tcPr>
            <w:tcW w:w="199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DE3128" w:rsidRPr="009A2158" w:rsidP="00DE3128">
            <w:pPr>
              <w:spacing w:line="360" w:lineRule="auto"/>
              <w:jc w:val="both"/>
              <w:rPr>
                <w:rFonts w:ascii="Times New Roman" w:hAnsi="Times New Roman" w:cs="Times New Roman"/>
                <w:sz w:val="20"/>
                <w:szCs w:val="20"/>
              </w:rPr>
            </w:pPr>
            <w:r w:rsidRPr="009A2158">
              <w:rPr>
                <w:rFonts w:ascii="Times New Roman" w:hAnsi="Times New Roman" w:cs="Times New Roman"/>
                <w:sz w:val="20"/>
                <w:szCs w:val="20"/>
              </w:rPr>
              <w:t xml:space="preserve">           z podnikania</w:t>
            </w:r>
          </w:p>
        </w:tc>
        <w:tc>
          <w:tcPr>
            <w:tcW w:w="109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spacing w:line="360" w:lineRule="auto"/>
              <w:jc w:val="right"/>
              <w:rPr>
                <w:rFonts w:ascii="Times New Roman" w:hAnsi="Times New Roman" w:cs="Times New Roman"/>
                <w:sz w:val="20"/>
                <w:szCs w:val="20"/>
              </w:rPr>
            </w:pPr>
            <w:r w:rsidRPr="009A2158">
              <w:rPr>
                <w:rFonts w:ascii="Times New Roman" w:hAnsi="Times New Roman" w:cs="Times New Roman"/>
                <w:sz w:val="20"/>
                <w:szCs w:val="20"/>
              </w:rPr>
              <w:t>6 686,7</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spacing w:line="360" w:lineRule="auto"/>
              <w:jc w:val="right"/>
              <w:rPr>
                <w:rFonts w:ascii="Times New Roman" w:hAnsi="Times New Roman" w:cs="Times New Roman"/>
                <w:sz w:val="20"/>
                <w:szCs w:val="20"/>
              </w:rPr>
            </w:pPr>
            <w:r w:rsidRPr="009A2158">
              <w:rPr>
                <w:rFonts w:ascii="Times New Roman" w:hAnsi="Times New Roman" w:cs="Times New Roman"/>
                <w:sz w:val="20"/>
                <w:szCs w:val="20"/>
              </w:rPr>
              <w:t>4 857,0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spacing w:line="360" w:lineRule="auto"/>
              <w:jc w:val="right"/>
              <w:rPr>
                <w:rFonts w:ascii="Times New Roman" w:hAnsi="Times New Roman" w:cs="Times New Roman"/>
                <w:sz w:val="20"/>
                <w:szCs w:val="20"/>
              </w:rPr>
            </w:pPr>
            <w:r w:rsidRPr="009A2158">
              <w:rPr>
                <w:rFonts w:ascii="Times New Roman" w:hAnsi="Times New Roman" w:cs="Times New Roman"/>
                <w:sz w:val="20"/>
                <w:szCs w:val="20"/>
              </w:rPr>
              <w:t>4 85</w:t>
            </w:r>
            <w:r w:rsidRPr="009A2158">
              <w:rPr>
                <w:rFonts w:ascii="Times New Roman" w:hAnsi="Times New Roman" w:cs="Times New Roman"/>
                <w:sz w:val="20"/>
                <w:szCs w:val="20"/>
              </w:rPr>
              <w:t>7,0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spacing w:line="360" w:lineRule="auto"/>
              <w:jc w:val="right"/>
              <w:rPr>
                <w:rFonts w:ascii="Times New Roman" w:hAnsi="Times New Roman" w:cs="Times New Roman"/>
                <w:sz w:val="20"/>
                <w:szCs w:val="20"/>
              </w:rPr>
            </w:pPr>
            <w:r w:rsidRPr="009A2158">
              <w:rPr>
                <w:rFonts w:ascii="Times New Roman" w:hAnsi="Times New Roman" w:cs="Times New Roman"/>
                <w:sz w:val="20"/>
                <w:szCs w:val="20"/>
              </w:rPr>
              <w:t>5 621,0</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spacing w:line="360" w:lineRule="auto"/>
              <w:jc w:val="right"/>
              <w:rPr>
                <w:rFonts w:ascii="Times New Roman" w:hAnsi="Times New Roman" w:cs="Times New Roman"/>
                <w:sz w:val="20"/>
                <w:szCs w:val="20"/>
              </w:rPr>
            </w:pPr>
            <w:r w:rsidRPr="009A2158">
              <w:rPr>
                <w:rFonts w:ascii="Times New Roman" w:hAnsi="Times New Roman" w:cs="Times New Roman"/>
                <w:sz w:val="20"/>
                <w:szCs w:val="20"/>
              </w:rPr>
              <w:t>764,0</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spacing w:line="360" w:lineRule="auto"/>
              <w:jc w:val="right"/>
              <w:rPr>
                <w:rFonts w:ascii="Times New Roman" w:hAnsi="Times New Roman" w:cs="Times New Roman"/>
                <w:sz w:val="20"/>
                <w:szCs w:val="20"/>
              </w:rPr>
            </w:pPr>
            <w:r w:rsidRPr="009A2158">
              <w:rPr>
                <w:rFonts w:ascii="Times New Roman" w:hAnsi="Times New Roman" w:cs="Times New Roman"/>
                <w:sz w:val="20"/>
                <w:szCs w:val="20"/>
              </w:rPr>
              <w:t>115,7</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DE3128" w:rsidRPr="009A2158" w:rsidP="00DE3128">
            <w:pPr>
              <w:spacing w:line="360" w:lineRule="auto"/>
              <w:jc w:val="right"/>
              <w:rPr>
                <w:rFonts w:ascii="Times New Roman" w:hAnsi="Times New Roman" w:cs="Times New Roman"/>
                <w:sz w:val="20"/>
                <w:szCs w:val="20"/>
              </w:rPr>
            </w:pPr>
            <w:r w:rsidRPr="009A2158">
              <w:rPr>
                <w:rFonts w:ascii="Times New Roman" w:hAnsi="Times New Roman" w:cs="Times New Roman"/>
                <w:sz w:val="20"/>
                <w:szCs w:val="20"/>
              </w:rPr>
              <w:t>84,1</w:t>
            </w:r>
          </w:p>
        </w:tc>
      </w:tr>
      <w:tr>
        <w:tblPrEx>
          <w:tblW w:w="9568" w:type="dxa"/>
          <w:tblLayout w:type="fixed"/>
        </w:tblPrEx>
        <w:trPr>
          <w:trHeight w:val="337"/>
        </w:trPr>
        <w:tc>
          <w:tcPr>
            <w:tcW w:w="1992" w:type="dxa"/>
            <w:tcBorders>
              <w:top w:val="single" w:sz="4" w:space="0" w:color="auto"/>
              <w:left w:val="single" w:sz="8" w:space="0" w:color="auto"/>
              <w:bottom w:val="single" w:sz="4" w:space="0" w:color="auto"/>
              <w:right w:val="single" w:sz="4" w:space="0" w:color="auto"/>
              <w:tl2br w:val="nil"/>
              <w:tr2bl w:val="nil"/>
            </w:tcBorders>
            <w:tcMar>
              <w:left w:w="28" w:type="dxa"/>
              <w:right w:w="28" w:type="dxa"/>
            </w:tcMar>
            <w:textDirection w:val="lrTb"/>
            <w:vAlign w:val="center"/>
          </w:tcPr>
          <w:p w:rsidR="00DE3128" w:rsidRPr="009A2158" w:rsidP="00DE3128">
            <w:pPr>
              <w:jc w:val="both"/>
              <w:rPr>
                <w:rFonts w:ascii="Times New Roman" w:hAnsi="Times New Roman" w:cs="Times New Roman"/>
                <w:sz w:val="20"/>
                <w:szCs w:val="20"/>
              </w:rPr>
            </w:pPr>
            <w:r w:rsidRPr="009A2158">
              <w:rPr>
                <w:rFonts w:ascii="Times New Roman" w:hAnsi="Times New Roman" w:cs="Times New Roman"/>
                <w:sz w:val="20"/>
                <w:szCs w:val="20"/>
              </w:rPr>
              <w:t>Výnos dane poukázaný</w:t>
            </w:r>
          </w:p>
          <w:p w:rsidR="00DE3128" w:rsidRPr="009A2158" w:rsidP="00DE3128">
            <w:pPr>
              <w:jc w:val="both"/>
              <w:rPr>
                <w:rFonts w:ascii="Times New Roman" w:hAnsi="Times New Roman" w:cs="Times New Roman"/>
                <w:sz w:val="20"/>
                <w:szCs w:val="20"/>
              </w:rPr>
            </w:pPr>
            <w:r w:rsidRPr="009A2158">
              <w:rPr>
                <w:rFonts w:ascii="Times New Roman" w:hAnsi="Times New Roman" w:cs="Times New Roman"/>
                <w:sz w:val="20"/>
                <w:szCs w:val="20"/>
              </w:rPr>
              <w:t>územnej samospráve</w:t>
            </w:r>
          </w:p>
        </w:tc>
        <w:tc>
          <w:tcPr>
            <w:tcW w:w="109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jc w:val="right"/>
              <w:rPr>
                <w:rFonts w:ascii="Times New Roman" w:hAnsi="Times New Roman" w:cs="Times New Roman"/>
                <w:sz w:val="20"/>
                <w:szCs w:val="20"/>
              </w:rPr>
            </w:pPr>
            <w:r w:rsidRPr="009A2158">
              <w:rPr>
                <w:rFonts w:ascii="Times New Roman" w:hAnsi="Times New Roman" w:cs="Times New Roman"/>
                <w:sz w:val="20"/>
                <w:szCs w:val="20"/>
              </w:rPr>
              <w:t>37 324,3</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jc w:val="right"/>
              <w:rPr>
                <w:rFonts w:ascii="Times New Roman" w:hAnsi="Times New Roman" w:cs="Times New Roman"/>
                <w:sz w:val="20"/>
                <w:szCs w:val="20"/>
              </w:rPr>
            </w:pPr>
            <w:r w:rsidRPr="009A2158">
              <w:rPr>
                <w:rFonts w:ascii="Times New Roman" w:hAnsi="Times New Roman" w:cs="Times New Roman"/>
                <w:sz w:val="20"/>
                <w:szCs w:val="20"/>
              </w:rPr>
              <w:t>36 809,0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jc w:val="right"/>
              <w:rPr>
                <w:rFonts w:ascii="Times New Roman" w:hAnsi="Times New Roman" w:cs="Times New Roman"/>
                <w:sz w:val="20"/>
                <w:szCs w:val="20"/>
              </w:rPr>
            </w:pPr>
            <w:r w:rsidRPr="009A2158">
              <w:rPr>
                <w:rFonts w:ascii="Times New Roman" w:hAnsi="Times New Roman" w:cs="Times New Roman"/>
                <w:sz w:val="20"/>
                <w:szCs w:val="20"/>
              </w:rPr>
              <w:t>36 809,0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jc w:val="right"/>
              <w:rPr>
                <w:rFonts w:ascii="Times New Roman" w:hAnsi="Times New Roman" w:cs="Times New Roman"/>
                <w:sz w:val="20"/>
                <w:szCs w:val="20"/>
              </w:rPr>
            </w:pPr>
            <w:r w:rsidRPr="009A2158">
              <w:rPr>
                <w:rFonts w:ascii="Times New Roman" w:hAnsi="Times New Roman" w:cs="Times New Roman"/>
                <w:sz w:val="20"/>
                <w:szCs w:val="20"/>
              </w:rPr>
              <w:t>38 444,8</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jc w:val="right"/>
              <w:rPr>
                <w:rFonts w:ascii="Times New Roman" w:hAnsi="Times New Roman" w:cs="Times New Roman"/>
                <w:sz w:val="20"/>
                <w:szCs w:val="20"/>
              </w:rPr>
            </w:pPr>
            <w:r w:rsidRPr="009A2158">
              <w:rPr>
                <w:rFonts w:ascii="Times New Roman" w:hAnsi="Times New Roman" w:cs="Times New Roman"/>
                <w:sz w:val="20"/>
                <w:szCs w:val="20"/>
              </w:rPr>
              <w:t>1 635,8</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9A2158" w:rsidP="00DE3128">
            <w:pPr>
              <w:jc w:val="right"/>
              <w:rPr>
                <w:rFonts w:ascii="Times New Roman" w:hAnsi="Times New Roman" w:cs="Times New Roman"/>
                <w:sz w:val="20"/>
                <w:szCs w:val="20"/>
              </w:rPr>
            </w:pPr>
            <w:r w:rsidRPr="009A2158">
              <w:rPr>
                <w:rFonts w:ascii="Times New Roman" w:hAnsi="Times New Roman" w:cs="Times New Roman"/>
                <w:sz w:val="20"/>
                <w:szCs w:val="20"/>
              </w:rPr>
              <w:t>104,4</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DE3128" w:rsidRPr="009A2158" w:rsidP="00DE3128">
            <w:pPr>
              <w:jc w:val="right"/>
              <w:rPr>
                <w:rFonts w:ascii="Times New Roman" w:hAnsi="Times New Roman" w:cs="Times New Roman"/>
                <w:sz w:val="20"/>
                <w:szCs w:val="20"/>
              </w:rPr>
            </w:pPr>
            <w:r w:rsidRPr="009A2158">
              <w:rPr>
                <w:rFonts w:ascii="Times New Roman" w:hAnsi="Times New Roman" w:cs="Times New Roman"/>
                <w:sz w:val="20"/>
                <w:szCs w:val="20"/>
              </w:rPr>
              <w:t>103,0</w:t>
            </w:r>
          </w:p>
        </w:tc>
      </w:tr>
      <w:tr>
        <w:tblPrEx>
          <w:tblW w:w="9568" w:type="dxa"/>
          <w:tblLayout w:type="fixed"/>
        </w:tblPrEx>
        <w:trPr>
          <w:trHeight w:val="337"/>
        </w:trPr>
        <w:tc>
          <w:tcPr>
            <w:tcW w:w="1992" w:type="dxa"/>
            <w:tcBorders>
              <w:top w:val="single" w:sz="4" w:space="0" w:color="auto"/>
              <w:left w:val="single" w:sz="8" w:space="0" w:color="auto"/>
              <w:bottom w:val="double" w:sz="6" w:space="0" w:color="auto"/>
              <w:right w:val="single" w:sz="4" w:space="0" w:color="auto"/>
              <w:tl2br w:val="nil"/>
              <w:tr2bl w:val="nil"/>
            </w:tcBorders>
            <w:tcMar>
              <w:left w:w="28" w:type="dxa"/>
              <w:right w:w="28" w:type="dxa"/>
            </w:tcMar>
            <w:textDirection w:val="lrTb"/>
            <w:vAlign w:val="center"/>
          </w:tcPr>
          <w:p w:rsidR="00DE3128" w:rsidRPr="009A2158" w:rsidP="00DE3128">
            <w:pPr>
              <w:jc w:val="both"/>
              <w:rPr>
                <w:rFonts w:ascii="Times New Roman" w:hAnsi="Times New Roman" w:cs="Times New Roman"/>
                <w:b/>
                <w:sz w:val="20"/>
                <w:szCs w:val="20"/>
              </w:rPr>
            </w:pPr>
            <w:r w:rsidRPr="009A2158">
              <w:rPr>
                <w:rFonts w:ascii="Times New Roman" w:hAnsi="Times New Roman" w:cs="Times New Roman"/>
                <w:b/>
                <w:sz w:val="20"/>
                <w:szCs w:val="20"/>
              </w:rPr>
              <w:t>Príjem ŠR z dane</w:t>
            </w:r>
          </w:p>
          <w:p w:rsidR="00DE3128" w:rsidRPr="009A2158" w:rsidP="00DE3128">
            <w:pPr>
              <w:jc w:val="both"/>
              <w:rPr>
                <w:rFonts w:ascii="Times New Roman" w:hAnsi="Times New Roman" w:cs="Times New Roman"/>
                <w:b/>
                <w:sz w:val="20"/>
                <w:szCs w:val="20"/>
              </w:rPr>
            </w:pPr>
            <w:r w:rsidRPr="009A2158">
              <w:rPr>
                <w:rFonts w:ascii="Times New Roman" w:hAnsi="Times New Roman" w:cs="Times New Roman"/>
                <w:b/>
                <w:sz w:val="20"/>
                <w:szCs w:val="20"/>
              </w:rPr>
              <w:t>z príjmov FO</w:t>
            </w:r>
          </w:p>
        </w:tc>
        <w:tc>
          <w:tcPr>
            <w:tcW w:w="1096"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DE3128" w:rsidRPr="009A2158" w:rsidP="00DE3128">
            <w:pPr>
              <w:jc w:val="right"/>
              <w:rPr>
                <w:rFonts w:ascii="Times New Roman" w:hAnsi="Times New Roman" w:cs="Times New Roman"/>
                <w:b/>
                <w:sz w:val="20"/>
                <w:szCs w:val="20"/>
              </w:rPr>
            </w:pPr>
            <w:r w:rsidRPr="009A2158">
              <w:rPr>
                <w:rFonts w:ascii="Times New Roman" w:hAnsi="Times New Roman" w:cs="Times New Roman"/>
                <w:b/>
                <w:sz w:val="20"/>
                <w:szCs w:val="20"/>
              </w:rPr>
              <w:t>2 792,8</w:t>
            </w:r>
          </w:p>
        </w:tc>
        <w:tc>
          <w:tcPr>
            <w:tcW w:w="1080"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DE3128" w:rsidRPr="009A2158" w:rsidP="00DE3128">
            <w:pPr>
              <w:jc w:val="right"/>
              <w:rPr>
                <w:rFonts w:ascii="Times New Roman" w:hAnsi="Times New Roman" w:cs="Times New Roman"/>
                <w:b/>
                <w:sz w:val="20"/>
                <w:szCs w:val="20"/>
              </w:rPr>
            </w:pPr>
            <w:r w:rsidRPr="009A2158">
              <w:rPr>
                <w:rFonts w:ascii="Times New Roman" w:hAnsi="Times New Roman" w:cs="Times New Roman"/>
                <w:b/>
                <w:sz w:val="20"/>
                <w:szCs w:val="20"/>
              </w:rPr>
              <w:t>2 493,0</w:t>
            </w:r>
          </w:p>
        </w:tc>
        <w:tc>
          <w:tcPr>
            <w:tcW w:w="1080"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DE3128" w:rsidRPr="009A2158" w:rsidP="00DE3128">
            <w:pPr>
              <w:jc w:val="right"/>
              <w:rPr>
                <w:rFonts w:ascii="Times New Roman" w:hAnsi="Times New Roman" w:cs="Times New Roman"/>
                <w:b/>
                <w:sz w:val="20"/>
                <w:szCs w:val="20"/>
              </w:rPr>
            </w:pPr>
            <w:r w:rsidRPr="009A2158">
              <w:rPr>
                <w:rFonts w:ascii="Times New Roman" w:hAnsi="Times New Roman" w:cs="Times New Roman"/>
                <w:b/>
                <w:sz w:val="20"/>
                <w:szCs w:val="20"/>
              </w:rPr>
              <w:t>2 493,0</w:t>
            </w:r>
          </w:p>
        </w:tc>
        <w:tc>
          <w:tcPr>
            <w:tcW w:w="1080"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DE3128" w:rsidRPr="009A2158" w:rsidP="00DE3128">
            <w:pPr>
              <w:jc w:val="right"/>
              <w:rPr>
                <w:rFonts w:ascii="Times New Roman" w:hAnsi="Times New Roman" w:cs="Times New Roman"/>
                <w:b/>
                <w:sz w:val="20"/>
                <w:szCs w:val="20"/>
              </w:rPr>
            </w:pPr>
            <w:r w:rsidRPr="009A2158">
              <w:rPr>
                <w:rFonts w:ascii="Times New Roman" w:hAnsi="Times New Roman" w:cs="Times New Roman"/>
                <w:b/>
                <w:sz w:val="20"/>
                <w:szCs w:val="20"/>
              </w:rPr>
              <w:t>2 586,1</w:t>
            </w:r>
          </w:p>
        </w:tc>
        <w:tc>
          <w:tcPr>
            <w:tcW w:w="900"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DE3128" w:rsidRPr="009A2158" w:rsidP="00DE3128">
            <w:pPr>
              <w:jc w:val="right"/>
              <w:rPr>
                <w:rFonts w:ascii="Times New Roman" w:hAnsi="Times New Roman" w:cs="Times New Roman"/>
                <w:b/>
                <w:sz w:val="20"/>
                <w:szCs w:val="20"/>
              </w:rPr>
            </w:pPr>
            <w:r w:rsidRPr="009A2158">
              <w:rPr>
                <w:rFonts w:ascii="Times New Roman" w:hAnsi="Times New Roman" w:cs="Times New Roman"/>
                <w:b/>
                <w:sz w:val="20"/>
                <w:szCs w:val="20"/>
              </w:rPr>
              <w:t>93,1</w:t>
            </w:r>
          </w:p>
        </w:tc>
        <w:tc>
          <w:tcPr>
            <w:tcW w:w="1260"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DE3128" w:rsidRPr="009A2158" w:rsidP="00DE3128">
            <w:pPr>
              <w:jc w:val="right"/>
              <w:rPr>
                <w:rFonts w:ascii="Times New Roman" w:hAnsi="Times New Roman" w:cs="Times New Roman"/>
                <w:b/>
                <w:sz w:val="20"/>
                <w:szCs w:val="20"/>
              </w:rPr>
            </w:pPr>
            <w:r w:rsidRPr="009A2158">
              <w:rPr>
                <w:rFonts w:ascii="Times New Roman" w:hAnsi="Times New Roman" w:cs="Times New Roman"/>
                <w:b/>
                <w:sz w:val="20"/>
                <w:szCs w:val="20"/>
              </w:rPr>
              <w:t>103,7</w:t>
            </w:r>
          </w:p>
        </w:tc>
        <w:tc>
          <w:tcPr>
            <w:tcW w:w="1080" w:type="dxa"/>
            <w:tcBorders>
              <w:top w:val="single" w:sz="4" w:space="0" w:color="auto"/>
              <w:left w:val="single" w:sz="4" w:space="0" w:color="auto"/>
              <w:bottom w:val="double" w:sz="6" w:space="0" w:color="auto"/>
              <w:right w:val="single" w:sz="8" w:space="0" w:color="auto"/>
              <w:tl2br w:val="nil"/>
              <w:tr2bl w:val="nil"/>
            </w:tcBorders>
            <w:textDirection w:val="lrTb"/>
            <w:vAlign w:val="center"/>
          </w:tcPr>
          <w:p w:rsidR="00DE3128" w:rsidRPr="009A2158" w:rsidP="00DE3128">
            <w:pPr>
              <w:jc w:val="right"/>
              <w:rPr>
                <w:rFonts w:ascii="Times New Roman" w:hAnsi="Times New Roman" w:cs="Times New Roman"/>
                <w:b/>
                <w:sz w:val="20"/>
                <w:szCs w:val="20"/>
              </w:rPr>
            </w:pPr>
            <w:r w:rsidRPr="009A2158">
              <w:rPr>
                <w:rFonts w:ascii="Times New Roman" w:hAnsi="Times New Roman" w:cs="Times New Roman"/>
                <w:b/>
                <w:sz w:val="20"/>
                <w:szCs w:val="20"/>
              </w:rPr>
              <w:t>92,6</w:t>
            </w:r>
          </w:p>
        </w:tc>
      </w:tr>
    </w:tbl>
    <w:p w:rsidR="00DE3128" w:rsidRPr="001D64A6" w:rsidP="001D64A6">
      <w:pPr>
        <w:spacing w:before="120" w:line="360" w:lineRule="auto"/>
        <w:jc w:val="both"/>
        <w:rPr>
          <w:rFonts w:ascii="Times New Roman" w:hAnsi="Times New Roman" w:cs="Times New Roman"/>
          <w:sz w:val="20"/>
          <w:szCs w:val="20"/>
        </w:rPr>
      </w:pPr>
      <w:r w:rsidRPr="00FB7C2A">
        <w:rPr>
          <w:rFonts w:ascii="Times New Roman" w:hAnsi="Times New Roman" w:cs="Times New Roman"/>
          <w:sz w:val="20"/>
          <w:szCs w:val="20"/>
        </w:rPr>
        <w:t>Zdroj: Ministerstvo financií SR</w:t>
      </w:r>
    </w:p>
    <w:p w:rsidR="00DE3128" w:rsidP="00DE3128">
      <w:pPr>
        <w:autoSpaceDE/>
        <w:autoSpaceDN/>
        <w:spacing w:line="360" w:lineRule="auto"/>
        <w:ind w:firstLine="709"/>
        <w:jc w:val="both"/>
        <w:rPr>
          <w:rFonts w:ascii="Times New Roman" w:hAnsi="Times New Roman" w:cs="Times New Roman"/>
        </w:rPr>
      </w:pPr>
      <w:r w:rsidRPr="00514D23">
        <w:rPr>
          <w:rFonts w:ascii="Times New Roman" w:hAnsi="Times New Roman" w:cs="Times New Roman"/>
        </w:rPr>
        <w:t>Skutočný výnos dane z príjmov fyzických osôb bol 41 030,9 mil. Sk, čo je o 1 728,9 mil. Sk viac ak</w:t>
      </w:r>
      <w:r w:rsidR="00FA0ABE">
        <w:rPr>
          <w:rFonts w:ascii="Times New Roman" w:hAnsi="Times New Roman" w:cs="Times New Roman"/>
        </w:rPr>
        <w:t>o sa rozpočtovalo. Výnos dane z príjmov</w:t>
      </w:r>
      <w:r w:rsidRPr="00514D23">
        <w:rPr>
          <w:rFonts w:ascii="Times New Roman" w:hAnsi="Times New Roman" w:cs="Times New Roman"/>
        </w:rPr>
        <w:t xml:space="preserve"> </w:t>
      </w:r>
      <w:r w:rsidR="00FA0ABE">
        <w:rPr>
          <w:rFonts w:ascii="Times New Roman" w:hAnsi="Times New Roman" w:cs="Times New Roman"/>
        </w:rPr>
        <w:t xml:space="preserve">zo </w:t>
      </w:r>
      <w:r w:rsidRPr="00514D23">
        <w:rPr>
          <w:rFonts w:ascii="Times New Roman" w:hAnsi="Times New Roman" w:cs="Times New Roman"/>
        </w:rPr>
        <w:t>závislej činnosti bol 35 409,9 mil. Sk a výnos dane z</w:t>
      </w:r>
      <w:r w:rsidR="00FA0ABE">
        <w:rPr>
          <w:rFonts w:ascii="Times New Roman" w:hAnsi="Times New Roman" w:cs="Times New Roman"/>
        </w:rPr>
        <w:t xml:space="preserve"> príjmov z </w:t>
      </w:r>
      <w:r w:rsidRPr="00514D23">
        <w:rPr>
          <w:rFonts w:ascii="Times New Roman" w:hAnsi="Times New Roman" w:cs="Times New Roman"/>
        </w:rPr>
        <w:t xml:space="preserve">podnikania 5 621,0 mil. Sk. </w:t>
      </w:r>
      <w:r>
        <w:rPr>
          <w:rFonts w:ascii="Times New Roman" w:hAnsi="Times New Roman" w:cs="Times New Roman"/>
        </w:rPr>
        <w:t>Z celkovej vyinkasovanej dane sa na účty miestnej samosprávy previedlo k 31.12.2006 spolu 38 444,8 mil. Sk (93,7 %) a 2 586,1 mil. Sk (6,3 %) tvorí príjem štátneho rozpočtu. Príjem štátneho rozpočtu je teda o 0,1 percentuálneho boda vyšší, než zákonom stanovený podiel. Preplatky a nedoplatky sa v</w:t>
      </w:r>
      <w:r>
        <w:rPr>
          <w:rFonts w:ascii="Times New Roman" w:hAnsi="Times New Roman" w:cs="Times New Roman"/>
        </w:rPr>
        <w:t> zmysle § 4 ods. 7 citovaného zákona vyrovnajú do 31. marca nasledujúceho kalendárneho roku.</w:t>
      </w:r>
    </w:p>
    <w:p w:rsidR="00DE3128" w:rsidRPr="00514D23" w:rsidP="00DE3128">
      <w:pPr>
        <w:spacing w:line="360" w:lineRule="auto"/>
        <w:ind w:firstLine="709"/>
        <w:jc w:val="both"/>
        <w:rPr>
          <w:rFonts w:ascii="Times New Roman" w:hAnsi="Times New Roman" w:cs="Times New Roman"/>
        </w:rPr>
      </w:pPr>
      <w:r w:rsidRPr="00514D23">
        <w:rPr>
          <w:rFonts w:ascii="Times New Roman" w:hAnsi="Times New Roman" w:cs="Times New Roman"/>
        </w:rPr>
        <w:t xml:space="preserve">Výnos </w:t>
      </w:r>
      <w:r w:rsidRPr="00514D23">
        <w:rPr>
          <w:rFonts w:ascii="Times New Roman" w:hAnsi="Times New Roman" w:cs="Times New Roman"/>
          <w:u w:val="single"/>
        </w:rPr>
        <w:t>dane z príjmov fyzických osôb zo závislej činnosti</w:t>
      </w:r>
      <w:r w:rsidRPr="00514D23">
        <w:rPr>
          <w:rFonts w:ascii="Times New Roman" w:hAnsi="Times New Roman" w:cs="Times New Roman"/>
        </w:rPr>
        <w:t xml:space="preserve"> je oproti rozpočtu vyšší o 964,9 mil. Sk. Pozitívny vplyv na výnos mal lepší makroekonomický vývoj, najmä </w:t>
      </w:r>
      <w:r w:rsidRPr="00514D23">
        <w:rPr>
          <w:rFonts w:ascii="Times New Roman" w:hAnsi="Times New Roman" w:cs="Times New Roman"/>
        </w:rPr>
        <w:t xml:space="preserve">rast mzdovej bázy, ktorý sa pri </w:t>
      </w:r>
      <w:r>
        <w:rPr>
          <w:rFonts w:ascii="Times New Roman" w:hAnsi="Times New Roman" w:cs="Times New Roman"/>
        </w:rPr>
        <w:t xml:space="preserve">zostavovaní </w:t>
      </w:r>
      <w:r w:rsidRPr="00514D23">
        <w:rPr>
          <w:rFonts w:ascii="Times New Roman" w:hAnsi="Times New Roman" w:cs="Times New Roman"/>
        </w:rPr>
        <w:t>rozpočt</w:t>
      </w:r>
      <w:r>
        <w:rPr>
          <w:rFonts w:ascii="Times New Roman" w:hAnsi="Times New Roman" w:cs="Times New Roman"/>
        </w:rPr>
        <w:t>u</w:t>
      </w:r>
      <w:r w:rsidRPr="00514D23">
        <w:rPr>
          <w:rFonts w:ascii="Times New Roman" w:hAnsi="Times New Roman" w:cs="Times New Roman"/>
        </w:rPr>
        <w:t xml:space="preserve"> </w:t>
      </w:r>
      <w:r>
        <w:rPr>
          <w:rFonts w:ascii="Times New Roman" w:hAnsi="Times New Roman" w:cs="Times New Roman"/>
        </w:rPr>
        <w:t>predpokladal</w:t>
      </w:r>
      <w:r w:rsidRPr="00514D23">
        <w:rPr>
          <w:rFonts w:ascii="Times New Roman" w:hAnsi="Times New Roman" w:cs="Times New Roman"/>
        </w:rPr>
        <w:t xml:space="preserve"> na úrovni 7,5</w:t>
      </w:r>
      <w:r>
        <w:rPr>
          <w:rFonts w:ascii="Times New Roman" w:hAnsi="Times New Roman" w:cs="Times New Roman"/>
        </w:rPr>
        <w:t xml:space="preserve"> </w:t>
      </w:r>
      <w:r w:rsidRPr="00514D23">
        <w:rPr>
          <w:rFonts w:ascii="Times New Roman" w:hAnsi="Times New Roman" w:cs="Times New Roman"/>
        </w:rPr>
        <w:t>% a v skutočnosti bol 11,9</w:t>
      </w:r>
      <w:r>
        <w:rPr>
          <w:rFonts w:ascii="Times New Roman" w:hAnsi="Times New Roman" w:cs="Times New Roman"/>
        </w:rPr>
        <w:t xml:space="preserve"> </w:t>
      </w:r>
      <w:r w:rsidRPr="00514D23">
        <w:rPr>
          <w:rFonts w:ascii="Times New Roman" w:hAnsi="Times New Roman" w:cs="Times New Roman"/>
        </w:rPr>
        <w:t>%. Negatívne však na výnos pôsobilo zavedenie odpočítateľnej položky na účelové sporenie a životné poistenie. Daňovníci mali v roku 2006 prvýkrát možnosť uplatniť si túto odpočítateľnú položku pri podaní daňového priznania</w:t>
      </w:r>
      <w:r>
        <w:rPr>
          <w:rFonts w:ascii="Times New Roman" w:hAnsi="Times New Roman" w:cs="Times New Roman"/>
        </w:rPr>
        <w:t>,</w:t>
      </w:r>
      <w:r w:rsidRPr="00514D23">
        <w:rPr>
          <w:rFonts w:ascii="Times New Roman" w:hAnsi="Times New Roman" w:cs="Times New Roman"/>
        </w:rPr>
        <w:t xml:space="preserve"> resp. pri ročnom zúčtovaní preddavkov na </w:t>
      </w:r>
      <w:r>
        <w:rPr>
          <w:rFonts w:ascii="Times New Roman" w:hAnsi="Times New Roman" w:cs="Times New Roman"/>
        </w:rPr>
        <w:t xml:space="preserve"> </w:t>
      </w:r>
      <w:r w:rsidRPr="00514D23">
        <w:rPr>
          <w:rFonts w:ascii="Times New Roman" w:hAnsi="Times New Roman" w:cs="Times New Roman"/>
        </w:rPr>
        <w:t xml:space="preserve">daň </w:t>
      </w:r>
      <w:r>
        <w:rPr>
          <w:rFonts w:ascii="Times New Roman" w:hAnsi="Times New Roman" w:cs="Times New Roman"/>
        </w:rPr>
        <w:t xml:space="preserve"> </w:t>
      </w:r>
      <w:r w:rsidRPr="00514D23">
        <w:rPr>
          <w:rFonts w:ascii="Times New Roman" w:hAnsi="Times New Roman" w:cs="Times New Roman"/>
        </w:rPr>
        <w:t>za</w:t>
      </w:r>
      <w:r>
        <w:rPr>
          <w:rFonts w:ascii="Times New Roman" w:hAnsi="Times New Roman" w:cs="Times New Roman"/>
        </w:rPr>
        <w:t xml:space="preserve"> </w:t>
      </w:r>
      <w:r w:rsidRPr="00514D23">
        <w:rPr>
          <w:rFonts w:ascii="Times New Roman" w:hAnsi="Times New Roman" w:cs="Times New Roman"/>
        </w:rPr>
        <w:t xml:space="preserve"> rok </w:t>
      </w:r>
      <w:r>
        <w:rPr>
          <w:rFonts w:ascii="Times New Roman" w:hAnsi="Times New Roman" w:cs="Times New Roman"/>
        </w:rPr>
        <w:t xml:space="preserve"> </w:t>
      </w:r>
      <w:r w:rsidRPr="00514D23">
        <w:rPr>
          <w:rFonts w:ascii="Times New Roman" w:hAnsi="Times New Roman" w:cs="Times New Roman"/>
        </w:rPr>
        <w:t>2005. Táto</w:t>
      </w:r>
      <w:r>
        <w:rPr>
          <w:rFonts w:ascii="Times New Roman" w:hAnsi="Times New Roman" w:cs="Times New Roman"/>
        </w:rPr>
        <w:t xml:space="preserve"> </w:t>
      </w:r>
      <w:r w:rsidRPr="00514D23">
        <w:rPr>
          <w:rFonts w:ascii="Times New Roman" w:hAnsi="Times New Roman" w:cs="Times New Roman"/>
        </w:rPr>
        <w:t xml:space="preserve"> legislatívna</w:t>
      </w:r>
      <w:r>
        <w:rPr>
          <w:rFonts w:ascii="Times New Roman" w:hAnsi="Times New Roman" w:cs="Times New Roman"/>
        </w:rPr>
        <w:t xml:space="preserve"> </w:t>
      </w:r>
      <w:r w:rsidRPr="00514D23">
        <w:rPr>
          <w:rFonts w:ascii="Times New Roman" w:hAnsi="Times New Roman" w:cs="Times New Roman"/>
        </w:rPr>
        <w:t xml:space="preserve"> zmena </w:t>
      </w:r>
      <w:r>
        <w:rPr>
          <w:rFonts w:ascii="Times New Roman" w:hAnsi="Times New Roman" w:cs="Times New Roman"/>
        </w:rPr>
        <w:t xml:space="preserve"> </w:t>
      </w:r>
      <w:r w:rsidRPr="00514D23">
        <w:rPr>
          <w:rFonts w:ascii="Times New Roman" w:hAnsi="Times New Roman" w:cs="Times New Roman"/>
        </w:rPr>
        <w:t>spôsobila</w:t>
      </w:r>
      <w:r>
        <w:rPr>
          <w:rFonts w:ascii="Times New Roman" w:hAnsi="Times New Roman" w:cs="Times New Roman"/>
        </w:rPr>
        <w:t xml:space="preserve"> </w:t>
      </w:r>
      <w:r w:rsidRPr="00514D23">
        <w:rPr>
          <w:rFonts w:ascii="Times New Roman" w:hAnsi="Times New Roman" w:cs="Times New Roman"/>
        </w:rPr>
        <w:t xml:space="preserve"> výrazné zníženie výnosov dane </w:t>
      </w:r>
      <w:r>
        <w:rPr>
          <w:rFonts w:ascii="Times New Roman" w:hAnsi="Times New Roman" w:cs="Times New Roman"/>
        </w:rPr>
        <w:t xml:space="preserve">v </w:t>
      </w:r>
      <w:r w:rsidRPr="00514D23">
        <w:rPr>
          <w:rFonts w:ascii="Times New Roman" w:hAnsi="Times New Roman" w:cs="Times New Roman"/>
        </w:rPr>
        <w:t>mesiacoch marec až máj.</w:t>
      </w:r>
    </w:p>
    <w:p w:rsidR="00DE3128" w:rsidP="00DE3128">
      <w:pPr>
        <w:spacing w:line="360" w:lineRule="auto"/>
        <w:ind w:firstLine="709"/>
        <w:jc w:val="both"/>
        <w:rPr>
          <w:rFonts w:ascii="Times New Roman" w:hAnsi="Times New Roman" w:cs="Times New Roman"/>
        </w:rPr>
      </w:pPr>
      <w:r w:rsidRPr="00514D23">
        <w:rPr>
          <w:rFonts w:ascii="Times New Roman" w:hAnsi="Times New Roman" w:cs="Times New Roman"/>
        </w:rPr>
        <w:t xml:space="preserve">Výnos </w:t>
      </w:r>
      <w:r w:rsidRPr="00514D23">
        <w:rPr>
          <w:rFonts w:ascii="Times New Roman" w:hAnsi="Times New Roman" w:cs="Times New Roman"/>
          <w:u w:val="single"/>
        </w:rPr>
        <w:t>dane z príjmov fyzi</w:t>
      </w:r>
      <w:r w:rsidRPr="00514D23">
        <w:rPr>
          <w:rFonts w:ascii="Times New Roman" w:hAnsi="Times New Roman" w:cs="Times New Roman"/>
          <w:u w:val="single"/>
        </w:rPr>
        <w:t>ck</w:t>
      </w:r>
      <w:r>
        <w:rPr>
          <w:rFonts w:ascii="Times New Roman" w:hAnsi="Times New Roman" w:cs="Times New Roman"/>
          <w:u w:val="single"/>
        </w:rPr>
        <w:t>ých</w:t>
      </w:r>
      <w:r w:rsidRPr="00514D23">
        <w:rPr>
          <w:rFonts w:ascii="Times New Roman" w:hAnsi="Times New Roman" w:cs="Times New Roman"/>
          <w:u w:val="single"/>
        </w:rPr>
        <w:t xml:space="preserve"> os</w:t>
      </w:r>
      <w:r>
        <w:rPr>
          <w:rFonts w:ascii="Times New Roman" w:hAnsi="Times New Roman" w:cs="Times New Roman"/>
          <w:u w:val="single"/>
        </w:rPr>
        <w:t>ô</w:t>
      </w:r>
      <w:r w:rsidRPr="00514D23">
        <w:rPr>
          <w:rFonts w:ascii="Times New Roman" w:hAnsi="Times New Roman" w:cs="Times New Roman"/>
          <w:u w:val="single"/>
        </w:rPr>
        <w:t>b z podnikania a inej samostatnej zárobkovej činnosti</w:t>
      </w:r>
      <w:r w:rsidRPr="00514D23">
        <w:rPr>
          <w:rFonts w:ascii="Times New Roman" w:hAnsi="Times New Roman" w:cs="Times New Roman"/>
        </w:rPr>
        <w:t xml:space="preserve"> predstavoval 5 621,0 mil. Sk. Je to o 764,0 mil. Sk viac, než sa rozpočtovalo, čo znamená plnenie na 115,7</w:t>
      </w:r>
      <w:r>
        <w:rPr>
          <w:rFonts w:ascii="Times New Roman" w:hAnsi="Times New Roman" w:cs="Times New Roman"/>
        </w:rPr>
        <w:t xml:space="preserve"> </w:t>
      </w:r>
      <w:r w:rsidRPr="00514D23">
        <w:rPr>
          <w:rFonts w:ascii="Times New Roman" w:hAnsi="Times New Roman" w:cs="Times New Roman"/>
        </w:rPr>
        <w:t>%. Medziročne bol však výnos nižší o 1 065,7 mil. Sk, t.j. o 15,9</w:t>
      </w:r>
      <w:r>
        <w:rPr>
          <w:rFonts w:ascii="Times New Roman" w:hAnsi="Times New Roman" w:cs="Times New Roman"/>
        </w:rPr>
        <w:t xml:space="preserve"> </w:t>
      </w:r>
      <w:r w:rsidRPr="00514D23">
        <w:rPr>
          <w:rFonts w:ascii="Times New Roman" w:hAnsi="Times New Roman" w:cs="Times New Roman"/>
        </w:rPr>
        <w:t>%, čo bolo spôsobené poklesom daňovej povinnosti za rok 2005 o 4,5</w:t>
      </w:r>
      <w:r w:rsidR="00FA0ABE">
        <w:rPr>
          <w:rFonts w:ascii="Times New Roman" w:hAnsi="Times New Roman" w:cs="Times New Roman"/>
        </w:rPr>
        <w:t xml:space="preserve"> </w:t>
      </w:r>
      <w:r w:rsidRPr="00514D23">
        <w:rPr>
          <w:rFonts w:ascii="Times New Roman" w:hAnsi="Times New Roman" w:cs="Times New Roman"/>
        </w:rPr>
        <w:t>%. Plnenie dane bolo negatívne ovplyvnené medziročným poklesom vyrovnania dane v celkovej sume 1 098 mil. Sk.</w:t>
      </w:r>
    </w:p>
    <w:p w:rsidR="00DE3128" w:rsidRPr="00514D23" w:rsidP="00DE3128">
      <w:pPr>
        <w:spacing w:line="360" w:lineRule="auto"/>
        <w:ind w:firstLine="709"/>
        <w:jc w:val="both"/>
        <w:rPr>
          <w:rFonts w:ascii="Times New Roman" w:hAnsi="Times New Roman" w:cs="Times New Roman"/>
        </w:rPr>
      </w:pPr>
      <w:r w:rsidRPr="00514D23">
        <w:rPr>
          <w:rFonts w:ascii="Wingdings" w:hAnsi="Wingdings" w:cs="Times New Roman"/>
        </w:rPr>
        <w:sym w:font="Wingdings" w:char="F0D8"/>
      </w:r>
      <w:r w:rsidRPr="00514D23">
        <w:rPr>
          <w:rFonts w:ascii="Times New Roman" w:hAnsi="Times New Roman" w:cs="Times New Roman"/>
        </w:rPr>
        <w:t xml:space="preserve"> </w:t>
      </w:r>
      <w:r w:rsidRPr="00514D23">
        <w:rPr>
          <w:rFonts w:ascii="Times New Roman" w:hAnsi="Times New Roman" w:cs="Times New Roman"/>
          <w:b/>
        </w:rPr>
        <w:t>Daň z príjmov právnick</w:t>
      </w:r>
      <w:r>
        <w:rPr>
          <w:rFonts w:ascii="Times New Roman" w:hAnsi="Times New Roman" w:cs="Times New Roman"/>
          <w:b/>
        </w:rPr>
        <w:t>ých</w:t>
      </w:r>
      <w:r w:rsidRPr="00514D23">
        <w:rPr>
          <w:rFonts w:ascii="Times New Roman" w:hAnsi="Times New Roman" w:cs="Times New Roman"/>
          <w:b/>
        </w:rPr>
        <w:t xml:space="preserve"> os</w:t>
      </w:r>
      <w:r>
        <w:rPr>
          <w:rFonts w:ascii="Times New Roman" w:hAnsi="Times New Roman" w:cs="Times New Roman"/>
          <w:b/>
        </w:rPr>
        <w:t>ô</w:t>
      </w:r>
      <w:r w:rsidRPr="00514D23">
        <w:rPr>
          <w:rFonts w:ascii="Times New Roman" w:hAnsi="Times New Roman" w:cs="Times New Roman"/>
          <w:b/>
        </w:rPr>
        <w:t>b</w:t>
      </w:r>
      <w:r w:rsidRPr="00514D23">
        <w:rPr>
          <w:rFonts w:ascii="Times New Roman" w:hAnsi="Times New Roman" w:cs="Times New Roman"/>
        </w:rPr>
        <w:t xml:space="preserve">  sa rozpočtovala vo výške 36 181,0 mil. Sk.   Skutočný výnos  dosiahol 47 271,4 mil. Sk, čo predstavuje plnenie rozpočtu na 130,7</w:t>
      </w:r>
      <w:r>
        <w:rPr>
          <w:rFonts w:ascii="Times New Roman" w:hAnsi="Times New Roman" w:cs="Times New Roman"/>
        </w:rPr>
        <w:t xml:space="preserve"> </w:t>
      </w:r>
      <w:r w:rsidRPr="00514D23">
        <w:rPr>
          <w:rFonts w:ascii="Times New Roman" w:hAnsi="Times New Roman" w:cs="Times New Roman"/>
        </w:rPr>
        <w:t xml:space="preserve">% </w:t>
      </w:r>
      <w:r w:rsidRPr="009B158D">
        <w:rPr>
          <w:rFonts w:ascii="Times New Roman" w:hAnsi="Times New Roman" w:cs="Times New Roman"/>
        </w:rPr>
        <w:t xml:space="preserve">a jeho prekročenie o 11 090,4 mil. Sk. Na celkovom výnose </w:t>
      </w:r>
      <w:r>
        <w:rPr>
          <w:rFonts w:ascii="Times New Roman" w:hAnsi="Times New Roman" w:cs="Times New Roman"/>
        </w:rPr>
        <w:t>dane</w:t>
      </w:r>
      <w:r w:rsidRPr="009B158D">
        <w:rPr>
          <w:rFonts w:ascii="Times New Roman" w:hAnsi="Times New Roman" w:cs="Times New Roman"/>
        </w:rPr>
        <w:t xml:space="preserve"> z príjmov právnických osôb  sa dane platné do roku 1992 podieľali sumou 12,1 mil. Sk. Medziročné tempo</w:t>
      </w:r>
      <w:r w:rsidRPr="00514D23">
        <w:rPr>
          <w:rFonts w:ascii="Times New Roman" w:hAnsi="Times New Roman" w:cs="Times New Roman"/>
        </w:rPr>
        <w:t xml:space="preserve"> rastu dane z príjmov prá</w:t>
      </w:r>
      <w:r w:rsidRPr="00514D23">
        <w:rPr>
          <w:rFonts w:ascii="Times New Roman" w:hAnsi="Times New Roman" w:cs="Times New Roman"/>
        </w:rPr>
        <w:t>vnickej osoby dosiahlo 12,3</w:t>
      </w:r>
      <w:r>
        <w:rPr>
          <w:rFonts w:ascii="Times New Roman" w:hAnsi="Times New Roman" w:cs="Times New Roman"/>
        </w:rPr>
        <w:t xml:space="preserve"> </w:t>
      </w:r>
      <w:r w:rsidRPr="00514D23">
        <w:rPr>
          <w:rFonts w:ascii="Times New Roman" w:hAnsi="Times New Roman" w:cs="Times New Roman"/>
        </w:rPr>
        <w:t xml:space="preserve">%, čo v absolútnom vyjadrení predstavuje 5 190,0 mil. Sk. </w:t>
      </w:r>
    </w:p>
    <w:p w:rsidR="00DE3128" w:rsidRPr="00514D23" w:rsidP="00DE3128">
      <w:pPr>
        <w:spacing w:line="360" w:lineRule="auto"/>
        <w:ind w:firstLine="709"/>
        <w:jc w:val="both"/>
        <w:rPr>
          <w:rFonts w:ascii="Times New Roman" w:hAnsi="Times New Roman" w:cs="Times New Roman"/>
        </w:rPr>
      </w:pPr>
      <w:r w:rsidRPr="00514D23">
        <w:rPr>
          <w:rFonts w:ascii="Times New Roman" w:hAnsi="Times New Roman" w:cs="Times New Roman"/>
        </w:rPr>
        <w:t>Daňová povinnosť za rok 2005 je splatná v roku 2006 a tá bola vyššia, než sa v čase tvorby rozpočtu na rok 2006 očakávalo. Priaznivý vývoj makroekonomického prostredia sa podpísal pod zvýšenú ziskovosť podnikov, ktorej</w:t>
      </w:r>
      <w:r>
        <w:rPr>
          <w:rFonts w:ascii="Times New Roman" w:hAnsi="Times New Roman" w:cs="Times New Roman"/>
        </w:rPr>
        <w:t xml:space="preserve"> medziročný </w:t>
      </w:r>
      <w:r w:rsidRPr="00514D23">
        <w:rPr>
          <w:rFonts w:ascii="Times New Roman" w:hAnsi="Times New Roman" w:cs="Times New Roman"/>
        </w:rPr>
        <w:t>rast dosiahol takmer 52</w:t>
      </w:r>
      <w:r>
        <w:rPr>
          <w:rFonts w:ascii="Times New Roman" w:hAnsi="Times New Roman" w:cs="Times New Roman"/>
        </w:rPr>
        <w:t xml:space="preserve"> </w:t>
      </w:r>
      <w:r w:rsidRPr="00514D23">
        <w:rPr>
          <w:rFonts w:ascii="Times New Roman" w:hAnsi="Times New Roman" w:cs="Times New Roman"/>
        </w:rPr>
        <w:t xml:space="preserve">%. Základ dane </w:t>
      </w:r>
      <w:r>
        <w:rPr>
          <w:rFonts w:ascii="Times New Roman" w:hAnsi="Times New Roman" w:cs="Times New Roman"/>
        </w:rPr>
        <w:t xml:space="preserve">však </w:t>
      </w:r>
      <w:r w:rsidRPr="00514D23">
        <w:rPr>
          <w:rFonts w:ascii="Times New Roman" w:hAnsi="Times New Roman" w:cs="Times New Roman"/>
        </w:rPr>
        <w:t>rástol pomalšie, na úrovni 11%, avšak  nižší objem čerpaných daňových úľav schválených v minulosti sa podpísal pod zvýšený rast daňovej povinnosti (medziročne o</w:t>
      </w:r>
      <w:r>
        <w:rPr>
          <w:rFonts w:ascii="Times New Roman" w:hAnsi="Times New Roman" w:cs="Times New Roman"/>
        </w:rPr>
        <w:t> </w:t>
      </w:r>
      <w:r w:rsidRPr="00514D23">
        <w:rPr>
          <w:rFonts w:ascii="Times New Roman" w:hAnsi="Times New Roman" w:cs="Times New Roman"/>
        </w:rPr>
        <w:t>22</w:t>
      </w:r>
      <w:r>
        <w:rPr>
          <w:rFonts w:ascii="Times New Roman" w:hAnsi="Times New Roman" w:cs="Times New Roman"/>
        </w:rPr>
        <w:t xml:space="preserve"> </w:t>
      </w:r>
      <w:r w:rsidRPr="00514D23">
        <w:rPr>
          <w:rFonts w:ascii="Times New Roman" w:hAnsi="Times New Roman" w:cs="Times New Roman"/>
        </w:rPr>
        <w:t xml:space="preserve">%) s priamymi dopadmi na hotovostné plnenie v roku 2006. Vzrástla výška vyrovnania dane v prospech štátneho rozpočtu (o 2 143 mil. Sk viac) a zároveň daňovým subjektom vyplynula vyššia platba preddavkov na rok 2006 (o 7 545 mil. Sk viac). </w:t>
      </w:r>
    </w:p>
    <w:p w:rsidR="00DE3128" w:rsidP="00DE3128">
      <w:pPr>
        <w:spacing w:line="360" w:lineRule="auto"/>
        <w:ind w:firstLine="709"/>
        <w:jc w:val="both"/>
        <w:rPr>
          <w:rFonts w:ascii="Times New Roman" w:hAnsi="Times New Roman" w:cs="Times New Roman"/>
        </w:rPr>
      </w:pPr>
      <w:r w:rsidRPr="00514D23">
        <w:rPr>
          <w:rFonts w:ascii="Times New Roman" w:hAnsi="Times New Roman" w:cs="Times New Roman"/>
        </w:rPr>
        <w:t xml:space="preserve">V roku 2006 mali fyzické a právnické osoby možnosť poukázať 2% z odvedenej dane na verejnoprospešný účel. V priebehu roka bolo týmto spôsobom prevedených 772,1 mil. Sk, čo je v porovnaní s minulým rokom nárast o 154 mil. Sk (25%). </w:t>
      </w:r>
    </w:p>
    <w:p w:rsidR="00DE3128" w:rsidP="00DE3128">
      <w:pPr>
        <w:pStyle w:val="VStext"/>
        <w:spacing w:before="0" w:line="360" w:lineRule="auto"/>
        <w:rPr>
          <w:rFonts w:ascii="Times New Roman" w:hAnsi="Times New Roman" w:cs="Times New Roman"/>
          <w:sz w:val="24"/>
          <w:szCs w:val="24"/>
        </w:rPr>
      </w:pPr>
      <w:r>
        <w:rPr>
          <w:rFonts w:ascii="Times New Roman" w:hAnsi="Times New Roman" w:cs="Times New Roman"/>
          <w:sz w:val="24"/>
          <w:szCs w:val="24"/>
        </w:rPr>
        <w:t>Takto</w:t>
      </w:r>
      <w:r w:rsidRPr="00285C83">
        <w:rPr>
          <w:rFonts w:ascii="Times New Roman" w:hAnsi="Times New Roman" w:cs="Times New Roman"/>
          <w:sz w:val="24"/>
          <w:szCs w:val="24"/>
        </w:rPr>
        <w:t xml:space="preserve"> zaplaten</w:t>
      </w:r>
      <w:r>
        <w:rPr>
          <w:rFonts w:ascii="Times New Roman" w:hAnsi="Times New Roman" w:cs="Times New Roman"/>
          <w:sz w:val="24"/>
          <w:szCs w:val="24"/>
        </w:rPr>
        <w:t>é</w:t>
      </w:r>
      <w:r w:rsidRPr="00285C83">
        <w:rPr>
          <w:rFonts w:ascii="Times New Roman" w:hAnsi="Times New Roman" w:cs="Times New Roman"/>
          <w:sz w:val="24"/>
          <w:szCs w:val="24"/>
        </w:rPr>
        <w:t xml:space="preserve"> dane poukaz</w:t>
      </w:r>
      <w:r w:rsidRPr="00285C83">
        <w:rPr>
          <w:rFonts w:ascii="Times New Roman" w:hAnsi="Times New Roman" w:cs="Times New Roman"/>
          <w:sz w:val="24"/>
          <w:szCs w:val="24"/>
        </w:rPr>
        <w:t xml:space="preserve">uje od roku 2002 </w:t>
      </w:r>
      <w:r>
        <w:rPr>
          <w:rFonts w:ascii="Times New Roman" w:hAnsi="Times New Roman" w:cs="Times New Roman"/>
          <w:sz w:val="24"/>
          <w:szCs w:val="24"/>
        </w:rPr>
        <w:t>d</w:t>
      </w:r>
      <w:r w:rsidRPr="00285C83">
        <w:rPr>
          <w:rFonts w:ascii="Times New Roman" w:hAnsi="Times New Roman" w:cs="Times New Roman"/>
          <w:sz w:val="24"/>
          <w:szCs w:val="24"/>
        </w:rPr>
        <w:t>aňová správa oprávneným prijímateľom uveden</w:t>
      </w:r>
      <w:r>
        <w:rPr>
          <w:rFonts w:ascii="Times New Roman" w:hAnsi="Times New Roman" w:cs="Times New Roman"/>
          <w:sz w:val="24"/>
          <w:szCs w:val="24"/>
        </w:rPr>
        <w:t>ým</w:t>
      </w:r>
      <w:r w:rsidRPr="00285C83">
        <w:rPr>
          <w:rFonts w:ascii="Times New Roman" w:hAnsi="Times New Roman" w:cs="Times New Roman"/>
          <w:sz w:val="24"/>
          <w:szCs w:val="24"/>
        </w:rPr>
        <w:t xml:space="preserve"> v  zozname prijímateľov, ktorý vedie  Notárska komora SR. V roku 2006 správcovia dane spracovali dosiaľ najväčšie množstvo vyhlásení v počte 464</w:t>
      </w:r>
      <w:r>
        <w:rPr>
          <w:rFonts w:ascii="Times New Roman" w:hAnsi="Times New Roman" w:cs="Times New Roman"/>
          <w:sz w:val="24"/>
          <w:szCs w:val="24"/>
        </w:rPr>
        <w:t xml:space="preserve"> </w:t>
      </w:r>
      <w:r w:rsidRPr="00285C83">
        <w:rPr>
          <w:rFonts w:ascii="Times New Roman" w:hAnsi="Times New Roman" w:cs="Times New Roman"/>
          <w:sz w:val="24"/>
          <w:szCs w:val="24"/>
        </w:rPr>
        <w:t>713 ks</w:t>
      </w:r>
      <w:r w:rsidR="00FA0ABE">
        <w:rPr>
          <w:rFonts w:ascii="Times New Roman" w:hAnsi="Times New Roman" w:cs="Times New Roman"/>
          <w:sz w:val="24"/>
          <w:szCs w:val="24"/>
        </w:rPr>
        <w:t>.</w:t>
      </w:r>
      <w:r>
        <w:rPr>
          <w:rFonts w:ascii="Times New Roman" w:hAnsi="Times New Roman" w:cs="Times New Roman"/>
          <w:sz w:val="24"/>
          <w:szCs w:val="24"/>
        </w:rPr>
        <w:t xml:space="preserve"> a </w:t>
      </w:r>
      <w:r w:rsidRPr="00285C83">
        <w:rPr>
          <w:rFonts w:ascii="Times New Roman" w:hAnsi="Times New Roman" w:cs="Times New Roman"/>
          <w:sz w:val="24"/>
          <w:szCs w:val="24"/>
        </w:rPr>
        <w:t>suma, ktor</w:t>
      </w:r>
      <w:r>
        <w:rPr>
          <w:rFonts w:ascii="Times New Roman" w:hAnsi="Times New Roman" w:cs="Times New Roman"/>
          <w:sz w:val="24"/>
          <w:szCs w:val="24"/>
        </w:rPr>
        <w:t>ú</w:t>
      </w:r>
      <w:r w:rsidRPr="008226AB">
        <w:rPr>
          <w:rFonts w:ascii="Times New Roman" w:hAnsi="Times New Roman" w:cs="Times New Roman"/>
          <w:sz w:val="24"/>
          <w:szCs w:val="24"/>
        </w:rPr>
        <w:t xml:space="preserve"> </w:t>
      </w:r>
      <w:r>
        <w:rPr>
          <w:rFonts w:ascii="Times New Roman" w:hAnsi="Times New Roman" w:cs="Times New Roman"/>
          <w:sz w:val="24"/>
          <w:szCs w:val="24"/>
        </w:rPr>
        <w:t xml:space="preserve">z prostriedkov štátneho rozpočtu </w:t>
      </w:r>
      <w:r w:rsidRPr="008226AB">
        <w:rPr>
          <w:rFonts w:ascii="Times New Roman" w:hAnsi="Times New Roman" w:cs="Times New Roman"/>
          <w:sz w:val="24"/>
          <w:szCs w:val="24"/>
        </w:rPr>
        <w:t>pouká</w:t>
      </w:r>
      <w:r>
        <w:rPr>
          <w:rFonts w:ascii="Times New Roman" w:hAnsi="Times New Roman" w:cs="Times New Roman"/>
          <w:sz w:val="24"/>
          <w:szCs w:val="24"/>
        </w:rPr>
        <w:t>zali</w:t>
      </w:r>
      <w:r w:rsidRPr="008226AB">
        <w:rPr>
          <w:rFonts w:ascii="Times New Roman" w:hAnsi="Times New Roman" w:cs="Times New Roman"/>
          <w:sz w:val="24"/>
          <w:szCs w:val="24"/>
        </w:rPr>
        <w:t xml:space="preserve"> </w:t>
      </w:r>
      <w:r w:rsidRPr="00285C83">
        <w:rPr>
          <w:rFonts w:ascii="Times New Roman" w:hAnsi="Times New Roman" w:cs="Times New Roman"/>
          <w:sz w:val="24"/>
          <w:szCs w:val="24"/>
        </w:rPr>
        <w:t xml:space="preserve">na účty prijímateľov dosiahla 1 125,0 mil. Sk (v roku 2005 </w:t>
      </w:r>
      <w:r>
        <w:rPr>
          <w:rFonts w:ascii="Times New Roman" w:hAnsi="Times New Roman" w:cs="Times New Roman"/>
          <w:sz w:val="24"/>
          <w:szCs w:val="24"/>
        </w:rPr>
        <w:t xml:space="preserve">to bolo </w:t>
      </w:r>
      <w:r w:rsidRPr="00285C83">
        <w:rPr>
          <w:rFonts w:ascii="Times New Roman" w:hAnsi="Times New Roman" w:cs="Times New Roman"/>
          <w:sz w:val="24"/>
          <w:szCs w:val="24"/>
        </w:rPr>
        <w:t>930,7 mil. Sk</w:t>
      </w:r>
      <w:r>
        <w:rPr>
          <w:rFonts w:ascii="Times New Roman" w:hAnsi="Times New Roman" w:cs="Times New Roman"/>
          <w:sz w:val="24"/>
          <w:szCs w:val="24"/>
        </w:rPr>
        <w:t>):</w:t>
      </w:r>
      <w:r w:rsidRPr="00285C83">
        <w:rPr>
          <w:rFonts w:ascii="Times New Roman" w:hAnsi="Times New Roman" w:cs="Times New Roman"/>
          <w:sz w:val="24"/>
          <w:szCs w:val="24"/>
        </w:rPr>
        <w:t xml:space="preserve"> </w:t>
      </w:r>
    </w:p>
    <w:tbl>
      <w:tblPr>
        <w:tblpPr w:leftFromText="141" w:rightFromText="141" w:vertAnchor="text" w:horzAnchor="margin" w:tblpXSpec="center" w:tblpY="165"/>
        <w:tblW w:w="8568"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Pr>
      <w:tblGrid>
        <w:gridCol w:w="2384"/>
        <w:gridCol w:w="3302"/>
        <w:gridCol w:w="2882"/>
      </w:tblGrid>
      <w:tr>
        <w:tblPrEx>
          <w:tblW w:w="8568"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PrEx>
        <w:trPr>
          <w:trHeight w:val="180"/>
        </w:trPr>
        <w:tc>
          <w:tcPr>
            <w:tcW w:w="2384"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FB7C2A" w:rsidRPr="00B64DC4" w:rsidP="00FB7C2A">
            <w:pPr>
              <w:pStyle w:val="VStext"/>
              <w:spacing w:before="0"/>
              <w:jc w:val="center"/>
              <w:rPr>
                <w:rFonts w:ascii="Times New Roman" w:hAnsi="Times New Roman" w:cs="Times New Roman"/>
                <w:b/>
              </w:rPr>
            </w:pPr>
          </w:p>
        </w:tc>
        <w:tc>
          <w:tcPr>
            <w:tcW w:w="3302"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FB7C2A" w:rsidRPr="00B64DC4" w:rsidP="00FB7C2A">
            <w:pPr>
              <w:pStyle w:val="VStext"/>
              <w:spacing w:before="0"/>
              <w:jc w:val="center"/>
              <w:rPr>
                <w:rFonts w:ascii="Times New Roman" w:hAnsi="Times New Roman" w:cs="Times New Roman"/>
                <w:b/>
              </w:rPr>
            </w:pPr>
            <w:r w:rsidRPr="00B64DC4">
              <w:rPr>
                <w:rFonts w:ascii="Times New Roman" w:hAnsi="Times New Roman" w:cs="Times New Roman"/>
                <w:b/>
              </w:rPr>
              <w:t>Počet osôb, ktoré poukázali 2 %</w:t>
            </w:r>
          </w:p>
        </w:tc>
        <w:tc>
          <w:tcPr>
            <w:tcW w:w="2882"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FB7C2A" w:rsidRPr="00B64DC4" w:rsidP="00FB7C2A">
            <w:pPr>
              <w:pStyle w:val="VStext"/>
              <w:spacing w:before="0"/>
              <w:jc w:val="center"/>
              <w:rPr>
                <w:rFonts w:ascii="Times New Roman" w:hAnsi="Times New Roman" w:cs="Times New Roman"/>
                <w:b/>
              </w:rPr>
            </w:pPr>
            <w:r w:rsidRPr="00B64DC4">
              <w:rPr>
                <w:rFonts w:ascii="Times New Roman" w:hAnsi="Times New Roman" w:cs="Times New Roman"/>
                <w:b/>
              </w:rPr>
              <w:t>Poukázaná suma</w:t>
            </w:r>
            <w:r>
              <w:rPr>
                <w:rFonts w:ascii="Times New Roman" w:hAnsi="Times New Roman" w:cs="Times New Roman"/>
                <w:b/>
              </w:rPr>
              <w:t xml:space="preserve"> (v mil. Sk)</w:t>
            </w:r>
          </w:p>
        </w:tc>
      </w:tr>
      <w:tr>
        <w:tblPrEx>
          <w:tblW w:w="8568" w:type="dxa"/>
        </w:tblPrEx>
        <w:trPr>
          <w:trHeight w:val="93"/>
        </w:trPr>
        <w:tc>
          <w:tcPr>
            <w:tcW w:w="2384"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FB7C2A" w:rsidRPr="00B64DC4" w:rsidP="00FB7C2A">
            <w:pPr>
              <w:pStyle w:val="VStext"/>
              <w:spacing w:before="0"/>
              <w:rPr>
                <w:rFonts w:ascii="Times New Roman" w:hAnsi="Times New Roman" w:cs="Times New Roman"/>
              </w:rPr>
            </w:pPr>
            <w:r w:rsidRPr="00B64DC4">
              <w:rPr>
                <w:rFonts w:ascii="Times New Roman" w:hAnsi="Times New Roman" w:cs="Times New Roman"/>
              </w:rPr>
              <w:t>Fyzické osoby</w:t>
            </w:r>
          </w:p>
        </w:tc>
        <w:tc>
          <w:tcPr>
            <w:tcW w:w="3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B7C2A" w:rsidRPr="00B64DC4" w:rsidP="00FB7C2A">
            <w:pPr>
              <w:pStyle w:val="VStext"/>
              <w:spacing w:before="0"/>
              <w:jc w:val="right"/>
              <w:rPr>
                <w:rFonts w:ascii="Times New Roman" w:hAnsi="Times New Roman" w:cs="Times New Roman"/>
              </w:rPr>
            </w:pPr>
            <w:r>
              <w:rPr>
                <w:rFonts w:ascii="Times New Roman" w:hAnsi="Times New Roman" w:cs="Times New Roman"/>
              </w:rPr>
              <w:t>446 973</w:t>
            </w:r>
          </w:p>
        </w:tc>
        <w:tc>
          <w:tcPr>
            <w:tcW w:w="2882"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FB7C2A" w:rsidRPr="00B64DC4" w:rsidP="00FB7C2A">
            <w:pPr>
              <w:pStyle w:val="VStext"/>
              <w:spacing w:before="0"/>
              <w:jc w:val="right"/>
              <w:rPr>
                <w:rFonts w:ascii="Times New Roman" w:hAnsi="Times New Roman" w:cs="Times New Roman"/>
              </w:rPr>
            </w:pPr>
            <w:r>
              <w:rPr>
                <w:rFonts w:ascii="Times New Roman" w:hAnsi="Times New Roman" w:cs="Times New Roman"/>
              </w:rPr>
              <w:t>352,9</w:t>
            </w:r>
          </w:p>
        </w:tc>
      </w:tr>
      <w:tr>
        <w:tblPrEx>
          <w:tblW w:w="8568" w:type="dxa"/>
        </w:tblPrEx>
        <w:trPr>
          <w:trHeight w:val="70"/>
        </w:trPr>
        <w:tc>
          <w:tcPr>
            <w:tcW w:w="2384"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FB7C2A" w:rsidRPr="00B64DC4" w:rsidP="00FB7C2A">
            <w:pPr>
              <w:pStyle w:val="VStext"/>
              <w:spacing w:before="0"/>
              <w:rPr>
                <w:rFonts w:ascii="Times New Roman" w:hAnsi="Times New Roman" w:cs="Times New Roman"/>
              </w:rPr>
            </w:pPr>
            <w:r w:rsidRPr="00B64DC4">
              <w:rPr>
                <w:rFonts w:ascii="Times New Roman" w:hAnsi="Times New Roman" w:cs="Times New Roman"/>
              </w:rPr>
              <w:t>Právnické osoby</w:t>
            </w:r>
          </w:p>
        </w:tc>
        <w:tc>
          <w:tcPr>
            <w:tcW w:w="33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B7C2A" w:rsidRPr="00B64DC4" w:rsidP="00FB7C2A">
            <w:pPr>
              <w:pStyle w:val="VStext"/>
              <w:spacing w:before="0"/>
              <w:jc w:val="right"/>
              <w:rPr>
                <w:rFonts w:ascii="Times New Roman" w:hAnsi="Times New Roman" w:cs="Times New Roman"/>
              </w:rPr>
            </w:pPr>
            <w:r>
              <w:rPr>
                <w:rFonts w:ascii="Times New Roman" w:hAnsi="Times New Roman" w:cs="Times New Roman"/>
              </w:rPr>
              <w:t>17 740</w:t>
            </w:r>
          </w:p>
        </w:tc>
        <w:tc>
          <w:tcPr>
            <w:tcW w:w="2882"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FB7C2A" w:rsidRPr="00B64DC4" w:rsidP="00FB7C2A">
            <w:pPr>
              <w:pStyle w:val="VStext"/>
              <w:spacing w:before="0"/>
              <w:jc w:val="right"/>
              <w:rPr>
                <w:rFonts w:ascii="Times New Roman" w:hAnsi="Times New Roman" w:cs="Times New Roman"/>
              </w:rPr>
            </w:pPr>
            <w:r>
              <w:rPr>
                <w:rFonts w:ascii="Times New Roman" w:hAnsi="Times New Roman" w:cs="Times New Roman"/>
              </w:rPr>
              <w:t>772,1</w:t>
            </w:r>
          </w:p>
        </w:tc>
      </w:tr>
      <w:tr>
        <w:tblPrEx>
          <w:tblW w:w="8568" w:type="dxa"/>
        </w:tblPrEx>
        <w:trPr>
          <w:trHeight w:val="70"/>
        </w:trPr>
        <w:tc>
          <w:tcPr>
            <w:tcW w:w="2384" w:type="dxa"/>
            <w:tcBorders>
              <w:top w:val="single" w:sz="4" w:space="0" w:color="auto"/>
              <w:left w:val="single" w:sz="8" w:space="0" w:color="auto"/>
              <w:bottom w:val="double" w:sz="6" w:space="0" w:color="auto"/>
              <w:right w:val="single" w:sz="4" w:space="0" w:color="auto"/>
              <w:tl2br w:val="nil"/>
              <w:tr2bl w:val="nil"/>
            </w:tcBorders>
            <w:textDirection w:val="lrTb"/>
            <w:vAlign w:val="top"/>
          </w:tcPr>
          <w:p w:rsidR="00FB7C2A" w:rsidRPr="00D42C44" w:rsidP="00FB7C2A">
            <w:pPr>
              <w:pStyle w:val="VStext"/>
              <w:spacing w:before="0"/>
              <w:rPr>
                <w:rFonts w:ascii="Times New Roman" w:hAnsi="Times New Roman" w:cs="Times New Roman"/>
                <w:b/>
              </w:rPr>
            </w:pPr>
            <w:r w:rsidRPr="00D42C44">
              <w:rPr>
                <w:rFonts w:ascii="Times New Roman" w:hAnsi="Times New Roman" w:cs="Times New Roman"/>
                <w:b/>
              </w:rPr>
              <w:t>Spolu</w:t>
            </w:r>
          </w:p>
        </w:tc>
        <w:tc>
          <w:tcPr>
            <w:tcW w:w="3302" w:type="dxa"/>
            <w:tcBorders>
              <w:top w:val="single" w:sz="4" w:space="0" w:color="auto"/>
              <w:left w:val="single" w:sz="4" w:space="0" w:color="auto"/>
              <w:bottom w:val="double" w:sz="6" w:space="0" w:color="auto"/>
              <w:right w:val="single" w:sz="4" w:space="0" w:color="auto"/>
              <w:tl2br w:val="nil"/>
              <w:tr2bl w:val="nil"/>
            </w:tcBorders>
            <w:textDirection w:val="lrTb"/>
            <w:vAlign w:val="top"/>
          </w:tcPr>
          <w:p w:rsidR="00FB7C2A" w:rsidRPr="00D42C44" w:rsidP="00FB7C2A">
            <w:pPr>
              <w:pStyle w:val="VStext"/>
              <w:spacing w:before="0"/>
              <w:jc w:val="right"/>
              <w:rPr>
                <w:rFonts w:ascii="Times New Roman" w:hAnsi="Times New Roman" w:cs="Times New Roman"/>
                <w:b/>
              </w:rPr>
            </w:pPr>
            <w:r w:rsidRPr="00D42C44">
              <w:rPr>
                <w:rFonts w:ascii="Times New Roman" w:hAnsi="Times New Roman" w:cs="Times New Roman"/>
                <w:b/>
              </w:rPr>
              <w:t>464 713</w:t>
            </w:r>
          </w:p>
        </w:tc>
        <w:tc>
          <w:tcPr>
            <w:tcW w:w="2882" w:type="dxa"/>
            <w:tcBorders>
              <w:top w:val="single" w:sz="4" w:space="0" w:color="auto"/>
              <w:left w:val="single" w:sz="4" w:space="0" w:color="auto"/>
              <w:bottom w:val="double" w:sz="6" w:space="0" w:color="auto"/>
              <w:right w:val="single" w:sz="8" w:space="0" w:color="auto"/>
              <w:tl2br w:val="nil"/>
              <w:tr2bl w:val="nil"/>
            </w:tcBorders>
            <w:textDirection w:val="lrTb"/>
            <w:vAlign w:val="top"/>
          </w:tcPr>
          <w:p w:rsidR="00FB7C2A" w:rsidRPr="00D42C44" w:rsidP="00FB7C2A">
            <w:pPr>
              <w:pStyle w:val="VStext"/>
              <w:spacing w:before="0"/>
              <w:jc w:val="right"/>
              <w:rPr>
                <w:rFonts w:ascii="Times New Roman" w:hAnsi="Times New Roman" w:cs="Times New Roman"/>
                <w:b/>
              </w:rPr>
            </w:pPr>
            <w:r w:rsidRPr="00D42C44">
              <w:rPr>
                <w:rFonts w:ascii="Times New Roman" w:hAnsi="Times New Roman" w:cs="Times New Roman"/>
                <w:b/>
              </w:rPr>
              <w:t>1 125,0</w:t>
            </w:r>
          </w:p>
        </w:tc>
      </w:tr>
    </w:tbl>
    <w:p w:rsidR="00DE3128" w:rsidRPr="00D42C44" w:rsidP="00DE3128">
      <w:pPr>
        <w:pStyle w:val="VStext"/>
        <w:rPr>
          <w:rFonts w:ascii="Times New Roman" w:hAnsi="Times New Roman" w:cs="Times New Roman"/>
          <w:sz w:val="20"/>
          <w:szCs w:val="20"/>
        </w:rPr>
      </w:pPr>
      <w:r w:rsidR="00C41DF9">
        <w:rPr>
          <w:rFonts w:ascii="Times New Roman" w:hAnsi="Times New Roman" w:cs="Times New Roman"/>
          <w:sz w:val="24"/>
          <w:szCs w:val="24"/>
        </w:rPr>
        <w:t xml:space="preserve">    </w:t>
      </w:r>
      <w:r w:rsidRPr="00D42C44">
        <w:rPr>
          <w:rFonts w:ascii="Times New Roman" w:hAnsi="Times New Roman" w:cs="Times New Roman"/>
          <w:sz w:val="20"/>
          <w:szCs w:val="20"/>
        </w:rPr>
        <w:t>Zdroj: Daňové riaditeľstvo SR</w:t>
      </w:r>
    </w:p>
    <w:p w:rsidR="00DE3128" w:rsidRPr="00293F00" w:rsidP="00DE3128">
      <w:pPr>
        <w:pStyle w:val="VStext"/>
        <w:spacing w:before="0"/>
        <w:rPr>
          <w:rFonts w:ascii="Times New Roman" w:hAnsi="Times New Roman" w:cs="Times New Roman"/>
          <w:color w:val="auto"/>
          <w:sz w:val="24"/>
          <w:szCs w:val="24"/>
        </w:rPr>
      </w:pPr>
    </w:p>
    <w:p w:rsidR="00DE3128" w:rsidRPr="00293F00" w:rsidP="00DE3128">
      <w:pPr>
        <w:pStyle w:val="VS2"/>
        <w:spacing w:before="0" w:after="0" w:line="360" w:lineRule="auto"/>
        <w:ind w:firstLine="709"/>
        <w:jc w:val="both"/>
        <w:rPr>
          <w:rFonts w:ascii="Times New Roman" w:hAnsi="Times New Roman" w:cs="Times New Roman"/>
          <w:b w:val="0"/>
          <w:color w:val="auto"/>
          <w:sz w:val="24"/>
          <w:szCs w:val="24"/>
        </w:rPr>
      </w:pPr>
      <w:r w:rsidRPr="00293F00">
        <w:rPr>
          <w:rFonts w:ascii="Times New Roman" w:hAnsi="Times New Roman" w:cs="Times New Roman"/>
          <w:b w:val="0"/>
          <w:color w:val="auto"/>
          <w:sz w:val="24"/>
          <w:szCs w:val="24"/>
        </w:rPr>
        <w:t xml:space="preserve">Výnos dane z príjmov právnických osôb ovplyvnila aj </w:t>
      </w:r>
      <w:r w:rsidRPr="00D42C44">
        <w:rPr>
          <w:rFonts w:ascii="Times New Roman" w:hAnsi="Times New Roman" w:cs="Times New Roman"/>
          <w:b w:val="0"/>
          <w:color w:val="auto"/>
          <w:sz w:val="24"/>
          <w:szCs w:val="24"/>
          <w:u w:val="single"/>
        </w:rPr>
        <w:t>štátna pomoc</w:t>
      </w:r>
      <w:r w:rsidRPr="00293F00">
        <w:rPr>
          <w:rFonts w:ascii="Times New Roman" w:hAnsi="Times New Roman" w:cs="Times New Roman"/>
          <w:b w:val="0"/>
          <w:color w:val="auto"/>
          <w:sz w:val="24"/>
          <w:szCs w:val="24"/>
        </w:rPr>
        <w:t>, poskytnutá v</w:t>
      </w:r>
      <w:r w:rsidR="00FA0ABE">
        <w:rPr>
          <w:rFonts w:ascii="Times New Roman" w:hAnsi="Times New Roman" w:cs="Times New Roman"/>
          <w:b w:val="0"/>
          <w:color w:val="auto"/>
          <w:sz w:val="24"/>
          <w:szCs w:val="24"/>
        </w:rPr>
        <w:t> roku 2006 formou daňovej úľavy,</w:t>
      </w:r>
      <w:r w:rsidRPr="00293F00">
        <w:rPr>
          <w:rFonts w:ascii="Times New Roman" w:hAnsi="Times New Roman" w:cs="Times New Roman"/>
          <w:b w:val="0"/>
          <w:color w:val="auto"/>
          <w:sz w:val="24"/>
          <w:szCs w:val="24"/>
        </w:rPr>
        <w:t xml:space="preserve"> </w:t>
      </w:r>
      <w:r w:rsidRPr="00293F00" w:rsidR="00FA0ABE">
        <w:rPr>
          <w:rFonts w:ascii="Times New Roman" w:hAnsi="Times New Roman" w:cs="Times New Roman"/>
          <w:b w:val="0"/>
          <w:color w:val="auto"/>
          <w:sz w:val="24"/>
          <w:szCs w:val="24"/>
        </w:rPr>
        <w:t>ktorej poskytovateľom sú daňové úrady</w:t>
      </w:r>
      <w:r w:rsidR="00671758">
        <w:rPr>
          <w:rFonts w:ascii="Times New Roman" w:hAnsi="Times New Roman" w:cs="Times New Roman"/>
          <w:b w:val="0"/>
          <w:color w:val="auto"/>
          <w:sz w:val="24"/>
          <w:szCs w:val="24"/>
        </w:rPr>
        <w:t>.</w:t>
      </w:r>
      <w:r w:rsidRPr="00293F00" w:rsidR="00FA0ABE">
        <w:rPr>
          <w:rFonts w:ascii="Times New Roman" w:hAnsi="Times New Roman" w:cs="Times New Roman"/>
          <w:b w:val="0"/>
          <w:color w:val="auto"/>
          <w:sz w:val="24"/>
          <w:szCs w:val="24"/>
        </w:rPr>
        <w:t xml:space="preserve"> </w:t>
      </w:r>
      <w:r w:rsidRPr="00293F00">
        <w:rPr>
          <w:rFonts w:ascii="Times New Roman" w:hAnsi="Times New Roman" w:cs="Times New Roman"/>
          <w:b w:val="0"/>
          <w:color w:val="auto"/>
          <w:sz w:val="24"/>
          <w:szCs w:val="24"/>
        </w:rPr>
        <w:t xml:space="preserve">V zmysle ustanovení </w:t>
      </w:r>
      <w:r>
        <w:rPr>
          <w:rFonts w:ascii="Times New Roman" w:hAnsi="Times New Roman" w:cs="Times New Roman"/>
          <w:b w:val="0"/>
          <w:color w:val="auto"/>
          <w:sz w:val="24"/>
          <w:szCs w:val="24"/>
        </w:rPr>
        <w:t xml:space="preserve">paragrafu </w:t>
      </w:r>
      <w:r w:rsidRPr="00293F00">
        <w:rPr>
          <w:rFonts w:ascii="Times New Roman" w:hAnsi="Times New Roman" w:cs="Times New Roman"/>
          <w:b w:val="0"/>
          <w:color w:val="auto"/>
          <w:sz w:val="24"/>
          <w:szCs w:val="24"/>
        </w:rPr>
        <w:t>35</w:t>
      </w:r>
      <w:r>
        <w:rPr>
          <w:rFonts w:ascii="Times New Roman" w:hAnsi="Times New Roman" w:cs="Times New Roman"/>
          <w:b w:val="0"/>
          <w:color w:val="auto"/>
          <w:sz w:val="24"/>
          <w:szCs w:val="24"/>
        </w:rPr>
        <w:t xml:space="preserve"> a</w:t>
      </w:r>
      <w:r w:rsidRPr="00293F00">
        <w:rPr>
          <w:rFonts w:ascii="Times New Roman" w:hAnsi="Times New Roman" w:cs="Times New Roman"/>
          <w:b w:val="0"/>
          <w:color w:val="auto"/>
          <w:sz w:val="24"/>
          <w:szCs w:val="24"/>
        </w:rPr>
        <w:t xml:space="preserve"> 35a zákona č. 366/1999 Z. z. o daniach z príjmo</w:t>
      </w:r>
      <w:r w:rsidRPr="00293F00">
        <w:rPr>
          <w:rFonts w:ascii="Times New Roman" w:hAnsi="Times New Roman" w:cs="Times New Roman"/>
          <w:b w:val="0"/>
          <w:color w:val="auto"/>
          <w:sz w:val="24"/>
          <w:szCs w:val="24"/>
        </w:rPr>
        <w:t>v v znení neskorších predpisov v spojení s</w:t>
      </w:r>
      <w:r>
        <w:rPr>
          <w:rFonts w:ascii="Times New Roman" w:hAnsi="Times New Roman" w:cs="Times New Roman"/>
          <w:b w:val="0"/>
          <w:color w:val="auto"/>
          <w:sz w:val="24"/>
          <w:szCs w:val="24"/>
        </w:rPr>
        <w:t xml:space="preserve"> paragrafom </w:t>
      </w:r>
      <w:r w:rsidRPr="00293F00">
        <w:rPr>
          <w:rFonts w:ascii="Times New Roman" w:hAnsi="Times New Roman" w:cs="Times New Roman"/>
          <w:b w:val="0"/>
          <w:color w:val="auto"/>
          <w:sz w:val="24"/>
          <w:szCs w:val="24"/>
        </w:rPr>
        <w:t>52 ods. 3 zákona č. 595/2003 Z. z. o dani z príjmov v znení neskorších predpisov, si štátnu pomoc vo forme úľavy na dani z príjmov uplatnilo 32 daňových subjektov</w:t>
      </w:r>
      <w:r>
        <w:rPr>
          <w:rFonts w:ascii="Times New Roman" w:hAnsi="Times New Roman" w:cs="Times New Roman"/>
          <w:b w:val="0"/>
          <w:color w:val="auto"/>
          <w:sz w:val="24"/>
          <w:szCs w:val="24"/>
        </w:rPr>
        <w:t xml:space="preserve"> a j</w:t>
      </w:r>
      <w:r w:rsidRPr="00293F00">
        <w:rPr>
          <w:rFonts w:ascii="Times New Roman" w:hAnsi="Times New Roman" w:cs="Times New Roman"/>
          <w:b w:val="0"/>
          <w:color w:val="auto"/>
          <w:sz w:val="24"/>
          <w:szCs w:val="24"/>
        </w:rPr>
        <w:t>eden daňový subjekt si uplatňuje štátnu pomoc formou úľavy na dani podľa nariadenia vlády SR č. 192/1998 Z. z. o podmienkach oslobodenia novovzniknutých daňových subjektov od dane z príjmov právnických osôb.  Celková suma poskytnutej štátnej pomoci  daňovými úradmi formou daňovej úľavy v sle</w:t>
      </w:r>
      <w:r w:rsidRPr="00293F00">
        <w:rPr>
          <w:rFonts w:ascii="Times New Roman" w:hAnsi="Times New Roman" w:cs="Times New Roman"/>
          <w:b w:val="0"/>
          <w:color w:val="auto"/>
          <w:sz w:val="24"/>
          <w:szCs w:val="24"/>
        </w:rPr>
        <w:t>dovanom roku predstavovala 2 716,</w:t>
      </w:r>
      <w:r>
        <w:rPr>
          <w:rFonts w:ascii="Times New Roman" w:hAnsi="Times New Roman" w:cs="Times New Roman"/>
          <w:b w:val="0"/>
          <w:color w:val="auto"/>
          <w:sz w:val="24"/>
          <w:szCs w:val="24"/>
        </w:rPr>
        <w:t>8</w:t>
      </w:r>
      <w:r w:rsidRPr="00293F00">
        <w:rPr>
          <w:rFonts w:ascii="Times New Roman" w:hAnsi="Times New Roman" w:cs="Times New Roman"/>
          <w:b w:val="0"/>
          <w:color w:val="auto"/>
          <w:sz w:val="24"/>
          <w:szCs w:val="24"/>
        </w:rPr>
        <w:t xml:space="preserve"> mil. Sk.</w:t>
      </w:r>
    </w:p>
    <w:p w:rsidR="00DE3128" w:rsidP="00DE3128">
      <w:pPr>
        <w:spacing w:line="360" w:lineRule="auto"/>
        <w:ind w:firstLine="709"/>
        <w:jc w:val="both"/>
        <w:rPr>
          <w:rFonts w:ascii="Times New Roman" w:hAnsi="Times New Roman" w:cs="Times New Roman"/>
        </w:rPr>
      </w:pPr>
      <w:r>
        <w:rPr>
          <w:rFonts w:ascii="Times New Roman" w:hAnsi="Times New Roman" w:cs="Times New Roman"/>
        </w:rPr>
        <w:t>P</w:t>
      </w:r>
      <w:r w:rsidRPr="00293F00">
        <w:rPr>
          <w:rFonts w:ascii="Times New Roman" w:hAnsi="Times New Roman" w:cs="Times New Roman"/>
        </w:rPr>
        <w:t>odľa § 4 ods.</w:t>
      </w:r>
      <w:r>
        <w:rPr>
          <w:rFonts w:ascii="Times New Roman" w:hAnsi="Times New Roman" w:cs="Times New Roman"/>
        </w:rPr>
        <w:t xml:space="preserve"> </w:t>
      </w:r>
      <w:r w:rsidRPr="00293F00">
        <w:rPr>
          <w:rFonts w:ascii="Times New Roman" w:hAnsi="Times New Roman" w:cs="Times New Roman"/>
        </w:rPr>
        <w:t>5 zákona</w:t>
      </w:r>
      <w:r>
        <w:rPr>
          <w:rFonts w:ascii="Times New Roman" w:hAnsi="Times New Roman" w:cs="Times New Roman"/>
        </w:rPr>
        <w:t xml:space="preserve"> </w:t>
      </w:r>
      <w:r w:rsidRPr="00293F00">
        <w:rPr>
          <w:rFonts w:ascii="Times New Roman" w:hAnsi="Times New Roman" w:cs="Times New Roman"/>
        </w:rPr>
        <w:t xml:space="preserve">č.565/2001 Z. z. o investičných stimuloch a o zmene a doplnení niektorých zákonov </w:t>
      </w:r>
      <w:r>
        <w:rPr>
          <w:rFonts w:ascii="Times New Roman" w:hAnsi="Times New Roman" w:cs="Times New Roman"/>
        </w:rPr>
        <w:t xml:space="preserve">a </w:t>
      </w:r>
      <w:r w:rsidRPr="00293F00">
        <w:rPr>
          <w:rFonts w:ascii="Times New Roman" w:hAnsi="Times New Roman" w:cs="Times New Roman"/>
        </w:rPr>
        <w:t>v súlade so zákonom č. 231/1999</w:t>
      </w:r>
      <w:r w:rsidR="00194ECD">
        <w:rPr>
          <w:rFonts w:ascii="Times New Roman" w:hAnsi="Times New Roman" w:cs="Times New Roman"/>
        </w:rPr>
        <w:t xml:space="preserve"> </w:t>
      </w:r>
      <w:r w:rsidRPr="00293F00">
        <w:rPr>
          <w:rFonts w:ascii="Times New Roman" w:hAnsi="Times New Roman" w:cs="Times New Roman"/>
        </w:rPr>
        <w:t>Z.</w:t>
      </w:r>
      <w:r w:rsidR="00194ECD">
        <w:rPr>
          <w:rFonts w:ascii="Times New Roman" w:hAnsi="Times New Roman" w:cs="Times New Roman"/>
        </w:rPr>
        <w:t xml:space="preserve"> </w:t>
      </w:r>
      <w:r w:rsidRPr="00293F00">
        <w:rPr>
          <w:rFonts w:ascii="Times New Roman" w:hAnsi="Times New Roman" w:cs="Times New Roman"/>
        </w:rPr>
        <w:t>z. o štátnej pomoci v znení neskorších predpisov vydáva rozhodnutia o poskytnutí štátnej pomoci vo forme investičných stimulov</w:t>
      </w:r>
      <w:r w:rsidRPr="00655CFF">
        <w:rPr>
          <w:rFonts w:ascii="Times New Roman" w:hAnsi="Times New Roman" w:cs="Times New Roman"/>
        </w:rPr>
        <w:t xml:space="preserve"> </w:t>
      </w:r>
      <w:r w:rsidRPr="00293F00">
        <w:rPr>
          <w:rFonts w:ascii="Times New Roman" w:hAnsi="Times New Roman" w:cs="Times New Roman"/>
        </w:rPr>
        <w:t>Ministerstvo hospodárstva Slovenskej republiky. Nárok na štátnu pomoc formou investičných stimulov podľa § 35b a § 35c  zákona č.366/1999 Z. z. o daniach z príjmov v znení neskorších predpisov v spo</w:t>
      </w:r>
      <w:r w:rsidRPr="00293F00">
        <w:rPr>
          <w:rFonts w:ascii="Times New Roman" w:hAnsi="Times New Roman" w:cs="Times New Roman"/>
        </w:rPr>
        <w:t>jení s § 52 ods.</w:t>
      </w:r>
      <w:r w:rsidR="00671758">
        <w:rPr>
          <w:rFonts w:ascii="Times New Roman" w:hAnsi="Times New Roman" w:cs="Times New Roman"/>
        </w:rPr>
        <w:t xml:space="preserve"> </w:t>
      </w:r>
      <w:r w:rsidRPr="00293F00">
        <w:rPr>
          <w:rFonts w:ascii="Times New Roman" w:hAnsi="Times New Roman" w:cs="Times New Roman"/>
        </w:rPr>
        <w:t>4 zákona č. 595/2003 Z. z. o dani z</w:t>
      </w:r>
      <w:r>
        <w:rPr>
          <w:rFonts w:ascii="Times New Roman" w:hAnsi="Times New Roman" w:cs="Times New Roman"/>
        </w:rPr>
        <w:t xml:space="preserve">  </w:t>
      </w:r>
      <w:r w:rsidRPr="00293F00">
        <w:rPr>
          <w:rFonts w:ascii="Times New Roman" w:hAnsi="Times New Roman" w:cs="Times New Roman"/>
        </w:rPr>
        <w:t>príjmov</w:t>
      </w:r>
      <w:r>
        <w:rPr>
          <w:rFonts w:ascii="Times New Roman" w:hAnsi="Times New Roman" w:cs="Times New Roman"/>
        </w:rPr>
        <w:t xml:space="preserve"> </w:t>
      </w:r>
      <w:r w:rsidRPr="00293F00">
        <w:rPr>
          <w:rFonts w:ascii="Times New Roman" w:hAnsi="Times New Roman" w:cs="Times New Roman"/>
        </w:rPr>
        <w:t xml:space="preserve"> v</w:t>
      </w:r>
      <w:r>
        <w:rPr>
          <w:rFonts w:ascii="Times New Roman" w:hAnsi="Times New Roman" w:cs="Times New Roman"/>
        </w:rPr>
        <w:t xml:space="preserve"> </w:t>
      </w:r>
      <w:r w:rsidRPr="00293F00">
        <w:rPr>
          <w:rFonts w:ascii="Times New Roman" w:hAnsi="Times New Roman" w:cs="Times New Roman"/>
        </w:rPr>
        <w:t xml:space="preserve"> znení </w:t>
      </w:r>
      <w:r>
        <w:rPr>
          <w:rFonts w:ascii="Times New Roman" w:hAnsi="Times New Roman" w:cs="Times New Roman"/>
        </w:rPr>
        <w:t xml:space="preserve"> </w:t>
      </w:r>
      <w:r w:rsidRPr="00293F00">
        <w:rPr>
          <w:rFonts w:ascii="Times New Roman" w:hAnsi="Times New Roman" w:cs="Times New Roman"/>
        </w:rPr>
        <w:t xml:space="preserve">neskorších </w:t>
      </w:r>
      <w:r>
        <w:rPr>
          <w:rFonts w:ascii="Times New Roman" w:hAnsi="Times New Roman" w:cs="Times New Roman"/>
        </w:rPr>
        <w:t xml:space="preserve"> </w:t>
      </w:r>
      <w:r w:rsidRPr="00293F00">
        <w:rPr>
          <w:rFonts w:ascii="Times New Roman" w:hAnsi="Times New Roman" w:cs="Times New Roman"/>
        </w:rPr>
        <w:t>predpisov si uplatňuje</w:t>
      </w:r>
      <w:r>
        <w:rPr>
          <w:rFonts w:ascii="Times New Roman" w:hAnsi="Times New Roman" w:cs="Times New Roman"/>
        </w:rPr>
        <w:t xml:space="preserve"> </w:t>
      </w:r>
      <w:r w:rsidRPr="00293F00">
        <w:rPr>
          <w:rFonts w:ascii="Times New Roman" w:hAnsi="Times New Roman" w:cs="Times New Roman"/>
        </w:rPr>
        <w:t xml:space="preserve"> príjemca pomoci v </w:t>
      </w:r>
      <w:r>
        <w:rPr>
          <w:rFonts w:ascii="Times New Roman" w:hAnsi="Times New Roman" w:cs="Times New Roman"/>
        </w:rPr>
        <w:t xml:space="preserve"> </w:t>
      </w:r>
      <w:r w:rsidRPr="00293F00">
        <w:rPr>
          <w:rFonts w:ascii="Times New Roman" w:hAnsi="Times New Roman" w:cs="Times New Roman"/>
        </w:rPr>
        <w:t xml:space="preserve">daňovom priznaní. </w:t>
      </w:r>
      <w:r>
        <w:rPr>
          <w:rFonts w:ascii="Times New Roman" w:hAnsi="Times New Roman" w:cs="Times New Roman"/>
        </w:rPr>
        <w:t xml:space="preserve">V </w:t>
      </w:r>
      <w:r w:rsidRPr="00293F00">
        <w:rPr>
          <w:rFonts w:ascii="Times New Roman" w:hAnsi="Times New Roman" w:cs="Times New Roman"/>
        </w:rPr>
        <w:t>roku 2006 si štátnu pomoc</w:t>
      </w:r>
      <w:r>
        <w:rPr>
          <w:rFonts w:ascii="Times New Roman" w:hAnsi="Times New Roman" w:cs="Times New Roman"/>
        </w:rPr>
        <w:t>,</w:t>
      </w:r>
      <w:r w:rsidRPr="00293F00">
        <w:rPr>
          <w:rFonts w:ascii="Times New Roman" w:hAnsi="Times New Roman" w:cs="Times New Roman"/>
        </w:rPr>
        <w:t xml:space="preserve"> ktorej poskytovateľom je Ministerstvo hospodárstva SR vo forme úľavy na dani z</w:t>
      </w:r>
      <w:r>
        <w:rPr>
          <w:rFonts w:ascii="Times New Roman" w:hAnsi="Times New Roman" w:cs="Times New Roman"/>
        </w:rPr>
        <w:t> </w:t>
      </w:r>
      <w:r w:rsidRPr="00293F00">
        <w:rPr>
          <w:rFonts w:ascii="Times New Roman" w:hAnsi="Times New Roman" w:cs="Times New Roman"/>
        </w:rPr>
        <w:t>pr</w:t>
      </w:r>
      <w:r w:rsidRPr="00293F00">
        <w:rPr>
          <w:rFonts w:ascii="Times New Roman" w:hAnsi="Times New Roman" w:cs="Times New Roman"/>
        </w:rPr>
        <w:t>íjmov</w:t>
      </w:r>
      <w:r>
        <w:rPr>
          <w:rFonts w:ascii="Times New Roman" w:hAnsi="Times New Roman" w:cs="Times New Roman"/>
        </w:rPr>
        <w:t>,</w:t>
      </w:r>
      <w:r w:rsidRPr="00293F00">
        <w:rPr>
          <w:rFonts w:ascii="Times New Roman" w:hAnsi="Times New Roman" w:cs="Times New Roman"/>
        </w:rPr>
        <w:t xml:space="preserve"> uplatnilo 7 daňových subjektov v sume 95,5 mil. Sk.</w:t>
      </w:r>
    </w:p>
    <w:p w:rsidR="00DE3128" w:rsidRPr="00C41DF9" w:rsidP="00DE3128">
      <w:pPr>
        <w:tabs>
          <w:tab w:val="left" w:pos="567"/>
        </w:tabs>
        <w:spacing w:after="120" w:line="360" w:lineRule="auto"/>
        <w:jc w:val="both"/>
        <w:rPr>
          <w:rFonts w:ascii="Times New Roman" w:hAnsi="Times New Roman" w:cs="Times New Roman"/>
        </w:rPr>
      </w:pPr>
      <w:r>
        <w:rPr>
          <w:rFonts w:ascii="Arial Narrow" w:hAnsi="Arial Narrow" w:cs="Times New Roman"/>
        </w:rPr>
        <w:tab/>
      </w:r>
      <w:r w:rsidRPr="00C41DF9">
        <w:rPr>
          <w:rFonts w:ascii="Times New Roman" w:hAnsi="Times New Roman" w:cs="Times New Roman"/>
        </w:rPr>
        <w:t xml:space="preserve">Colné úrady v roku 2006 štátnu pomoc neposkytli, s výnimkou poskytnutia minimálnej pomoci, ktorej výška  za colnú správu dosiahla spolu 0,8 mil. Sk.  </w:t>
      </w:r>
    </w:p>
    <w:p w:rsidR="00DE3128" w:rsidRPr="00293F00" w:rsidP="00DE3128">
      <w:pPr>
        <w:spacing w:line="360" w:lineRule="auto"/>
        <w:jc w:val="both"/>
        <w:rPr>
          <w:rFonts w:ascii="Times New Roman" w:hAnsi="Times New Roman" w:cs="Times New Roman"/>
        </w:rPr>
      </w:pPr>
    </w:p>
    <w:p w:rsidR="00DE3128" w:rsidRPr="005728F0" w:rsidP="00DE3128">
      <w:pPr>
        <w:spacing w:line="360" w:lineRule="auto"/>
        <w:ind w:firstLine="709"/>
        <w:jc w:val="both"/>
        <w:rPr>
          <w:rFonts w:ascii="Times New Roman" w:hAnsi="Times New Roman" w:cs="Times New Roman"/>
        </w:rPr>
      </w:pPr>
      <w:r w:rsidRPr="005728F0">
        <w:rPr>
          <w:rFonts w:ascii="Wingdings" w:hAnsi="Wingdings" w:cs="Times New Roman"/>
        </w:rPr>
        <w:sym w:font="Wingdings" w:char="F0D8"/>
      </w:r>
      <w:r w:rsidRPr="005728F0">
        <w:rPr>
          <w:rFonts w:ascii="Times New Roman" w:hAnsi="Times New Roman" w:cs="Times New Roman"/>
        </w:rPr>
        <w:t xml:space="preserve"> </w:t>
      </w:r>
      <w:r w:rsidRPr="005728F0">
        <w:rPr>
          <w:rFonts w:ascii="Times New Roman" w:hAnsi="Times New Roman" w:cs="Times New Roman"/>
          <w:b/>
          <w:bCs/>
        </w:rPr>
        <w:t>Daň z príjmov vyberaná zrážkou</w:t>
      </w:r>
      <w:r w:rsidRPr="005728F0">
        <w:rPr>
          <w:rFonts w:ascii="Times New Roman" w:hAnsi="Times New Roman" w:cs="Times New Roman"/>
        </w:rPr>
        <w:t xml:space="preserve"> sa rozpočtovala sumou 4 470,0 mil. Sk a v skutočnosti dosiahla 4 858,6 mil. Sk. Rozpočtovaný výnos sa naplnil na 108,7</w:t>
      </w:r>
      <w:r>
        <w:rPr>
          <w:rFonts w:ascii="Times New Roman" w:hAnsi="Times New Roman" w:cs="Times New Roman"/>
        </w:rPr>
        <w:t xml:space="preserve"> </w:t>
      </w:r>
      <w:r w:rsidRPr="005728F0">
        <w:rPr>
          <w:rFonts w:ascii="Times New Roman" w:hAnsi="Times New Roman" w:cs="Times New Roman"/>
        </w:rPr>
        <w:t xml:space="preserve">%. Plnenie tejto dane je </w:t>
      </w:r>
      <w:r w:rsidR="00671758">
        <w:rPr>
          <w:rFonts w:ascii="Times New Roman" w:hAnsi="Times New Roman" w:cs="Times New Roman"/>
        </w:rPr>
        <w:t>(</w:t>
      </w:r>
      <w:r>
        <w:rPr>
          <w:rFonts w:ascii="Times New Roman" w:hAnsi="Times New Roman" w:cs="Times New Roman"/>
        </w:rPr>
        <w:t>p</w:t>
      </w:r>
      <w:r w:rsidRPr="005728F0">
        <w:rPr>
          <w:rFonts w:ascii="Times New Roman" w:hAnsi="Times New Roman" w:cs="Times New Roman"/>
        </w:rPr>
        <w:t>o štyroch rokoch medziročného poklesu</w:t>
      </w:r>
      <w:r w:rsidR="00671758">
        <w:rPr>
          <w:rFonts w:ascii="Times New Roman" w:hAnsi="Times New Roman" w:cs="Times New Roman"/>
        </w:rPr>
        <w:t>)</w:t>
      </w:r>
      <w:r w:rsidRPr="005728F0">
        <w:rPr>
          <w:rFonts w:ascii="Times New Roman" w:hAnsi="Times New Roman" w:cs="Times New Roman"/>
        </w:rPr>
        <w:t xml:space="preserve"> v porovnaní s rokom 2005 o 1 003,2 mil. Sk, t.j. o 26,0</w:t>
      </w:r>
      <w:r>
        <w:rPr>
          <w:rFonts w:ascii="Times New Roman" w:hAnsi="Times New Roman" w:cs="Times New Roman"/>
        </w:rPr>
        <w:t xml:space="preserve"> </w:t>
      </w:r>
      <w:r w:rsidRPr="005728F0">
        <w:rPr>
          <w:rFonts w:ascii="Times New Roman" w:hAnsi="Times New Roman" w:cs="Times New Roman"/>
        </w:rPr>
        <w:t>%</w:t>
      </w:r>
      <w:r>
        <w:rPr>
          <w:rFonts w:ascii="Times New Roman" w:hAnsi="Times New Roman" w:cs="Times New Roman"/>
        </w:rPr>
        <w:t xml:space="preserve"> </w:t>
      </w:r>
      <w:r w:rsidRPr="005728F0">
        <w:rPr>
          <w:rFonts w:ascii="Times New Roman" w:hAnsi="Times New Roman" w:cs="Times New Roman"/>
        </w:rPr>
        <w:t xml:space="preserve">vyššie. </w:t>
      </w:r>
    </w:p>
    <w:p w:rsidR="00DE3128" w:rsidRPr="00DD4BB9" w:rsidP="00DD4BB9">
      <w:pPr>
        <w:spacing w:line="360" w:lineRule="auto"/>
        <w:ind w:firstLine="709"/>
        <w:jc w:val="both"/>
        <w:rPr>
          <w:rFonts w:ascii="Times New Roman" w:hAnsi="Times New Roman" w:cs="Times New Roman"/>
        </w:rPr>
      </w:pPr>
      <w:r w:rsidRPr="005728F0">
        <w:rPr>
          <w:rFonts w:ascii="Times New Roman" w:hAnsi="Times New Roman" w:cs="Times New Roman"/>
        </w:rPr>
        <w:t>Výnos dane bol ovplyvnený najmä rastom úrokových sadzieb bankového sektora, ktoré sa odvíjajú od vývoja základnej úrokovej sadzby NBS. Tá na konci roka 2006 dosahovala úroveň 4,75 % a v porovnaní s koncom roka 2005 bola vyššia o 1,75 p</w:t>
      </w:r>
      <w:r>
        <w:rPr>
          <w:rFonts w:ascii="Times New Roman" w:hAnsi="Times New Roman" w:cs="Times New Roman"/>
        </w:rPr>
        <w:t xml:space="preserve">ercentuálneho </w:t>
      </w:r>
      <w:r w:rsidRPr="005728F0">
        <w:rPr>
          <w:rFonts w:ascii="Times New Roman" w:hAnsi="Times New Roman" w:cs="Times New Roman"/>
        </w:rPr>
        <w:t>b</w:t>
      </w:r>
      <w:r>
        <w:rPr>
          <w:rFonts w:ascii="Times New Roman" w:hAnsi="Times New Roman" w:cs="Times New Roman"/>
        </w:rPr>
        <w:t>odu</w:t>
      </w:r>
      <w:r w:rsidRPr="005728F0">
        <w:rPr>
          <w:rFonts w:ascii="Times New Roman" w:hAnsi="Times New Roman" w:cs="Times New Roman"/>
        </w:rPr>
        <w:t>. Medzi ďalšie faktory, ktoré ovplyvnili výnos zrážkovej dane</w:t>
      </w:r>
      <w:r>
        <w:rPr>
          <w:rFonts w:ascii="Times New Roman" w:hAnsi="Times New Roman" w:cs="Times New Roman"/>
        </w:rPr>
        <w:t>,</w:t>
      </w:r>
      <w:r w:rsidRPr="005728F0">
        <w:rPr>
          <w:rFonts w:ascii="Times New Roman" w:hAnsi="Times New Roman" w:cs="Times New Roman"/>
        </w:rPr>
        <w:t xml:space="preserve"> možno zaradiť pomerne vysoký odvod zrážkovej dane z pripísaných úrokov na účte dôchodkovej reformy (845 mil. Sk) a odvod zrážkovej dane firiem z licenčných poplatkov (približne 74 mil. Sk).</w:t>
      </w:r>
    </w:p>
    <w:p w:rsidR="00671758" w:rsidP="00DE3128">
      <w:pPr>
        <w:spacing w:line="360" w:lineRule="auto"/>
        <w:jc w:val="center"/>
        <w:rPr>
          <w:rFonts w:ascii="Times New Roman" w:hAnsi="Times New Roman" w:cs="Times New Roman"/>
          <w:b/>
        </w:rPr>
      </w:pPr>
    </w:p>
    <w:p w:rsidR="00DE3128" w:rsidRPr="00DD4BB9" w:rsidP="00671758">
      <w:pPr>
        <w:spacing w:line="360" w:lineRule="auto"/>
        <w:jc w:val="center"/>
        <w:rPr>
          <w:rFonts w:ascii="Times New Roman" w:hAnsi="Times New Roman" w:cs="Times New Roman"/>
          <w:b/>
        </w:rPr>
      </w:pPr>
      <w:r w:rsidRPr="00505905">
        <w:rPr>
          <w:rFonts w:ascii="Times New Roman" w:hAnsi="Times New Roman" w:cs="Times New Roman"/>
          <w:b/>
        </w:rPr>
        <w:t>2.1.1.2. Dane z maje</w:t>
      </w:r>
      <w:r w:rsidRPr="00505905">
        <w:rPr>
          <w:rFonts w:ascii="Times New Roman" w:hAnsi="Times New Roman" w:cs="Times New Roman"/>
          <w:b/>
        </w:rPr>
        <w:t>tku</w:t>
      </w:r>
    </w:p>
    <w:p w:rsidR="00671758" w:rsidP="00437FA0">
      <w:pPr>
        <w:spacing w:line="360" w:lineRule="auto"/>
        <w:ind w:firstLine="709"/>
        <w:jc w:val="both"/>
        <w:rPr>
          <w:rFonts w:ascii="Times New Roman" w:hAnsi="Times New Roman" w:cs="Times New Roman"/>
        </w:rPr>
      </w:pPr>
      <w:r w:rsidRPr="00505905" w:rsidR="00DE3128">
        <w:rPr>
          <w:rFonts w:ascii="Times New Roman" w:hAnsi="Times New Roman" w:cs="Times New Roman"/>
        </w:rPr>
        <w:t>Vzhľadom na to, že dane z dedičstva a darovania boli zrušené k 1.1.2004 a daň z prevodu a prechodu nehnuteľností bola zrušená k 1.1.2005, na rok 2006 sa nerozpočtoval  žiadny výnos z týchto daní. Napriek tomu plynuli do štátneho rozpočtu ešte dobiehajú</w:t>
      </w:r>
      <w:r w:rsidRPr="00505905" w:rsidR="00DE3128">
        <w:rPr>
          <w:rFonts w:ascii="Times New Roman" w:hAnsi="Times New Roman" w:cs="Times New Roman"/>
        </w:rPr>
        <w:t>ce príjmy</w:t>
      </w:r>
      <w:r w:rsidR="00DE3128">
        <w:rPr>
          <w:rFonts w:ascii="Times New Roman" w:hAnsi="Times New Roman" w:cs="Times New Roman"/>
        </w:rPr>
        <w:t xml:space="preserve"> z týchto daní spolu </w:t>
      </w:r>
      <w:r w:rsidRPr="00505905" w:rsidR="00DE3128">
        <w:rPr>
          <w:rFonts w:ascii="Times New Roman" w:hAnsi="Times New Roman" w:cs="Times New Roman"/>
        </w:rPr>
        <w:t>327,4 mil. Sk</w:t>
      </w:r>
      <w:r w:rsidR="00DE3128">
        <w:rPr>
          <w:rFonts w:ascii="Times New Roman" w:hAnsi="Times New Roman" w:cs="Times New Roman"/>
        </w:rPr>
        <w:t>, z</w:t>
      </w:r>
      <w:r w:rsidRPr="00505905" w:rsidR="00DE3128">
        <w:rPr>
          <w:rFonts w:ascii="Times New Roman" w:hAnsi="Times New Roman" w:cs="Times New Roman"/>
        </w:rPr>
        <w:t xml:space="preserve"> toho </w:t>
      </w:r>
      <w:r w:rsidR="00DE3128">
        <w:rPr>
          <w:rFonts w:ascii="Times New Roman" w:hAnsi="Times New Roman" w:cs="Times New Roman"/>
        </w:rPr>
        <w:t xml:space="preserve">až </w:t>
      </w:r>
      <w:r w:rsidRPr="00505905" w:rsidR="00DE3128">
        <w:rPr>
          <w:rFonts w:ascii="Times New Roman" w:hAnsi="Times New Roman" w:cs="Times New Roman"/>
        </w:rPr>
        <w:t xml:space="preserve">315,8 mil. Sk </w:t>
      </w:r>
      <w:r w:rsidR="00DE3128">
        <w:rPr>
          <w:rFonts w:ascii="Times New Roman" w:hAnsi="Times New Roman" w:cs="Times New Roman"/>
        </w:rPr>
        <w:t xml:space="preserve">tvorila </w:t>
      </w:r>
      <w:r w:rsidRPr="00505905" w:rsidR="00DE3128">
        <w:rPr>
          <w:rFonts w:ascii="Times New Roman" w:hAnsi="Times New Roman" w:cs="Times New Roman"/>
        </w:rPr>
        <w:t>daň z prevodu a prechodu nehnuteľností. Na výnos majetkových daní pozitívne vplývala aj realizovaná daňová amnestia v období od 1.7.2006 do 30.9.2006. Podľa nariadenia vlády č.418/2006 sa odpustili nezaplatené penále a sankcie za predpokladu, že daň (istina), ku ktorej prislúchal nedoplatok na sankcii, sa zaplatila n</w:t>
      </w:r>
      <w:r w:rsidR="00DE3128">
        <w:rPr>
          <w:rFonts w:ascii="Times New Roman" w:hAnsi="Times New Roman" w:cs="Times New Roman"/>
        </w:rPr>
        <w:t>ajneskôr do 30.9.2006.</w:t>
      </w:r>
    </w:p>
    <w:p w:rsidR="00DE3128" w:rsidRPr="00505905" w:rsidP="00DE3128">
      <w:pPr>
        <w:spacing w:line="360" w:lineRule="auto"/>
        <w:ind w:firstLine="709"/>
        <w:jc w:val="both"/>
        <w:rPr>
          <w:rFonts w:ascii="Times New Roman" w:hAnsi="Times New Roman" w:cs="Times New Roman"/>
        </w:rPr>
      </w:pPr>
      <w:r w:rsidRPr="00505905">
        <w:rPr>
          <w:rFonts w:ascii="Times New Roman" w:hAnsi="Times New Roman" w:cs="Times New Roman"/>
        </w:rPr>
        <w:t>Výnos jednotlivých druhov majetkových daní bol nasledovný (v mil. Sk):</w:t>
      </w:r>
    </w:p>
    <w:tbl>
      <w:tblPr>
        <w:tblW w:w="7958" w:type="dxa"/>
        <w:jc w:val="center"/>
        <w:tblInd w:w="55" w:type="dxa"/>
        <w:tblLayout w:type="fixed"/>
        <w:tblCellMar>
          <w:left w:w="70" w:type="dxa"/>
          <w:right w:w="70" w:type="dxa"/>
        </w:tblCellMar>
      </w:tblPr>
      <w:tblGrid>
        <w:gridCol w:w="3009"/>
        <w:gridCol w:w="1257"/>
        <w:gridCol w:w="1258"/>
        <w:gridCol w:w="1217"/>
        <w:gridCol w:w="1217"/>
      </w:tblGrid>
      <w:tr>
        <w:tblPrEx>
          <w:tblW w:w="7958" w:type="dxa"/>
          <w:jc w:val="center"/>
          <w:tblInd w:w="55" w:type="dxa"/>
          <w:tblLayout w:type="fixed"/>
          <w:tblCellMar>
            <w:left w:w="70" w:type="dxa"/>
            <w:right w:w="70" w:type="dxa"/>
          </w:tblCellMar>
        </w:tblPrEx>
        <w:trPr>
          <w:trHeight w:val="656"/>
          <w:jc w:val="center"/>
        </w:trPr>
        <w:tc>
          <w:tcPr>
            <w:tcW w:w="3009" w:type="dxa"/>
            <w:vMerge w:val="restart"/>
            <w:tcBorders>
              <w:top w:val="single" w:sz="8" w:space="0" w:color="auto"/>
              <w:left w:val="single" w:sz="8" w:space="0" w:color="auto"/>
              <w:bottom w:val="single" w:sz="4" w:space="0" w:color="000000"/>
              <w:right w:val="single" w:sz="4" w:space="0" w:color="auto"/>
              <w:tl2br w:val="nil"/>
              <w:tr2bl w:val="nil"/>
            </w:tcBorders>
            <w:textDirection w:val="lrTb"/>
            <w:vAlign w:val="center"/>
          </w:tcPr>
          <w:p w:rsidR="00DE3128" w:rsidRPr="00C41DF9" w:rsidP="00DE3128">
            <w:pPr>
              <w:jc w:val="center"/>
              <w:rPr>
                <w:rFonts w:ascii="Times New Roman" w:hAnsi="Times New Roman" w:cs="Times New Roman"/>
                <w:b/>
                <w:bCs/>
                <w:sz w:val="20"/>
                <w:szCs w:val="20"/>
              </w:rPr>
            </w:pPr>
            <w:r w:rsidRPr="00C41DF9">
              <w:rPr>
                <w:rFonts w:ascii="Times New Roman" w:hAnsi="Times New Roman" w:cs="Times New Roman"/>
                <w:b/>
                <w:bCs/>
                <w:sz w:val="20"/>
                <w:szCs w:val="20"/>
              </w:rPr>
              <w:t>Druh daňových príjmov</w:t>
            </w:r>
          </w:p>
        </w:tc>
        <w:tc>
          <w:tcPr>
            <w:tcW w:w="1257" w:type="dxa"/>
            <w:tcBorders>
              <w:top w:val="single" w:sz="8" w:space="0" w:color="auto"/>
              <w:left w:val="nil"/>
              <w:bottom w:val="nil"/>
              <w:right w:val="single" w:sz="4" w:space="0" w:color="auto"/>
              <w:tl2br w:val="nil"/>
              <w:tr2bl w:val="nil"/>
            </w:tcBorders>
            <w:textDirection w:val="lrTb"/>
            <w:vAlign w:val="center"/>
          </w:tcPr>
          <w:p w:rsidR="00DE3128" w:rsidRPr="00C41DF9" w:rsidP="00DE3128">
            <w:pPr>
              <w:jc w:val="center"/>
              <w:rPr>
                <w:rFonts w:ascii="Times New Roman" w:hAnsi="Times New Roman" w:cs="Times New Roman"/>
                <w:b/>
                <w:bCs/>
                <w:sz w:val="20"/>
                <w:szCs w:val="20"/>
              </w:rPr>
            </w:pPr>
            <w:r w:rsidRPr="00C41DF9">
              <w:rPr>
                <w:rFonts w:ascii="Times New Roman" w:hAnsi="Times New Roman" w:cs="Times New Roman"/>
                <w:b/>
                <w:bCs/>
                <w:sz w:val="20"/>
                <w:szCs w:val="20"/>
              </w:rPr>
              <w:t>Skutočnosť 2005</w:t>
            </w:r>
          </w:p>
        </w:tc>
        <w:tc>
          <w:tcPr>
            <w:tcW w:w="1258" w:type="dxa"/>
            <w:tcBorders>
              <w:top w:val="single" w:sz="8" w:space="0" w:color="auto"/>
              <w:left w:val="single" w:sz="4" w:space="0" w:color="auto"/>
              <w:bottom w:val="nil"/>
              <w:right w:val="single" w:sz="4" w:space="0" w:color="auto"/>
              <w:tl2br w:val="nil"/>
              <w:tr2bl w:val="nil"/>
            </w:tcBorders>
            <w:textDirection w:val="lrTb"/>
            <w:vAlign w:val="center"/>
          </w:tcPr>
          <w:p w:rsidR="00DE3128" w:rsidRPr="00C41DF9" w:rsidP="00DE3128">
            <w:pPr>
              <w:jc w:val="center"/>
              <w:rPr>
                <w:rFonts w:ascii="Times New Roman" w:hAnsi="Times New Roman" w:cs="Times New Roman"/>
                <w:b/>
                <w:bCs/>
                <w:sz w:val="20"/>
                <w:szCs w:val="20"/>
              </w:rPr>
            </w:pPr>
            <w:r w:rsidRPr="00C41DF9">
              <w:rPr>
                <w:rFonts w:ascii="Times New Roman" w:hAnsi="Times New Roman" w:cs="Times New Roman"/>
                <w:b/>
                <w:bCs/>
                <w:sz w:val="20"/>
                <w:szCs w:val="20"/>
              </w:rPr>
              <w:t>Skutočnosť 2006</w:t>
            </w:r>
          </w:p>
        </w:tc>
        <w:tc>
          <w:tcPr>
            <w:tcW w:w="1217" w:type="dxa"/>
            <w:tcBorders>
              <w:top w:val="single" w:sz="8" w:space="0" w:color="auto"/>
              <w:left w:val="nil"/>
              <w:bottom w:val="nil"/>
              <w:right w:val="single" w:sz="4" w:space="0" w:color="auto"/>
              <w:tl2br w:val="nil"/>
              <w:tr2bl w:val="nil"/>
            </w:tcBorders>
            <w:textDirection w:val="lrTb"/>
            <w:vAlign w:val="center"/>
          </w:tcPr>
          <w:p w:rsidR="00DE3128" w:rsidRPr="00C41DF9" w:rsidP="00DE3128">
            <w:pPr>
              <w:jc w:val="center"/>
              <w:rPr>
                <w:rFonts w:ascii="Times New Roman" w:hAnsi="Times New Roman" w:cs="Times New Roman"/>
                <w:b/>
                <w:bCs/>
                <w:sz w:val="20"/>
                <w:szCs w:val="20"/>
              </w:rPr>
            </w:pPr>
            <w:r w:rsidRPr="00C41DF9">
              <w:rPr>
                <w:rFonts w:ascii="Times New Roman" w:hAnsi="Times New Roman" w:cs="Times New Roman"/>
                <w:b/>
                <w:bCs/>
                <w:sz w:val="20"/>
                <w:szCs w:val="20"/>
              </w:rPr>
              <w:t>Rozdiel</w:t>
            </w:r>
          </w:p>
          <w:p w:rsidR="00DE3128" w:rsidRPr="00C41DF9" w:rsidP="00DE3128">
            <w:pPr>
              <w:jc w:val="center"/>
              <w:rPr>
                <w:rFonts w:ascii="Times New Roman" w:hAnsi="Times New Roman" w:cs="Times New Roman"/>
                <w:b/>
                <w:bCs/>
                <w:sz w:val="20"/>
                <w:szCs w:val="20"/>
              </w:rPr>
            </w:pPr>
            <w:r w:rsidRPr="00C41DF9">
              <w:rPr>
                <w:rFonts w:ascii="Times New Roman" w:hAnsi="Times New Roman" w:cs="Times New Roman"/>
                <w:b/>
                <w:bCs/>
                <w:sz w:val="20"/>
                <w:szCs w:val="20"/>
              </w:rPr>
              <w:t>2006-2005</w:t>
            </w:r>
          </w:p>
        </w:tc>
        <w:tc>
          <w:tcPr>
            <w:tcW w:w="1217" w:type="dxa"/>
            <w:tcBorders>
              <w:top w:val="single" w:sz="8" w:space="0" w:color="auto"/>
              <w:left w:val="nil"/>
              <w:bottom w:val="nil"/>
              <w:right w:val="single" w:sz="8" w:space="0" w:color="auto"/>
              <w:tl2br w:val="nil"/>
              <w:tr2bl w:val="nil"/>
            </w:tcBorders>
            <w:textDirection w:val="lrTb"/>
            <w:vAlign w:val="center"/>
          </w:tcPr>
          <w:p w:rsidR="00DE3128" w:rsidRPr="00C41DF9" w:rsidP="00DE3128">
            <w:pPr>
              <w:jc w:val="center"/>
              <w:rPr>
                <w:rFonts w:ascii="Times New Roman" w:hAnsi="Times New Roman" w:cs="Times New Roman"/>
                <w:b/>
                <w:bCs/>
                <w:sz w:val="20"/>
                <w:szCs w:val="20"/>
              </w:rPr>
            </w:pPr>
            <w:r w:rsidRPr="00C41DF9">
              <w:rPr>
                <w:rFonts w:ascii="Times New Roman" w:hAnsi="Times New Roman" w:cs="Times New Roman"/>
                <w:b/>
                <w:bCs/>
                <w:sz w:val="20"/>
                <w:szCs w:val="20"/>
              </w:rPr>
              <w:t xml:space="preserve">index </w:t>
            </w:r>
          </w:p>
          <w:p w:rsidR="00DE3128" w:rsidRPr="00C41DF9" w:rsidP="00DE3128">
            <w:pPr>
              <w:jc w:val="center"/>
              <w:rPr>
                <w:rFonts w:ascii="Times New Roman" w:hAnsi="Times New Roman" w:cs="Times New Roman"/>
                <w:b/>
                <w:bCs/>
                <w:sz w:val="20"/>
                <w:szCs w:val="20"/>
              </w:rPr>
            </w:pPr>
            <w:r w:rsidRPr="00C41DF9">
              <w:rPr>
                <w:rFonts w:ascii="Times New Roman" w:hAnsi="Times New Roman" w:cs="Times New Roman"/>
                <w:b/>
                <w:bCs/>
                <w:sz w:val="20"/>
                <w:szCs w:val="20"/>
              </w:rPr>
              <w:t>2006/2005</w:t>
            </w:r>
          </w:p>
        </w:tc>
      </w:tr>
      <w:tr>
        <w:tblPrEx>
          <w:tblW w:w="7958" w:type="dxa"/>
          <w:jc w:val="center"/>
          <w:tblInd w:w="55" w:type="dxa"/>
          <w:tblLayout w:type="fixed"/>
          <w:tblCellMar>
            <w:left w:w="70" w:type="dxa"/>
            <w:right w:w="70" w:type="dxa"/>
          </w:tblCellMar>
        </w:tblPrEx>
        <w:trPr>
          <w:trHeight w:val="147"/>
          <w:jc w:val="center"/>
        </w:trPr>
        <w:tc>
          <w:tcPr>
            <w:tcW w:w="3009" w:type="dxa"/>
            <w:vMerge/>
            <w:tcBorders>
              <w:top w:val="single" w:sz="4" w:space="0" w:color="auto"/>
              <w:left w:val="single" w:sz="8" w:space="0" w:color="auto"/>
              <w:bottom w:val="single" w:sz="4" w:space="0" w:color="000000"/>
              <w:right w:val="single" w:sz="4" w:space="0" w:color="auto"/>
              <w:tl2br w:val="nil"/>
              <w:tr2bl w:val="nil"/>
            </w:tcBorders>
            <w:textDirection w:val="lrTb"/>
            <w:vAlign w:val="center"/>
          </w:tcPr>
          <w:p w:rsidR="00DE3128" w:rsidRPr="00C41DF9" w:rsidP="00DE3128">
            <w:pPr>
              <w:rPr>
                <w:rFonts w:ascii="Times New Roman" w:hAnsi="Times New Roman" w:cs="Times New Roman"/>
                <w:b/>
                <w:bCs/>
                <w:sz w:val="20"/>
                <w:szCs w:val="20"/>
              </w:rPr>
            </w:pPr>
          </w:p>
        </w:tc>
        <w:tc>
          <w:tcPr>
            <w:tcW w:w="1257"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293C61" w:rsidP="00DE3128">
            <w:pPr>
              <w:jc w:val="center"/>
              <w:rPr>
                <w:rFonts w:ascii="Times New Roman" w:hAnsi="Times New Roman" w:cs="Times New Roman"/>
                <w:b/>
                <w:sz w:val="18"/>
                <w:szCs w:val="18"/>
              </w:rPr>
            </w:pPr>
            <w:r w:rsidRPr="00293C61">
              <w:rPr>
                <w:rFonts w:ascii="Times New Roman" w:hAnsi="Times New Roman" w:cs="Times New Roman"/>
                <w:b/>
                <w:sz w:val="18"/>
                <w:szCs w:val="18"/>
              </w:rPr>
              <w:t>1</w:t>
            </w:r>
          </w:p>
        </w:tc>
        <w:tc>
          <w:tcPr>
            <w:tcW w:w="1258"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293C61" w:rsidP="00DE3128">
            <w:pPr>
              <w:jc w:val="center"/>
              <w:rPr>
                <w:rFonts w:ascii="Times New Roman" w:hAnsi="Times New Roman" w:cs="Times New Roman"/>
                <w:b/>
                <w:sz w:val="18"/>
                <w:szCs w:val="18"/>
              </w:rPr>
            </w:pPr>
            <w:r w:rsidRPr="00293C61">
              <w:rPr>
                <w:rFonts w:ascii="Times New Roman" w:hAnsi="Times New Roman" w:cs="Times New Roman"/>
                <w:b/>
                <w:sz w:val="18"/>
                <w:szCs w:val="18"/>
              </w:rPr>
              <w:t>2</w:t>
            </w:r>
          </w:p>
        </w:tc>
        <w:tc>
          <w:tcPr>
            <w:tcW w:w="1217" w:type="dxa"/>
            <w:tcBorders>
              <w:top w:val="single" w:sz="4" w:space="0" w:color="auto"/>
              <w:left w:val="nil"/>
              <w:bottom w:val="single" w:sz="4" w:space="0" w:color="auto"/>
              <w:right w:val="single" w:sz="4" w:space="0" w:color="auto"/>
              <w:tl2br w:val="nil"/>
              <w:tr2bl w:val="nil"/>
            </w:tcBorders>
            <w:noWrap/>
            <w:textDirection w:val="lrTb"/>
            <w:vAlign w:val="center"/>
          </w:tcPr>
          <w:p w:rsidR="00DE3128" w:rsidRPr="00293C61" w:rsidP="00DE3128">
            <w:pPr>
              <w:jc w:val="center"/>
              <w:rPr>
                <w:rFonts w:ascii="Times New Roman" w:hAnsi="Times New Roman" w:cs="Times New Roman"/>
                <w:b/>
                <w:sz w:val="18"/>
                <w:szCs w:val="18"/>
              </w:rPr>
            </w:pPr>
            <w:r w:rsidRPr="00293C61">
              <w:rPr>
                <w:rFonts w:ascii="Times New Roman" w:hAnsi="Times New Roman" w:cs="Times New Roman"/>
                <w:b/>
                <w:sz w:val="18"/>
                <w:szCs w:val="18"/>
              </w:rPr>
              <w:t>3 = 2 - 1</w:t>
            </w:r>
          </w:p>
        </w:tc>
        <w:tc>
          <w:tcPr>
            <w:tcW w:w="1217" w:type="dxa"/>
            <w:tcBorders>
              <w:top w:val="single" w:sz="4" w:space="0" w:color="auto"/>
              <w:left w:val="nil"/>
              <w:bottom w:val="single" w:sz="4" w:space="0" w:color="auto"/>
              <w:right w:val="single" w:sz="8" w:space="0" w:color="auto"/>
              <w:tl2br w:val="nil"/>
              <w:tr2bl w:val="nil"/>
            </w:tcBorders>
            <w:noWrap/>
            <w:textDirection w:val="lrTb"/>
            <w:vAlign w:val="center"/>
          </w:tcPr>
          <w:p w:rsidR="00DE3128" w:rsidRPr="00293C61" w:rsidP="00DE3128">
            <w:pPr>
              <w:jc w:val="center"/>
              <w:rPr>
                <w:rFonts w:ascii="Times New Roman" w:hAnsi="Times New Roman" w:cs="Times New Roman"/>
                <w:b/>
                <w:sz w:val="18"/>
                <w:szCs w:val="18"/>
              </w:rPr>
            </w:pPr>
            <w:r w:rsidRPr="00293C61">
              <w:rPr>
                <w:rFonts w:ascii="Times New Roman" w:hAnsi="Times New Roman" w:cs="Times New Roman"/>
                <w:b/>
                <w:sz w:val="18"/>
                <w:szCs w:val="18"/>
              </w:rPr>
              <w:t>4 = 2/1*100</w:t>
            </w:r>
          </w:p>
        </w:tc>
      </w:tr>
      <w:tr>
        <w:tblPrEx>
          <w:tblW w:w="7958" w:type="dxa"/>
          <w:jc w:val="center"/>
          <w:tblInd w:w="55" w:type="dxa"/>
          <w:tblLayout w:type="fixed"/>
          <w:tblCellMar>
            <w:left w:w="70" w:type="dxa"/>
            <w:right w:w="70" w:type="dxa"/>
          </w:tblCellMar>
        </w:tblPrEx>
        <w:trPr>
          <w:trHeight w:val="118"/>
          <w:jc w:val="center"/>
        </w:trPr>
        <w:tc>
          <w:tcPr>
            <w:tcW w:w="3009" w:type="dxa"/>
            <w:tcBorders>
              <w:top w:val="nil"/>
              <w:left w:val="single" w:sz="8" w:space="0" w:color="auto"/>
              <w:bottom w:val="single" w:sz="4" w:space="0" w:color="auto"/>
              <w:right w:val="single" w:sz="4" w:space="0" w:color="auto"/>
              <w:tl2br w:val="nil"/>
              <w:tr2bl w:val="nil"/>
            </w:tcBorders>
            <w:noWrap/>
            <w:textDirection w:val="lrTb"/>
            <w:vAlign w:val="center"/>
          </w:tcPr>
          <w:p w:rsidR="00DE3128" w:rsidRPr="00C41DF9" w:rsidP="00DE3128">
            <w:pPr>
              <w:rPr>
                <w:rFonts w:ascii="Times New Roman" w:hAnsi="Times New Roman" w:cs="Times New Roman"/>
                <w:sz w:val="20"/>
                <w:szCs w:val="20"/>
              </w:rPr>
            </w:pPr>
            <w:r w:rsidRPr="00C41DF9">
              <w:rPr>
                <w:rFonts w:ascii="Times New Roman" w:hAnsi="Times New Roman" w:cs="Times New Roman"/>
                <w:sz w:val="20"/>
                <w:szCs w:val="20"/>
              </w:rPr>
              <w:t>Daň z dedičstva</w:t>
            </w:r>
          </w:p>
        </w:tc>
        <w:tc>
          <w:tcPr>
            <w:tcW w:w="1257" w:type="dxa"/>
            <w:tcBorders>
              <w:top w:val="nil"/>
              <w:left w:val="nil"/>
              <w:bottom w:val="single" w:sz="4" w:space="0" w:color="auto"/>
              <w:right w:val="single" w:sz="4" w:space="0" w:color="auto"/>
              <w:tl2br w:val="nil"/>
              <w:tr2bl w:val="nil"/>
            </w:tcBorders>
            <w:noWrap/>
            <w:textDirection w:val="lrTb"/>
            <w:vAlign w:val="center"/>
          </w:tcPr>
          <w:p w:rsidR="00DE3128" w:rsidRPr="00C41DF9" w:rsidP="00DE3128">
            <w:pPr>
              <w:jc w:val="right"/>
              <w:rPr>
                <w:rFonts w:ascii="Times New Roman" w:hAnsi="Times New Roman" w:cs="Times New Roman"/>
                <w:sz w:val="20"/>
                <w:szCs w:val="20"/>
              </w:rPr>
            </w:pPr>
            <w:r w:rsidRPr="00C41DF9">
              <w:rPr>
                <w:rFonts w:ascii="Times New Roman" w:hAnsi="Times New Roman" w:cs="Times New Roman"/>
                <w:sz w:val="20"/>
                <w:szCs w:val="20"/>
              </w:rPr>
              <w:t>9,4</w:t>
            </w:r>
          </w:p>
        </w:tc>
        <w:tc>
          <w:tcPr>
            <w:tcW w:w="1258" w:type="dxa"/>
            <w:tcBorders>
              <w:top w:val="nil"/>
              <w:left w:val="nil"/>
              <w:bottom w:val="single" w:sz="4" w:space="0" w:color="auto"/>
              <w:right w:val="single" w:sz="4" w:space="0" w:color="auto"/>
              <w:tl2br w:val="nil"/>
              <w:tr2bl w:val="nil"/>
            </w:tcBorders>
            <w:noWrap/>
            <w:textDirection w:val="lrTb"/>
            <w:vAlign w:val="center"/>
          </w:tcPr>
          <w:p w:rsidR="00DE3128" w:rsidRPr="00C41DF9" w:rsidP="00DE3128">
            <w:pPr>
              <w:jc w:val="right"/>
              <w:rPr>
                <w:rFonts w:ascii="Times New Roman" w:hAnsi="Times New Roman" w:cs="Times New Roman"/>
                <w:sz w:val="20"/>
                <w:szCs w:val="20"/>
              </w:rPr>
            </w:pPr>
            <w:r w:rsidRPr="00C41DF9">
              <w:rPr>
                <w:rFonts w:ascii="Times New Roman" w:hAnsi="Times New Roman" w:cs="Times New Roman"/>
                <w:sz w:val="20"/>
                <w:szCs w:val="20"/>
              </w:rPr>
              <w:t>6,7</w:t>
            </w:r>
          </w:p>
        </w:tc>
        <w:tc>
          <w:tcPr>
            <w:tcW w:w="1217" w:type="dxa"/>
            <w:tcBorders>
              <w:top w:val="nil"/>
              <w:left w:val="nil"/>
              <w:bottom w:val="single" w:sz="4" w:space="0" w:color="auto"/>
              <w:right w:val="single" w:sz="4" w:space="0" w:color="auto"/>
              <w:tl2br w:val="nil"/>
              <w:tr2bl w:val="nil"/>
            </w:tcBorders>
            <w:noWrap/>
            <w:textDirection w:val="lrTb"/>
            <w:vAlign w:val="center"/>
          </w:tcPr>
          <w:p w:rsidR="00DE3128" w:rsidRPr="00C41DF9" w:rsidP="00DE3128">
            <w:pPr>
              <w:jc w:val="right"/>
              <w:rPr>
                <w:rFonts w:ascii="Times New Roman" w:hAnsi="Times New Roman" w:cs="Times New Roman"/>
                <w:sz w:val="20"/>
                <w:szCs w:val="20"/>
              </w:rPr>
            </w:pPr>
            <w:r w:rsidRPr="00C41DF9">
              <w:rPr>
                <w:rFonts w:ascii="Times New Roman" w:hAnsi="Times New Roman" w:cs="Times New Roman"/>
                <w:sz w:val="20"/>
                <w:szCs w:val="20"/>
              </w:rPr>
              <w:t>-2,7</w:t>
            </w:r>
          </w:p>
        </w:tc>
        <w:tc>
          <w:tcPr>
            <w:tcW w:w="1217" w:type="dxa"/>
            <w:tcBorders>
              <w:top w:val="nil"/>
              <w:left w:val="nil"/>
              <w:bottom w:val="single" w:sz="4" w:space="0" w:color="auto"/>
              <w:right w:val="single" w:sz="8" w:space="0" w:color="auto"/>
              <w:tl2br w:val="nil"/>
              <w:tr2bl w:val="nil"/>
            </w:tcBorders>
            <w:noWrap/>
            <w:textDirection w:val="lrTb"/>
            <w:vAlign w:val="center"/>
          </w:tcPr>
          <w:p w:rsidR="00DE3128" w:rsidRPr="00C41DF9" w:rsidP="00DE3128">
            <w:pPr>
              <w:jc w:val="right"/>
              <w:rPr>
                <w:rFonts w:ascii="Times New Roman" w:hAnsi="Times New Roman" w:cs="Times New Roman"/>
                <w:sz w:val="20"/>
                <w:szCs w:val="20"/>
              </w:rPr>
            </w:pPr>
            <w:r w:rsidRPr="00C41DF9">
              <w:rPr>
                <w:rFonts w:ascii="Times New Roman" w:hAnsi="Times New Roman" w:cs="Times New Roman"/>
                <w:sz w:val="20"/>
                <w:szCs w:val="20"/>
              </w:rPr>
              <w:t>71,3</w:t>
            </w:r>
          </w:p>
        </w:tc>
      </w:tr>
      <w:tr>
        <w:tblPrEx>
          <w:tblW w:w="7958" w:type="dxa"/>
          <w:jc w:val="center"/>
          <w:tblInd w:w="55" w:type="dxa"/>
          <w:tblLayout w:type="fixed"/>
          <w:tblCellMar>
            <w:left w:w="70" w:type="dxa"/>
            <w:right w:w="70" w:type="dxa"/>
          </w:tblCellMar>
        </w:tblPrEx>
        <w:trPr>
          <w:trHeight w:val="70"/>
          <w:jc w:val="center"/>
        </w:trPr>
        <w:tc>
          <w:tcPr>
            <w:tcW w:w="3009" w:type="dxa"/>
            <w:tcBorders>
              <w:top w:val="nil"/>
              <w:left w:val="single" w:sz="8" w:space="0" w:color="auto"/>
              <w:bottom w:val="single" w:sz="4" w:space="0" w:color="auto"/>
              <w:right w:val="single" w:sz="4" w:space="0" w:color="auto"/>
              <w:tl2br w:val="nil"/>
              <w:tr2bl w:val="nil"/>
            </w:tcBorders>
            <w:noWrap/>
            <w:textDirection w:val="lrTb"/>
            <w:vAlign w:val="center"/>
          </w:tcPr>
          <w:p w:rsidR="00DE3128" w:rsidRPr="00C41DF9" w:rsidP="00DE3128">
            <w:pPr>
              <w:rPr>
                <w:rFonts w:ascii="Times New Roman" w:hAnsi="Times New Roman" w:cs="Times New Roman"/>
                <w:sz w:val="20"/>
                <w:szCs w:val="20"/>
              </w:rPr>
            </w:pPr>
            <w:r w:rsidRPr="00C41DF9">
              <w:rPr>
                <w:rFonts w:ascii="Times New Roman" w:hAnsi="Times New Roman" w:cs="Times New Roman"/>
                <w:sz w:val="20"/>
                <w:szCs w:val="20"/>
              </w:rPr>
              <w:t>Daň z darovania</w:t>
            </w:r>
          </w:p>
        </w:tc>
        <w:tc>
          <w:tcPr>
            <w:tcW w:w="1257" w:type="dxa"/>
            <w:tcBorders>
              <w:top w:val="nil"/>
              <w:left w:val="nil"/>
              <w:bottom w:val="single" w:sz="4" w:space="0" w:color="auto"/>
              <w:right w:val="single" w:sz="4" w:space="0" w:color="auto"/>
              <w:tl2br w:val="nil"/>
              <w:tr2bl w:val="nil"/>
            </w:tcBorders>
            <w:noWrap/>
            <w:textDirection w:val="lrTb"/>
            <w:vAlign w:val="center"/>
          </w:tcPr>
          <w:p w:rsidR="00DE3128" w:rsidRPr="00C41DF9" w:rsidP="00DE3128">
            <w:pPr>
              <w:jc w:val="right"/>
              <w:rPr>
                <w:rFonts w:ascii="Times New Roman" w:hAnsi="Times New Roman" w:cs="Times New Roman"/>
                <w:sz w:val="20"/>
                <w:szCs w:val="20"/>
              </w:rPr>
            </w:pPr>
            <w:r w:rsidRPr="00C41DF9">
              <w:rPr>
                <w:rFonts w:ascii="Times New Roman" w:hAnsi="Times New Roman" w:cs="Times New Roman"/>
                <w:sz w:val="20"/>
                <w:szCs w:val="20"/>
              </w:rPr>
              <w:t>15,4</w:t>
            </w:r>
          </w:p>
        </w:tc>
        <w:tc>
          <w:tcPr>
            <w:tcW w:w="1258" w:type="dxa"/>
            <w:tcBorders>
              <w:top w:val="nil"/>
              <w:left w:val="nil"/>
              <w:bottom w:val="single" w:sz="4" w:space="0" w:color="auto"/>
              <w:right w:val="single" w:sz="4" w:space="0" w:color="auto"/>
              <w:tl2br w:val="nil"/>
              <w:tr2bl w:val="nil"/>
            </w:tcBorders>
            <w:noWrap/>
            <w:textDirection w:val="lrTb"/>
            <w:vAlign w:val="center"/>
          </w:tcPr>
          <w:p w:rsidR="00DE3128" w:rsidRPr="00C41DF9" w:rsidP="00DE3128">
            <w:pPr>
              <w:jc w:val="right"/>
              <w:rPr>
                <w:rFonts w:ascii="Times New Roman" w:hAnsi="Times New Roman" w:cs="Times New Roman"/>
                <w:sz w:val="20"/>
                <w:szCs w:val="20"/>
              </w:rPr>
            </w:pPr>
            <w:r w:rsidRPr="00C41DF9">
              <w:rPr>
                <w:rFonts w:ascii="Times New Roman" w:hAnsi="Times New Roman" w:cs="Times New Roman"/>
                <w:sz w:val="20"/>
                <w:szCs w:val="20"/>
              </w:rPr>
              <w:t>4,9</w:t>
            </w:r>
          </w:p>
        </w:tc>
        <w:tc>
          <w:tcPr>
            <w:tcW w:w="1217" w:type="dxa"/>
            <w:tcBorders>
              <w:top w:val="nil"/>
              <w:left w:val="nil"/>
              <w:bottom w:val="single" w:sz="4" w:space="0" w:color="auto"/>
              <w:right w:val="single" w:sz="4" w:space="0" w:color="auto"/>
              <w:tl2br w:val="nil"/>
              <w:tr2bl w:val="nil"/>
            </w:tcBorders>
            <w:noWrap/>
            <w:textDirection w:val="lrTb"/>
            <w:vAlign w:val="center"/>
          </w:tcPr>
          <w:p w:rsidR="00DE3128" w:rsidRPr="00C41DF9" w:rsidP="00DE3128">
            <w:pPr>
              <w:jc w:val="right"/>
              <w:rPr>
                <w:rFonts w:ascii="Times New Roman" w:hAnsi="Times New Roman" w:cs="Times New Roman"/>
                <w:sz w:val="20"/>
                <w:szCs w:val="20"/>
              </w:rPr>
            </w:pPr>
            <w:r w:rsidRPr="00C41DF9">
              <w:rPr>
                <w:rFonts w:ascii="Times New Roman" w:hAnsi="Times New Roman" w:cs="Times New Roman"/>
                <w:sz w:val="20"/>
                <w:szCs w:val="20"/>
              </w:rPr>
              <w:t>-10,5</w:t>
            </w:r>
          </w:p>
        </w:tc>
        <w:tc>
          <w:tcPr>
            <w:tcW w:w="1217" w:type="dxa"/>
            <w:tcBorders>
              <w:top w:val="nil"/>
              <w:left w:val="nil"/>
              <w:bottom w:val="single" w:sz="4" w:space="0" w:color="auto"/>
              <w:right w:val="single" w:sz="8" w:space="0" w:color="auto"/>
              <w:tl2br w:val="nil"/>
              <w:tr2bl w:val="nil"/>
            </w:tcBorders>
            <w:noWrap/>
            <w:textDirection w:val="lrTb"/>
            <w:vAlign w:val="center"/>
          </w:tcPr>
          <w:p w:rsidR="00DE3128" w:rsidRPr="00C41DF9" w:rsidP="00DE3128">
            <w:pPr>
              <w:jc w:val="right"/>
              <w:rPr>
                <w:rFonts w:ascii="Times New Roman" w:hAnsi="Times New Roman" w:cs="Times New Roman"/>
                <w:sz w:val="20"/>
                <w:szCs w:val="20"/>
              </w:rPr>
            </w:pPr>
            <w:r w:rsidRPr="00C41DF9">
              <w:rPr>
                <w:rFonts w:ascii="Times New Roman" w:hAnsi="Times New Roman" w:cs="Times New Roman"/>
                <w:sz w:val="20"/>
                <w:szCs w:val="20"/>
              </w:rPr>
              <w:t>31,8</w:t>
            </w:r>
          </w:p>
        </w:tc>
      </w:tr>
      <w:tr>
        <w:tblPrEx>
          <w:tblW w:w="7958" w:type="dxa"/>
          <w:jc w:val="center"/>
          <w:tblInd w:w="55" w:type="dxa"/>
          <w:tblLayout w:type="fixed"/>
          <w:tblCellMar>
            <w:left w:w="70" w:type="dxa"/>
            <w:right w:w="70" w:type="dxa"/>
          </w:tblCellMar>
        </w:tblPrEx>
        <w:trPr>
          <w:trHeight w:val="181"/>
          <w:jc w:val="center"/>
        </w:trPr>
        <w:tc>
          <w:tcPr>
            <w:tcW w:w="3009" w:type="dxa"/>
            <w:tcBorders>
              <w:top w:val="nil"/>
              <w:left w:val="single" w:sz="8" w:space="0" w:color="auto"/>
              <w:bottom w:val="single" w:sz="4" w:space="0" w:color="auto"/>
              <w:right w:val="single" w:sz="4" w:space="0" w:color="auto"/>
              <w:tl2br w:val="nil"/>
              <w:tr2bl w:val="nil"/>
            </w:tcBorders>
            <w:noWrap/>
            <w:textDirection w:val="lrTb"/>
            <w:vAlign w:val="center"/>
          </w:tcPr>
          <w:p w:rsidR="00DE3128" w:rsidRPr="00C41DF9" w:rsidP="00DE3128">
            <w:pPr>
              <w:rPr>
                <w:rFonts w:ascii="Times New Roman" w:hAnsi="Times New Roman" w:cs="Times New Roman"/>
                <w:sz w:val="20"/>
                <w:szCs w:val="20"/>
              </w:rPr>
            </w:pPr>
            <w:r w:rsidRPr="00C41DF9">
              <w:rPr>
                <w:rFonts w:ascii="Times New Roman" w:hAnsi="Times New Roman" w:cs="Times New Roman"/>
                <w:sz w:val="20"/>
                <w:szCs w:val="20"/>
              </w:rPr>
              <w:t>Daň z prevodu a prechodu nehnuteľností</w:t>
            </w:r>
          </w:p>
        </w:tc>
        <w:tc>
          <w:tcPr>
            <w:tcW w:w="1257" w:type="dxa"/>
            <w:tcBorders>
              <w:top w:val="nil"/>
              <w:left w:val="nil"/>
              <w:bottom w:val="single" w:sz="4" w:space="0" w:color="auto"/>
              <w:right w:val="single" w:sz="4" w:space="0" w:color="auto"/>
              <w:tl2br w:val="nil"/>
              <w:tr2bl w:val="nil"/>
            </w:tcBorders>
            <w:noWrap/>
            <w:textDirection w:val="lrTb"/>
            <w:vAlign w:val="center"/>
          </w:tcPr>
          <w:p w:rsidR="00DE3128" w:rsidRPr="00C41DF9" w:rsidP="00DE3128">
            <w:pPr>
              <w:jc w:val="right"/>
              <w:rPr>
                <w:rFonts w:ascii="Times New Roman" w:hAnsi="Times New Roman" w:cs="Times New Roman"/>
                <w:sz w:val="20"/>
                <w:szCs w:val="20"/>
              </w:rPr>
            </w:pPr>
            <w:r w:rsidRPr="00C41DF9">
              <w:rPr>
                <w:rFonts w:ascii="Times New Roman" w:hAnsi="Times New Roman" w:cs="Times New Roman"/>
                <w:sz w:val="20"/>
                <w:szCs w:val="20"/>
              </w:rPr>
              <w:t>941,4</w:t>
            </w:r>
          </w:p>
        </w:tc>
        <w:tc>
          <w:tcPr>
            <w:tcW w:w="1258" w:type="dxa"/>
            <w:tcBorders>
              <w:top w:val="nil"/>
              <w:left w:val="nil"/>
              <w:bottom w:val="single" w:sz="4" w:space="0" w:color="auto"/>
              <w:right w:val="single" w:sz="4" w:space="0" w:color="auto"/>
              <w:tl2br w:val="nil"/>
              <w:tr2bl w:val="nil"/>
            </w:tcBorders>
            <w:noWrap/>
            <w:textDirection w:val="lrTb"/>
            <w:vAlign w:val="center"/>
          </w:tcPr>
          <w:p w:rsidR="00DE3128" w:rsidRPr="00C41DF9" w:rsidP="00DE3128">
            <w:pPr>
              <w:jc w:val="right"/>
              <w:rPr>
                <w:rFonts w:ascii="Times New Roman" w:hAnsi="Times New Roman" w:cs="Times New Roman"/>
                <w:sz w:val="20"/>
                <w:szCs w:val="20"/>
              </w:rPr>
            </w:pPr>
            <w:r w:rsidRPr="00C41DF9">
              <w:rPr>
                <w:rFonts w:ascii="Times New Roman" w:hAnsi="Times New Roman" w:cs="Times New Roman"/>
                <w:sz w:val="20"/>
                <w:szCs w:val="20"/>
              </w:rPr>
              <w:t>315,8</w:t>
            </w:r>
          </w:p>
        </w:tc>
        <w:tc>
          <w:tcPr>
            <w:tcW w:w="1217" w:type="dxa"/>
            <w:tcBorders>
              <w:top w:val="nil"/>
              <w:left w:val="nil"/>
              <w:bottom w:val="single" w:sz="4" w:space="0" w:color="auto"/>
              <w:right w:val="single" w:sz="4" w:space="0" w:color="auto"/>
              <w:tl2br w:val="nil"/>
              <w:tr2bl w:val="nil"/>
            </w:tcBorders>
            <w:noWrap/>
            <w:textDirection w:val="lrTb"/>
            <w:vAlign w:val="center"/>
          </w:tcPr>
          <w:p w:rsidR="00DE3128" w:rsidRPr="00C41DF9" w:rsidP="00DE3128">
            <w:pPr>
              <w:jc w:val="right"/>
              <w:rPr>
                <w:rFonts w:ascii="Times New Roman" w:hAnsi="Times New Roman" w:cs="Times New Roman"/>
                <w:sz w:val="20"/>
                <w:szCs w:val="20"/>
              </w:rPr>
            </w:pPr>
            <w:r w:rsidRPr="00C41DF9">
              <w:rPr>
                <w:rFonts w:ascii="Times New Roman" w:hAnsi="Times New Roman" w:cs="Times New Roman"/>
                <w:sz w:val="20"/>
                <w:szCs w:val="20"/>
              </w:rPr>
              <w:t>-625,6</w:t>
            </w:r>
          </w:p>
        </w:tc>
        <w:tc>
          <w:tcPr>
            <w:tcW w:w="1217" w:type="dxa"/>
            <w:tcBorders>
              <w:top w:val="nil"/>
              <w:left w:val="nil"/>
              <w:bottom w:val="single" w:sz="4" w:space="0" w:color="auto"/>
              <w:right w:val="single" w:sz="8" w:space="0" w:color="auto"/>
              <w:tl2br w:val="nil"/>
              <w:tr2bl w:val="nil"/>
            </w:tcBorders>
            <w:noWrap/>
            <w:textDirection w:val="lrTb"/>
            <w:vAlign w:val="center"/>
          </w:tcPr>
          <w:p w:rsidR="00DE3128" w:rsidRPr="00C41DF9" w:rsidP="00DE3128">
            <w:pPr>
              <w:jc w:val="right"/>
              <w:rPr>
                <w:rFonts w:ascii="Times New Roman" w:hAnsi="Times New Roman" w:cs="Times New Roman"/>
                <w:sz w:val="20"/>
                <w:szCs w:val="20"/>
              </w:rPr>
            </w:pPr>
            <w:r w:rsidRPr="00C41DF9">
              <w:rPr>
                <w:rFonts w:ascii="Times New Roman" w:hAnsi="Times New Roman" w:cs="Times New Roman"/>
                <w:sz w:val="20"/>
                <w:szCs w:val="20"/>
              </w:rPr>
              <w:t>33,5</w:t>
            </w:r>
          </w:p>
        </w:tc>
      </w:tr>
      <w:tr>
        <w:tblPrEx>
          <w:tblW w:w="7958" w:type="dxa"/>
          <w:jc w:val="center"/>
          <w:tblInd w:w="55" w:type="dxa"/>
          <w:tblLayout w:type="fixed"/>
          <w:tblCellMar>
            <w:left w:w="70" w:type="dxa"/>
            <w:right w:w="70" w:type="dxa"/>
          </w:tblCellMar>
        </w:tblPrEx>
        <w:trPr>
          <w:trHeight w:val="79"/>
          <w:jc w:val="center"/>
        </w:trPr>
        <w:tc>
          <w:tcPr>
            <w:tcW w:w="3009" w:type="dxa"/>
            <w:tcBorders>
              <w:top w:val="single" w:sz="4" w:space="0" w:color="auto"/>
              <w:left w:val="single" w:sz="8" w:space="0" w:color="auto"/>
              <w:bottom w:val="double" w:sz="6" w:space="0" w:color="auto"/>
              <w:right w:val="single" w:sz="4" w:space="0" w:color="auto"/>
              <w:tl2br w:val="nil"/>
              <w:tr2bl w:val="nil"/>
            </w:tcBorders>
            <w:noWrap/>
            <w:textDirection w:val="lrTb"/>
            <w:vAlign w:val="center"/>
          </w:tcPr>
          <w:p w:rsidR="00DE3128" w:rsidRPr="00C41DF9" w:rsidP="00DE3128">
            <w:pPr>
              <w:rPr>
                <w:rFonts w:ascii="Times New Roman" w:hAnsi="Times New Roman" w:cs="Times New Roman"/>
                <w:b/>
                <w:bCs/>
                <w:sz w:val="20"/>
                <w:szCs w:val="20"/>
              </w:rPr>
            </w:pPr>
            <w:r w:rsidRPr="00C41DF9">
              <w:rPr>
                <w:rFonts w:ascii="Times New Roman" w:hAnsi="Times New Roman" w:cs="Times New Roman"/>
                <w:b/>
                <w:bCs/>
                <w:sz w:val="20"/>
                <w:szCs w:val="20"/>
              </w:rPr>
              <w:t>Majetkové dane spolu</w:t>
            </w:r>
          </w:p>
        </w:tc>
        <w:tc>
          <w:tcPr>
            <w:tcW w:w="1257" w:type="dxa"/>
            <w:tcBorders>
              <w:top w:val="single" w:sz="4" w:space="0" w:color="auto"/>
              <w:left w:val="nil"/>
              <w:bottom w:val="double" w:sz="6" w:space="0" w:color="auto"/>
              <w:right w:val="single" w:sz="4" w:space="0" w:color="auto"/>
              <w:tl2br w:val="nil"/>
              <w:tr2bl w:val="nil"/>
            </w:tcBorders>
            <w:noWrap/>
            <w:textDirection w:val="lrTb"/>
            <w:vAlign w:val="center"/>
          </w:tcPr>
          <w:p w:rsidR="00DE3128" w:rsidRPr="00C41DF9" w:rsidP="00DE3128">
            <w:pPr>
              <w:jc w:val="right"/>
              <w:rPr>
                <w:rFonts w:ascii="Times New Roman" w:hAnsi="Times New Roman" w:cs="Times New Roman"/>
                <w:b/>
                <w:bCs/>
                <w:sz w:val="20"/>
                <w:szCs w:val="20"/>
              </w:rPr>
            </w:pPr>
            <w:r w:rsidRPr="00C41DF9">
              <w:rPr>
                <w:rFonts w:ascii="Times New Roman" w:hAnsi="Times New Roman" w:cs="Times New Roman"/>
                <w:b/>
                <w:bCs/>
                <w:sz w:val="20"/>
                <w:szCs w:val="20"/>
              </w:rPr>
              <w:t>966,</w:t>
            </w:r>
            <w:r w:rsidRPr="00C41DF9">
              <w:rPr>
                <w:rFonts w:ascii="Times New Roman" w:hAnsi="Times New Roman" w:cs="Times New Roman"/>
                <w:b/>
                <w:bCs/>
                <w:sz w:val="20"/>
                <w:szCs w:val="20"/>
              </w:rPr>
              <w:t>2</w:t>
            </w:r>
          </w:p>
        </w:tc>
        <w:tc>
          <w:tcPr>
            <w:tcW w:w="1258" w:type="dxa"/>
            <w:tcBorders>
              <w:top w:val="single" w:sz="4" w:space="0" w:color="auto"/>
              <w:left w:val="nil"/>
              <w:bottom w:val="double" w:sz="6" w:space="0" w:color="auto"/>
              <w:right w:val="single" w:sz="4" w:space="0" w:color="auto"/>
              <w:tl2br w:val="nil"/>
              <w:tr2bl w:val="nil"/>
            </w:tcBorders>
            <w:noWrap/>
            <w:textDirection w:val="lrTb"/>
            <w:vAlign w:val="center"/>
          </w:tcPr>
          <w:p w:rsidR="00DE3128" w:rsidRPr="00C41DF9" w:rsidP="00DE3128">
            <w:pPr>
              <w:jc w:val="right"/>
              <w:rPr>
                <w:rFonts w:ascii="Times New Roman" w:hAnsi="Times New Roman" w:cs="Times New Roman"/>
                <w:b/>
                <w:bCs/>
                <w:sz w:val="20"/>
                <w:szCs w:val="20"/>
              </w:rPr>
            </w:pPr>
            <w:r w:rsidRPr="00C41DF9">
              <w:rPr>
                <w:rFonts w:ascii="Times New Roman" w:hAnsi="Times New Roman" w:cs="Times New Roman"/>
                <w:b/>
                <w:bCs/>
                <w:sz w:val="20"/>
                <w:szCs w:val="20"/>
              </w:rPr>
              <w:t>327,4</w:t>
            </w:r>
          </w:p>
        </w:tc>
        <w:tc>
          <w:tcPr>
            <w:tcW w:w="1217" w:type="dxa"/>
            <w:tcBorders>
              <w:top w:val="single" w:sz="4" w:space="0" w:color="auto"/>
              <w:left w:val="nil"/>
              <w:bottom w:val="double" w:sz="6" w:space="0" w:color="auto"/>
              <w:right w:val="single" w:sz="4" w:space="0" w:color="auto"/>
              <w:tl2br w:val="nil"/>
              <w:tr2bl w:val="nil"/>
            </w:tcBorders>
            <w:noWrap/>
            <w:textDirection w:val="lrTb"/>
            <w:vAlign w:val="center"/>
          </w:tcPr>
          <w:p w:rsidR="00DE3128" w:rsidRPr="00C41DF9" w:rsidP="00DE3128">
            <w:pPr>
              <w:jc w:val="right"/>
              <w:rPr>
                <w:rFonts w:ascii="Times New Roman" w:hAnsi="Times New Roman" w:cs="Times New Roman"/>
                <w:b/>
                <w:bCs/>
                <w:sz w:val="20"/>
                <w:szCs w:val="20"/>
              </w:rPr>
            </w:pPr>
            <w:r w:rsidRPr="00C41DF9">
              <w:rPr>
                <w:rFonts w:ascii="Times New Roman" w:hAnsi="Times New Roman" w:cs="Times New Roman"/>
                <w:b/>
                <w:bCs/>
                <w:sz w:val="20"/>
                <w:szCs w:val="20"/>
              </w:rPr>
              <w:t>-638,8</w:t>
            </w:r>
          </w:p>
        </w:tc>
        <w:tc>
          <w:tcPr>
            <w:tcW w:w="1217" w:type="dxa"/>
            <w:tcBorders>
              <w:top w:val="single" w:sz="4" w:space="0" w:color="auto"/>
              <w:left w:val="nil"/>
              <w:bottom w:val="double" w:sz="6" w:space="0" w:color="auto"/>
              <w:right w:val="single" w:sz="8" w:space="0" w:color="auto"/>
              <w:tl2br w:val="nil"/>
              <w:tr2bl w:val="nil"/>
            </w:tcBorders>
            <w:noWrap/>
            <w:textDirection w:val="lrTb"/>
            <w:vAlign w:val="center"/>
          </w:tcPr>
          <w:p w:rsidR="00DE3128" w:rsidRPr="00C41DF9" w:rsidP="00DE3128">
            <w:pPr>
              <w:jc w:val="right"/>
              <w:rPr>
                <w:rFonts w:ascii="Times New Roman" w:hAnsi="Times New Roman" w:cs="Times New Roman"/>
                <w:b/>
                <w:bCs/>
                <w:sz w:val="20"/>
                <w:szCs w:val="20"/>
              </w:rPr>
            </w:pPr>
            <w:r w:rsidRPr="00C41DF9">
              <w:rPr>
                <w:rFonts w:ascii="Times New Roman" w:hAnsi="Times New Roman" w:cs="Times New Roman"/>
                <w:b/>
                <w:bCs/>
                <w:sz w:val="20"/>
                <w:szCs w:val="20"/>
              </w:rPr>
              <w:t>33,9</w:t>
            </w:r>
          </w:p>
        </w:tc>
      </w:tr>
    </w:tbl>
    <w:p w:rsidR="00DE3128" w:rsidP="00DE3128">
      <w:pPr>
        <w:spacing w:before="120" w:after="120" w:line="360" w:lineRule="auto"/>
        <w:jc w:val="both"/>
        <w:rPr>
          <w:rFonts w:ascii="Times New Roman" w:hAnsi="Times New Roman" w:cs="Times New Roman"/>
          <w:sz w:val="20"/>
          <w:szCs w:val="20"/>
        </w:rPr>
      </w:pPr>
      <w:r w:rsidRPr="00164C8F">
        <w:rPr>
          <w:rFonts w:ascii="Times New Roman" w:hAnsi="Times New Roman" w:cs="Times New Roman"/>
        </w:rPr>
        <w:t xml:space="preserve">      </w:t>
      </w:r>
      <w:r>
        <w:rPr>
          <w:rFonts w:ascii="Times New Roman" w:hAnsi="Times New Roman" w:cs="Times New Roman"/>
        </w:rPr>
        <w:t xml:space="preserve">   </w:t>
      </w:r>
      <w:r w:rsidRPr="00CA660A">
        <w:rPr>
          <w:rFonts w:ascii="Times New Roman" w:hAnsi="Times New Roman" w:cs="Times New Roman"/>
          <w:sz w:val="20"/>
          <w:szCs w:val="20"/>
        </w:rPr>
        <w:t>Zdroj: Ministerstvo financií SR</w:t>
      </w:r>
    </w:p>
    <w:p w:rsidR="00C41DF9" w:rsidRPr="00CA660A" w:rsidP="00DE3128">
      <w:pPr>
        <w:spacing w:before="120" w:after="120" w:line="360" w:lineRule="auto"/>
        <w:jc w:val="both"/>
        <w:rPr>
          <w:rFonts w:ascii="Times New Roman" w:hAnsi="Times New Roman" w:cs="Times New Roman"/>
          <w:sz w:val="20"/>
          <w:szCs w:val="20"/>
        </w:rPr>
      </w:pPr>
    </w:p>
    <w:p w:rsidR="00DE3128" w:rsidRPr="00505905" w:rsidP="00DE3128">
      <w:pPr>
        <w:spacing w:line="360" w:lineRule="auto"/>
        <w:jc w:val="center"/>
        <w:rPr>
          <w:rFonts w:ascii="Times New Roman" w:hAnsi="Times New Roman" w:cs="Times New Roman"/>
          <w:b/>
        </w:rPr>
      </w:pPr>
      <w:r w:rsidRPr="00505905">
        <w:rPr>
          <w:rFonts w:ascii="Times New Roman" w:hAnsi="Times New Roman" w:cs="Times New Roman"/>
          <w:b/>
        </w:rPr>
        <w:t>2.1.1.3. Domáce dane na tovary a služby</w:t>
      </w:r>
    </w:p>
    <w:p w:rsidR="00DE3128" w:rsidP="00DE3128">
      <w:pPr>
        <w:spacing w:line="360" w:lineRule="auto"/>
        <w:ind w:firstLine="708"/>
        <w:jc w:val="both"/>
        <w:rPr>
          <w:rFonts w:ascii="Times New Roman" w:hAnsi="Times New Roman" w:cs="Times New Roman"/>
        </w:rPr>
      </w:pPr>
    </w:p>
    <w:p w:rsidR="00DE3128" w:rsidRPr="00505905" w:rsidP="00DE3128">
      <w:pPr>
        <w:spacing w:line="360" w:lineRule="auto"/>
        <w:ind w:firstLine="708"/>
        <w:jc w:val="both"/>
        <w:rPr>
          <w:rFonts w:ascii="Times New Roman" w:hAnsi="Times New Roman" w:cs="Times New Roman"/>
        </w:rPr>
      </w:pPr>
      <w:r w:rsidRPr="00505905">
        <w:rPr>
          <w:rFonts w:ascii="Times New Roman" w:hAnsi="Times New Roman" w:cs="Times New Roman"/>
        </w:rPr>
        <w:t>Domáce dane na tovary a služby majú na celkových daňových príjmoch najvyšší podiel. Rozpočtovali sa vo výške 171 913,0 mil. Sk</w:t>
      </w:r>
      <w:r>
        <w:rPr>
          <w:rFonts w:ascii="Times New Roman" w:hAnsi="Times New Roman" w:cs="Times New Roman"/>
        </w:rPr>
        <w:t>, s</w:t>
      </w:r>
      <w:r w:rsidRPr="00505905">
        <w:rPr>
          <w:rFonts w:ascii="Times New Roman" w:hAnsi="Times New Roman" w:cs="Times New Roman"/>
        </w:rPr>
        <w:t xml:space="preserve">kutočný výnos 180 591,5 mil. Sk je oproti rozpočtu vyšší o 8 678,5 mil. Sk </w:t>
      </w:r>
      <w:r>
        <w:rPr>
          <w:rFonts w:ascii="Times New Roman" w:hAnsi="Times New Roman" w:cs="Times New Roman"/>
        </w:rPr>
        <w:t>(</w:t>
      </w:r>
      <w:r w:rsidRPr="00505905">
        <w:rPr>
          <w:rFonts w:ascii="Times New Roman" w:hAnsi="Times New Roman" w:cs="Times New Roman"/>
        </w:rPr>
        <w:t>plnenie na 105,0 %</w:t>
      </w:r>
      <w:r>
        <w:rPr>
          <w:rFonts w:ascii="Times New Roman" w:hAnsi="Times New Roman" w:cs="Times New Roman"/>
        </w:rPr>
        <w:t xml:space="preserve">) a medziročne </w:t>
      </w:r>
      <w:r w:rsidRPr="00505905">
        <w:rPr>
          <w:rFonts w:ascii="Times New Roman" w:hAnsi="Times New Roman" w:cs="Times New Roman"/>
        </w:rPr>
        <w:t>vyšší o 8 227,9 mil. Sk.</w:t>
      </w:r>
    </w:p>
    <w:p w:rsidR="00DE3128" w:rsidRPr="00505905" w:rsidP="00DE3128">
      <w:pPr>
        <w:spacing w:line="360" w:lineRule="auto"/>
        <w:ind w:firstLine="709"/>
        <w:jc w:val="both"/>
        <w:rPr>
          <w:rFonts w:ascii="Times New Roman" w:hAnsi="Times New Roman" w:cs="Times New Roman"/>
        </w:rPr>
      </w:pPr>
      <w:r w:rsidRPr="00505905">
        <w:rPr>
          <w:rFonts w:ascii="Wingdings" w:hAnsi="Wingdings" w:cs="Times New Roman"/>
        </w:rPr>
        <w:sym w:font="Wingdings" w:char="F0D8"/>
      </w:r>
      <w:r w:rsidRPr="00505905">
        <w:rPr>
          <w:rFonts w:ascii="Times New Roman" w:hAnsi="Times New Roman" w:cs="Times New Roman"/>
        </w:rPr>
        <w:t xml:space="preserve"> </w:t>
      </w:r>
      <w:r w:rsidRPr="00505905">
        <w:rPr>
          <w:rFonts w:ascii="Times New Roman" w:hAnsi="Times New Roman" w:cs="Times New Roman"/>
          <w:b/>
        </w:rPr>
        <w:t>Daň z pridanej hodnoty</w:t>
      </w:r>
      <w:r w:rsidRPr="00505905">
        <w:rPr>
          <w:rFonts w:ascii="Times New Roman" w:hAnsi="Times New Roman" w:cs="Times New Roman"/>
        </w:rPr>
        <w:t xml:space="preserve"> sa rozpočtovala sumou 119 997,0 mil. Sk a jej skutočné inkaso 128 462,9 mil. Sk predstavuje plnenie na 107,1 %. </w:t>
      </w:r>
      <w:r>
        <w:rPr>
          <w:rFonts w:ascii="Times New Roman" w:hAnsi="Times New Roman" w:cs="Times New Roman"/>
        </w:rPr>
        <w:t>V</w:t>
      </w:r>
      <w:r w:rsidRPr="00505905">
        <w:rPr>
          <w:rFonts w:ascii="Times New Roman" w:hAnsi="Times New Roman" w:cs="Times New Roman"/>
        </w:rPr>
        <w:t xml:space="preserve">ýnos dane bol o 8 465,9 mil. Sk vyšší než sa rozpočtovalo a o 6 033,8 mil. Sk vyšší než v roku 2005 (medziročný rast </w:t>
      </w:r>
      <w:r>
        <w:rPr>
          <w:rFonts w:ascii="Times New Roman" w:hAnsi="Times New Roman" w:cs="Times New Roman"/>
        </w:rPr>
        <w:t xml:space="preserve">o </w:t>
      </w:r>
      <w:r w:rsidRPr="00505905">
        <w:rPr>
          <w:rFonts w:ascii="Times New Roman" w:hAnsi="Times New Roman" w:cs="Times New Roman"/>
        </w:rPr>
        <w:t xml:space="preserve">4,9 %). V </w:t>
      </w:r>
      <w:r>
        <w:rPr>
          <w:rFonts w:ascii="Times New Roman" w:hAnsi="Times New Roman" w:cs="Times New Roman"/>
        </w:rPr>
        <w:t>inkase</w:t>
      </w:r>
      <w:r w:rsidRPr="00505905">
        <w:rPr>
          <w:rFonts w:ascii="Times New Roman" w:hAnsi="Times New Roman" w:cs="Times New Roman"/>
        </w:rPr>
        <w:t xml:space="preserve"> dane je zahrnutých aj 2,9 mil. Sk </w:t>
      </w:r>
      <w:r>
        <w:rPr>
          <w:rFonts w:ascii="Times New Roman" w:hAnsi="Times New Roman" w:cs="Times New Roman"/>
        </w:rPr>
        <w:t xml:space="preserve">z </w:t>
      </w:r>
      <w:r w:rsidRPr="00505905">
        <w:rPr>
          <w:rFonts w:ascii="Times New Roman" w:hAnsi="Times New Roman" w:cs="Times New Roman"/>
        </w:rPr>
        <w:t xml:space="preserve">dobehu nepriamych daní z predchádzajúcej daňovej sústavy platnej do konca roku 1992. </w:t>
      </w:r>
    </w:p>
    <w:p w:rsidR="00DE3128" w:rsidRPr="00505905" w:rsidP="00DE3128">
      <w:pPr>
        <w:spacing w:line="360" w:lineRule="auto"/>
        <w:ind w:firstLine="708"/>
        <w:jc w:val="both"/>
        <w:rPr>
          <w:rFonts w:ascii="Times New Roman" w:hAnsi="Times New Roman" w:cs="Times New Roman"/>
        </w:rPr>
      </w:pPr>
      <w:r w:rsidRPr="009C57A2">
        <w:rPr>
          <w:rFonts w:ascii="Times New Roman" w:hAnsi="Times New Roman" w:cs="Times New Roman"/>
        </w:rPr>
        <w:t>Na vý</w:t>
      </w:r>
      <w:r w:rsidRPr="009C57A2">
        <w:rPr>
          <w:rFonts w:ascii="Times New Roman" w:hAnsi="Times New Roman" w:cs="Times New Roman"/>
        </w:rPr>
        <w:t>nos</w:t>
      </w:r>
      <w:r>
        <w:rPr>
          <w:rFonts w:ascii="Times New Roman" w:hAnsi="Times New Roman" w:cs="Times New Roman"/>
        </w:rPr>
        <w:t xml:space="preserve"> dane</w:t>
      </w:r>
      <w:r w:rsidRPr="009C57A2">
        <w:rPr>
          <w:rFonts w:ascii="Times New Roman" w:hAnsi="Times New Roman" w:cs="Times New Roman"/>
        </w:rPr>
        <w:t xml:space="preserve"> z pridanej hodnoty nevplývali v roku 2006 významne žiadne</w:t>
      </w:r>
      <w:r w:rsidRPr="00505905">
        <w:rPr>
          <w:rFonts w:ascii="Times New Roman" w:hAnsi="Times New Roman" w:cs="Times New Roman"/>
        </w:rPr>
        <w:t xml:space="preserve"> legislatívne zmeny. Bol ovplyvnený jedine vývojom makroekonomického prostredia, najmä pozitívnym vývojom spotrebných výdavkov domácností.</w:t>
      </w:r>
    </w:p>
    <w:p w:rsidR="00DE3128" w:rsidRPr="00DD4BB9" w:rsidP="00DD4BB9">
      <w:pPr>
        <w:spacing w:line="360" w:lineRule="auto"/>
        <w:ind w:firstLine="709"/>
        <w:jc w:val="both"/>
        <w:rPr>
          <w:rFonts w:ascii="Times New Roman" w:hAnsi="Times New Roman" w:cs="Times New Roman"/>
        </w:rPr>
      </w:pPr>
      <w:r w:rsidRPr="00505905">
        <w:rPr>
          <w:rFonts w:ascii="Times New Roman" w:hAnsi="Times New Roman" w:cs="Times New Roman"/>
        </w:rPr>
        <w:t>Plnenie príjmov štátneho rozpočtu z dane z pridanej hodnoty daňovými a colnými úradmi bolo nasledovné (v mil. Sk):</w:t>
      </w:r>
    </w:p>
    <w:p w:rsidR="00DE3128" w:rsidRPr="00164C8F" w:rsidP="00DE3128">
      <w:pPr>
        <w:ind w:firstLine="709"/>
        <w:jc w:val="both"/>
        <w:rPr>
          <w:rFonts w:ascii="Times New Roman" w:hAnsi="Times New Roman" w:cs="Times New Roman"/>
          <w:highlight w:val="yellow"/>
        </w:rPr>
      </w:pPr>
    </w:p>
    <w:tbl>
      <w:tblPr>
        <w:tblW w:w="0" w:type="auto"/>
        <w:jc w:val="center"/>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Pr>
      <w:tblGrid>
        <w:gridCol w:w="1794"/>
        <w:gridCol w:w="1531"/>
        <w:gridCol w:w="1531"/>
        <w:gridCol w:w="2217"/>
      </w:tblGrid>
      <w:tr>
        <w:tblPrEx>
          <w:tblW w:w="0" w:type="auto"/>
          <w:jc w:val="center"/>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PrEx>
        <w:trPr>
          <w:trHeight w:val="345"/>
          <w:jc w:val="center"/>
        </w:trPr>
        <w:tc>
          <w:tcPr>
            <w:tcW w:w="1794"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DE3128" w:rsidRPr="00C41DF9" w:rsidP="00DE3128">
            <w:pPr>
              <w:jc w:val="right"/>
              <w:rPr>
                <w:rFonts w:ascii="Times New Roman" w:hAnsi="Times New Roman" w:cs="Times New Roman"/>
                <w:sz w:val="20"/>
                <w:szCs w:val="20"/>
                <w:highlight w:val="yellow"/>
              </w:rPr>
            </w:pPr>
          </w:p>
        </w:tc>
        <w:tc>
          <w:tcPr>
            <w:tcW w:w="1531"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DE3128" w:rsidRPr="00C41DF9" w:rsidP="00DE3128">
            <w:pPr>
              <w:jc w:val="center"/>
              <w:rPr>
                <w:rFonts w:ascii="Times New Roman" w:hAnsi="Times New Roman" w:cs="Times New Roman"/>
                <w:b/>
                <w:sz w:val="20"/>
                <w:szCs w:val="20"/>
              </w:rPr>
            </w:pPr>
            <w:r w:rsidRPr="00C41DF9">
              <w:rPr>
                <w:rFonts w:ascii="Times New Roman" w:hAnsi="Times New Roman" w:cs="Times New Roman"/>
                <w:b/>
                <w:sz w:val="20"/>
                <w:szCs w:val="20"/>
              </w:rPr>
              <w:t>2005</w:t>
            </w:r>
          </w:p>
        </w:tc>
        <w:tc>
          <w:tcPr>
            <w:tcW w:w="1531"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DE3128" w:rsidRPr="00C41DF9" w:rsidP="00DE3128">
            <w:pPr>
              <w:jc w:val="center"/>
              <w:rPr>
                <w:rFonts w:ascii="Times New Roman" w:hAnsi="Times New Roman" w:cs="Times New Roman"/>
                <w:b/>
                <w:sz w:val="20"/>
                <w:szCs w:val="20"/>
              </w:rPr>
            </w:pPr>
            <w:r w:rsidRPr="00C41DF9">
              <w:rPr>
                <w:rFonts w:ascii="Times New Roman" w:hAnsi="Times New Roman" w:cs="Times New Roman"/>
                <w:b/>
                <w:sz w:val="20"/>
                <w:szCs w:val="20"/>
              </w:rPr>
              <w:t>2006</w:t>
            </w:r>
          </w:p>
        </w:tc>
        <w:tc>
          <w:tcPr>
            <w:tcW w:w="2217" w:type="dxa"/>
            <w:tcBorders>
              <w:top w:val="single" w:sz="8" w:space="0" w:color="auto"/>
              <w:left w:val="single" w:sz="4" w:space="0" w:color="auto"/>
              <w:bottom w:val="single" w:sz="4" w:space="0" w:color="auto"/>
              <w:right w:val="single" w:sz="8" w:space="0" w:color="auto"/>
              <w:tl2br w:val="nil"/>
              <w:tr2bl w:val="nil"/>
            </w:tcBorders>
            <w:tcMar>
              <w:left w:w="28" w:type="dxa"/>
              <w:right w:w="28" w:type="dxa"/>
            </w:tcMar>
            <w:textDirection w:val="lrTb"/>
            <w:vAlign w:val="center"/>
          </w:tcPr>
          <w:p w:rsidR="00DE3128" w:rsidRPr="00C41DF9" w:rsidP="00DD4BB9">
            <w:pPr>
              <w:jc w:val="center"/>
              <w:rPr>
                <w:rFonts w:ascii="Times New Roman" w:hAnsi="Times New Roman" w:cs="Times New Roman"/>
                <w:b/>
                <w:sz w:val="20"/>
                <w:szCs w:val="20"/>
              </w:rPr>
            </w:pPr>
            <w:r w:rsidRPr="00C41DF9">
              <w:rPr>
                <w:rFonts w:ascii="Times New Roman" w:hAnsi="Times New Roman" w:cs="Times New Roman"/>
                <w:b/>
                <w:sz w:val="20"/>
                <w:szCs w:val="20"/>
              </w:rPr>
              <w:t xml:space="preserve">Rozdiel </w:t>
            </w:r>
            <w:r w:rsidRPr="00C41DF9" w:rsidR="00DD4BB9">
              <w:rPr>
                <w:rFonts w:ascii="Times New Roman" w:hAnsi="Times New Roman" w:cs="Times New Roman"/>
                <w:b/>
                <w:sz w:val="20"/>
                <w:szCs w:val="20"/>
              </w:rPr>
              <w:t xml:space="preserve"> </w:t>
            </w:r>
            <w:r w:rsidRPr="00C41DF9">
              <w:rPr>
                <w:rFonts w:ascii="Times New Roman" w:hAnsi="Times New Roman" w:cs="Times New Roman"/>
                <w:b/>
                <w:sz w:val="20"/>
                <w:szCs w:val="20"/>
              </w:rPr>
              <w:t>2006 - 2005</w:t>
            </w:r>
          </w:p>
        </w:tc>
      </w:tr>
      <w:tr>
        <w:tblPrEx>
          <w:tblW w:w="0" w:type="auto"/>
          <w:jc w:val="center"/>
        </w:tblPrEx>
        <w:trPr>
          <w:trHeight w:val="94"/>
          <w:jc w:val="center"/>
        </w:trPr>
        <w:tc>
          <w:tcPr>
            <w:tcW w:w="1794"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DE3128" w:rsidRPr="00C41DF9" w:rsidP="00DE3128">
            <w:pPr>
              <w:rPr>
                <w:rFonts w:ascii="Times New Roman" w:hAnsi="Times New Roman" w:cs="Times New Roman"/>
                <w:sz w:val="20"/>
                <w:szCs w:val="20"/>
              </w:rPr>
            </w:pPr>
            <w:r w:rsidRPr="00C41DF9">
              <w:rPr>
                <w:rFonts w:ascii="Times New Roman" w:hAnsi="Times New Roman" w:cs="Times New Roman"/>
                <w:sz w:val="20"/>
                <w:szCs w:val="20"/>
              </w:rPr>
              <w:t>Daňové úrady</w:t>
            </w:r>
          </w:p>
        </w:tc>
        <w:tc>
          <w:tcPr>
            <w:tcW w:w="15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C41DF9" w:rsidP="00DE3128">
            <w:pPr>
              <w:jc w:val="right"/>
              <w:rPr>
                <w:rFonts w:ascii="Times New Roman" w:hAnsi="Times New Roman" w:cs="Times New Roman"/>
                <w:sz w:val="20"/>
                <w:szCs w:val="20"/>
              </w:rPr>
            </w:pPr>
            <w:r w:rsidRPr="00C41DF9">
              <w:rPr>
                <w:rFonts w:ascii="Times New Roman" w:hAnsi="Times New Roman" w:cs="Times New Roman"/>
                <w:sz w:val="20"/>
                <w:szCs w:val="20"/>
              </w:rPr>
              <w:t>80 562,5</w:t>
            </w:r>
          </w:p>
        </w:tc>
        <w:tc>
          <w:tcPr>
            <w:tcW w:w="15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C41DF9" w:rsidP="00DE3128">
            <w:pPr>
              <w:jc w:val="right"/>
              <w:rPr>
                <w:rFonts w:ascii="Times New Roman" w:hAnsi="Times New Roman" w:cs="Times New Roman"/>
                <w:sz w:val="20"/>
                <w:szCs w:val="20"/>
              </w:rPr>
            </w:pPr>
            <w:r w:rsidRPr="00C41DF9">
              <w:rPr>
                <w:rFonts w:ascii="Times New Roman" w:hAnsi="Times New Roman" w:cs="Times New Roman"/>
                <w:sz w:val="20"/>
                <w:szCs w:val="20"/>
              </w:rPr>
              <w:t>73 367,3</w:t>
            </w:r>
          </w:p>
        </w:tc>
        <w:tc>
          <w:tcPr>
            <w:tcW w:w="221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DE3128" w:rsidRPr="00C41DF9" w:rsidP="00DE3128">
            <w:pPr>
              <w:jc w:val="right"/>
              <w:rPr>
                <w:rFonts w:ascii="Times New Roman" w:hAnsi="Times New Roman" w:cs="Times New Roman"/>
                <w:sz w:val="20"/>
                <w:szCs w:val="20"/>
              </w:rPr>
            </w:pPr>
            <w:r w:rsidRPr="00C41DF9">
              <w:rPr>
                <w:rFonts w:ascii="Times New Roman" w:hAnsi="Times New Roman" w:cs="Times New Roman"/>
                <w:sz w:val="20"/>
                <w:szCs w:val="20"/>
              </w:rPr>
              <w:t>-7 195,2</w:t>
            </w:r>
          </w:p>
        </w:tc>
      </w:tr>
      <w:tr>
        <w:tblPrEx>
          <w:tblW w:w="0" w:type="auto"/>
          <w:jc w:val="center"/>
        </w:tblPrEx>
        <w:trPr>
          <w:trHeight w:val="173"/>
          <w:jc w:val="center"/>
        </w:trPr>
        <w:tc>
          <w:tcPr>
            <w:tcW w:w="1794"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DE3128" w:rsidRPr="00C41DF9" w:rsidP="00DE3128">
            <w:pPr>
              <w:rPr>
                <w:rFonts w:ascii="Times New Roman" w:hAnsi="Times New Roman" w:cs="Times New Roman"/>
                <w:sz w:val="20"/>
                <w:szCs w:val="20"/>
              </w:rPr>
            </w:pPr>
            <w:r w:rsidRPr="00C41DF9">
              <w:rPr>
                <w:rFonts w:ascii="Times New Roman" w:hAnsi="Times New Roman" w:cs="Times New Roman"/>
                <w:sz w:val="20"/>
                <w:szCs w:val="20"/>
              </w:rPr>
              <w:t>Colné úrady</w:t>
            </w:r>
          </w:p>
        </w:tc>
        <w:tc>
          <w:tcPr>
            <w:tcW w:w="15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C41DF9" w:rsidP="00DE3128">
            <w:pPr>
              <w:jc w:val="right"/>
              <w:rPr>
                <w:rFonts w:ascii="Times New Roman" w:hAnsi="Times New Roman" w:cs="Times New Roman"/>
                <w:sz w:val="20"/>
                <w:szCs w:val="20"/>
              </w:rPr>
            </w:pPr>
            <w:r w:rsidRPr="00C41DF9">
              <w:rPr>
                <w:rFonts w:ascii="Times New Roman" w:hAnsi="Times New Roman" w:cs="Times New Roman"/>
                <w:sz w:val="20"/>
                <w:szCs w:val="20"/>
              </w:rPr>
              <w:t>41 866,6</w:t>
            </w:r>
          </w:p>
        </w:tc>
        <w:tc>
          <w:tcPr>
            <w:tcW w:w="15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E3128" w:rsidRPr="00C41DF9" w:rsidP="00DE3128">
            <w:pPr>
              <w:jc w:val="right"/>
              <w:rPr>
                <w:rFonts w:ascii="Times New Roman" w:hAnsi="Times New Roman" w:cs="Times New Roman"/>
                <w:sz w:val="20"/>
                <w:szCs w:val="20"/>
              </w:rPr>
            </w:pPr>
            <w:r w:rsidRPr="00C41DF9">
              <w:rPr>
                <w:rFonts w:ascii="Times New Roman" w:hAnsi="Times New Roman" w:cs="Times New Roman"/>
                <w:sz w:val="20"/>
                <w:szCs w:val="20"/>
              </w:rPr>
              <w:t>55 095,6</w:t>
            </w:r>
          </w:p>
        </w:tc>
        <w:tc>
          <w:tcPr>
            <w:tcW w:w="221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DE3128" w:rsidRPr="00C41DF9" w:rsidP="00DE3128">
            <w:pPr>
              <w:jc w:val="right"/>
              <w:rPr>
                <w:rFonts w:ascii="Times New Roman" w:hAnsi="Times New Roman" w:cs="Times New Roman"/>
                <w:sz w:val="20"/>
                <w:szCs w:val="20"/>
              </w:rPr>
            </w:pPr>
            <w:r w:rsidRPr="00C41DF9">
              <w:rPr>
                <w:rFonts w:ascii="Times New Roman" w:hAnsi="Times New Roman" w:cs="Times New Roman"/>
                <w:sz w:val="20"/>
                <w:szCs w:val="20"/>
              </w:rPr>
              <w:t>13 229,0</w:t>
            </w:r>
          </w:p>
        </w:tc>
      </w:tr>
      <w:tr>
        <w:tblPrEx>
          <w:tblW w:w="0" w:type="auto"/>
          <w:jc w:val="center"/>
        </w:tblPrEx>
        <w:trPr>
          <w:trHeight w:val="157"/>
          <w:jc w:val="center"/>
        </w:trPr>
        <w:tc>
          <w:tcPr>
            <w:tcW w:w="1794" w:type="dxa"/>
            <w:tcBorders>
              <w:top w:val="single" w:sz="4" w:space="0" w:color="auto"/>
              <w:left w:val="single" w:sz="8" w:space="0" w:color="auto"/>
              <w:bottom w:val="double" w:sz="6" w:space="0" w:color="auto"/>
              <w:right w:val="single" w:sz="4" w:space="0" w:color="auto"/>
              <w:tl2br w:val="nil"/>
              <w:tr2bl w:val="nil"/>
            </w:tcBorders>
            <w:textDirection w:val="lrTb"/>
            <w:vAlign w:val="center"/>
          </w:tcPr>
          <w:p w:rsidR="00DE3128" w:rsidRPr="00C41DF9" w:rsidP="00DE3128">
            <w:pPr>
              <w:rPr>
                <w:rFonts w:ascii="Times New Roman" w:hAnsi="Times New Roman" w:cs="Times New Roman"/>
                <w:b/>
                <w:sz w:val="20"/>
                <w:szCs w:val="20"/>
              </w:rPr>
            </w:pPr>
            <w:r w:rsidRPr="00C41DF9">
              <w:rPr>
                <w:rFonts w:ascii="Times New Roman" w:hAnsi="Times New Roman" w:cs="Times New Roman"/>
                <w:b/>
                <w:sz w:val="20"/>
                <w:szCs w:val="20"/>
              </w:rPr>
              <w:t>Spolu</w:t>
            </w:r>
          </w:p>
        </w:tc>
        <w:tc>
          <w:tcPr>
            <w:tcW w:w="1531"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DE3128" w:rsidRPr="00C41DF9" w:rsidP="00DE3128">
            <w:pPr>
              <w:jc w:val="right"/>
              <w:rPr>
                <w:rFonts w:ascii="Times New Roman" w:hAnsi="Times New Roman" w:cs="Times New Roman"/>
                <w:b/>
                <w:sz w:val="20"/>
                <w:szCs w:val="20"/>
              </w:rPr>
            </w:pPr>
            <w:r w:rsidRPr="00C41DF9">
              <w:rPr>
                <w:rFonts w:ascii="Times New Roman" w:hAnsi="Times New Roman" w:cs="Times New Roman"/>
                <w:b/>
                <w:sz w:val="20"/>
                <w:szCs w:val="20"/>
              </w:rPr>
              <w:t>122 429,1</w:t>
            </w:r>
          </w:p>
        </w:tc>
        <w:tc>
          <w:tcPr>
            <w:tcW w:w="1531"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DE3128" w:rsidRPr="00C41DF9" w:rsidP="00DE3128">
            <w:pPr>
              <w:jc w:val="right"/>
              <w:rPr>
                <w:rFonts w:ascii="Times New Roman" w:hAnsi="Times New Roman" w:cs="Times New Roman"/>
                <w:b/>
                <w:sz w:val="20"/>
                <w:szCs w:val="20"/>
              </w:rPr>
            </w:pPr>
            <w:r w:rsidRPr="00C41DF9">
              <w:rPr>
                <w:rFonts w:ascii="Times New Roman" w:hAnsi="Times New Roman" w:cs="Times New Roman"/>
                <w:b/>
                <w:sz w:val="20"/>
                <w:szCs w:val="20"/>
              </w:rPr>
              <w:t>128 462,9</w:t>
            </w:r>
          </w:p>
        </w:tc>
        <w:tc>
          <w:tcPr>
            <w:tcW w:w="2217" w:type="dxa"/>
            <w:tcBorders>
              <w:top w:val="single" w:sz="4" w:space="0" w:color="auto"/>
              <w:left w:val="single" w:sz="4" w:space="0" w:color="auto"/>
              <w:bottom w:val="double" w:sz="6" w:space="0" w:color="auto"/>
              <w:right w:val="single" w:sz="8" w:space="0" w:color="auto"/>
              <w:tl2br w:val="nil"/>
              <w:tr2bl w:val="nil"/>
            </w:tcBorders>
            <w:textDirection w:val="lrTb"/>
            <w:vAlign w:val="center"/>
          </w:tcPr>
          <w:p w:rsidR="00DE3128" w:rsidRPr="00C41DF9" w:rsidP="00DE3128">
            <w:pPr>
              <w:jc w:val="right"/>
              <w:rPr>
                <w:rFonts w:ascii="Times New Roman" w:hAnsi="Times New Roman" w:cs="Times New Roman"/>
                <w:b/>
                <w:sz w:val="20"/>
                <w:szCs w:val="20"/>
              </w:rPr>
            </w:pPr>
            <w:r w:rsidRPr="00C41DF9">
              <w:rPr>
                <w:rFonts w:ascii="Times New Roman" w:hAnsi="Times New Roman" w:cs="Times New Roman"/>
                <w:b/>
                <w:sz w:val="20"/>
                <w:szCs w:val="20"/>
              </w:rPr>
              <w:t>6 033,8</w:t>
            </w:r>
          </w:p>
        </w:tc>
      </w:tr>
    </w:tbl>
    <w:p w:rsidR="00DE3128" w:rsidRPr="00DE12CB" w:rsidP="00DE12CB">
      <w:pPr>
        <w:spacing w:before="120"/>
        <w:jc w:val="both"/>
        <w:rPr>
          <w:rFonts w:ascii="Times New Roman" w:hAnsi="Times New Roman" w:cs="Times New Roman"/>
          <w:sz w:val="20"/>
          <w:szCs w:val="20"/>
        </w:rPr>
      </w:pPr>
      <w:r w:rsidRPr="00164C8F">
        <w:rPr>
          <w:rFonts w:ascii="Times New Roman" w:hAnsi="Times New Roman" w:cs="Times New Roman"/>
        </w:rPr>
        <w:t xml:space="preserve">         </w:t>
      </w:r>
      <w:r w:rsidR="00F11585">
        <w:rPr>
          <w:rFonts w:ascii="Times New Roman" w:hAnsi="Times New Roman" w:cs="Times New Roman"/>
        </w:rPr>
        <w:t xml:space="preserve">        </w:t>
      </w:r>
      <w:r w:rsidRPr="00CA660A">
        <w:rPr>
          <w:rFonts w:ascii="Times New Roman" w:hAnsi="Times New Roman" w:cs="Times New Roman"/>
          <w:sz w:val="20"/>
          <w:szCs w:val="20"/>
        </w:rPr>
        <w:t>Zdroj: Daňové riaditeľstv</w:t>
      </w:r>
      <w:r w:rsidRPr="00CA660A">
        <w:rPr>
          <w:rFonts w:ascii="Times New Roman" w:hAnsi="Times New Roman" w:cs="Times New Roman"/>
          <w:sz w:val="20"/>
          <w:szCs w:val="20"/>
        </w:rPr>
        <w:t>o SR</w:t>
      </w:r>
    </w:p>
    <w:tbl>
      <w:tblPr>
        <w:tblpPr w:leftFromText="141" w:rightFromText="141" w:vertAnchor="text" w:horzAnchor="margin" w:tblpY="2283"/>
        <w:tblW w:w="9748"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Pr>
      <w:tblGrid>
        <w:gridCol w:w="2008"/>
        <w:gridCol w:w="1080"/>
        <w:gridCol w:w="1260"/>
        <w:gridCol w:w="1080"/>
        <w:gridCol w:w="1080"/>
        <w:gridCol w:w="720"/>
        <w:gridCol w:w="1440"/>
        <w:gridCol w:w="1080"/>
      </w:tblGrid>
      <w:tr>
        <w:tblPrEx>
          <w:tblW w:w="9748"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PrEx>
        <w:trPr>
          <w:trHeight w:hRule="exact" w:val="366"/>
        </w:trPr>
        <w:tc>
          <w:tcPr>
            <w:tcW w:w="2008" w:type="dxa"/>
            <w:vMerge w:val="restart"/>
            <w:tcBorders>
              <w:top w:val="single" w:sz="8" w:space="0" w:color="auto"/>
              <w:left w:val="single" w:sz="8" w:space="0" w:color="auto"/>
              <w:bottom w:val="single" w:sz="4" w:space="0" w:color="auto"/>
              <w:right w:val="single" w:sz="4" w:space="0" w:color="auto"/>
              <w:tl2br w:val="nil"/>
              <w:tr2bl w:val="nil"/>
            </w:tcBorders>
            <w:tcMar>
              <w:left w:w="28" w:type="dxa"/>
              <w:right w:w="28" w:type="dxa"/>
            </w:tcMar>
            <w:textDirection w:val="lrTb"/>
            <w:vAlign w:val="center"/>
          </w:tcPr>
          <w:p w:rsidR="004A3955" w:rsidRPr="00C41DF9" w:rsidP="004A3955">
            <w:pPr>
              <w:spacing w:before="120" w:after="120" w:line="360" w:lineRule="auto"/>
              <w:jc w:val="center"/>
              <w:rPr>
                <w:rFonts w:ascii="Times New Roman" w:hAnsi="Times New Roman" w:cs="Times New Roman"/>
                <w:b/>
                <w:sz w:val="20"/>
                <w:szCs w:val="20"/>
              </w:rPr>
            </w:pPr>
            <w:r w:rsidRPr="00C41DF9">
              <w:rPr>
                <w:rFonts w:ascii="Times New Roman" w:hAnsi="Times New Roman" w:cs="Times New Roman"/>
                <w:b/>
                <w:sz w:val="20"/>
                <w:szCs w:val="20"/>
              </w:rPr>
              <w:t>Druh spotrebnej dane</w:t>
            </w:r>
          </w:p>
        </w:tc>
        <w:tc>
          <w:tcPr>
            <w:tcW w:w="1080" w:type="dxa"/>
            <w:vMerge w:val="restart"/>
            <w:tcBorders>
              <w:top w:val="single" w:sz="8" w:space="0" w:color="auto"/>
              <w:left w:val="single" w:sz="4" w:space="0" w:color="auto"/>
              <w:bottom w:val="single" w:sz="4" w:space="0" w:color="auto"/>
              <w:right w:val="single" w:sz="4" w:space="0" w:color="auto"/>
              <w:tl2br w:val="nil"/>
              <w:tr2bl w:val="nil"/>
            </w:tcBorders>
            <w:tcMar>
              <w:left w:w="28" w:type="dxa"/>
              <w:right w:w="28" w:type="dxa"/>
            </w:tcMar>
            <w:textDirection w:val="lrTb"/>
            <w:vAlign w:val="center"/>
          </w:tcPr>
          <w:p w:rsidR="004A3955" w:rsidRPr="00C41DF9" w:rsidP="004A3955">
            <w:pPr>
              <w:jc w:val="center"/>
              <w:rPr>
                <w:rFonts w:ascii="Times New Roman" w:hAnsi="Times New Roman" w:cs="Times New Roman"/>
                <w:b/>
                <w:sz w:val="20"/>
                <w:szCs w:val="20"/>
              </w:rPr>
            </w:pPr>
            <w:r w:rsidRPr="00C41DF9">
              <w:rPr>
                <w:rFonts w:ascii="Times New Roman" w:hAnsi="Times New Roman" w:cs="Times New Roman"/>
                <w:b/>
                <w:sz w:val="20"/>
                <w:szCs w:val="20"/>
              </w:rPr>
              <w:t>Skutočnosť</w:t>
            </w:r>
          </w:p>
          <w:p w:rsidR="004A3955" w:rsidRPr="00C41DF9" w:rsidP="004A3955">
            <w:pPr>
              <w:spacing w:line="360" w:lineRule="auto"/>
              <w:jc w:val="center"/>
              <w:rPr>
                <w:rFonts w:ascii="Times New Roman" w:hAnsi="Times New Roman" w:cs="Times New Roman"/>
                <w:b/>
                <w:sz w:val="20"/>
                <w:szCs w:val="20"/>
              </w:rPr>
            </w:pPr>
            <w:r w:rsidRPr="00C41DF9">
              <w:rPr>
                <w:rFonts w:ascii="Times New Roman" w:hAnsi="Times New Roman" w:cs="Times New Roman"/>
                <w:b/>
                <w:sz w:val="20"/>
                <w:szCs w:val="20"/>
              </w:rPr>
              <w:t>2005</w:t>
            </w:r>
          </w:p>
        </w:tc>
        <w:tc>
          <w:tcPr>
            <w:tcW w:w="2340" w:type="dxa"/>
            <w:gridSpan w:val="2"/>
            <w:tcBorders>
              <w:top w:val="single" w:sz="8" w:space="0" w:color="auto"/>
              <w:left w:val="single" w:sz="4" w:space="0" w:color="auto"/>
              <w:bottom w:val="single" w:sz="4" w:space="0" w:color="auto"/>
              <w:right w:val="single" w:sz="4" w:space="0" w:color="auto"/>
              <w:tl2br w:val="nil"/>
              <w:tr2bl w:val="nil"/>
            </w:tcBorders>
            <w:tcMar>
              <w:left w:w="28" w:type="dxa"/>
              <w:bottom w:w="57" w:type="dxa"/>
              <w:right w:w="28" w:type="dxa"/>
            </w:tcMar>
            <w:textDirection w:val="lrTb"/>
            <w:vAlign w:val="center"/>
          </w:tcPr>
          <w:p w:rsidR="004A3955" w:rsidRPr="00C41DF9" w:rsidP="004A3955">
            <w:pPr>
              <w:spacing w:before="120" w:after="120" w:line="360" w:lineRule="auto"/>
              <w:jc w:val="center"/>
              <w:rPr>
                <w:rFonts w:ascii="Times New Roman" w:hAnsi="Times New Roman" w:cs="Times New Roman"/>
                <w:b/>
                <w:sz w:val="20"/>
                <w:szCs w:val="20"/>
              </w:rPr>
            </w:pPr>
            <w:r w:rsidRPr="00C41DF9">
              <w:rPr>
                <w:rFonts w:ascii="Times New Roman" w:hAnsi="Times New Roman" w:cs="Times New Roman"/>
                <w:b/>
                <w:sz w:val="20"/>
                <w:szCs w:val="20"/>
              </w:rPr>
              <w:t>Rozpočet 2006</w:t>
            </w:r>
          </w:p>
        </w:tc>
        <w:tc>
          <w:tcPr>
            <w:tcW w:w="1080" w:type="dxa"/>
            <w:vMerge w:val="restart"/>
            <w:tcBorders>
              <w:top w:val="single" w:sz="8" w:space="0" w:color="auto"/>
              <w:left w:val="single" w:sz="4" w:space="0" w:color="auto"/>
              <w:bottom w:val="single" w:sz="4" w:space="0" w:color="auto"/>
              <w:right w:val="single" w:sz="4" w:space="0" w:color="auto"/>
              <w:tl2br w:val="nil"/>
              <w:tr2bl w:val="nil"/>
            </w:tcBorders>
            <w:tcMar>
              <w:left w:w="28" w:type="dxa"/>
              <w:right w:w="28" w:type="dxa"/>
            </w:tcMar>
            <w:textDirection w:val="lrTb"/>
            <w:vAlign w:val="center"/>
          </w:tcPr>
          <w:p w:rsidR="004A3955" w:rsidRPr="00C41DF9" w:rsidP="004A3955">
            <w:pPr>
              <w:jc w:val="center"/>
              <w:rPr>
                <w:rFonts w:ascii="Times New Roman" w:hAnsi="Times New Roman" w:cs="Times New Roman"/>
                <w:b/>
                <w:sz w:val="20"/>
                <w:szCs w:val="20"/>
              </w:rPr>
            </w:pPr>
            <w:r w:rsidRPr="00C41DF9">
              <w:rPr>
                <w:rFonts w:ascii="Times New Roman" w:hAnsi="Times New Roman" w:cs="Times New Roman"/>
                <w:b/>
                <w:sz w:val="20"/>
                <w:szCs w:val="20"/>
              </w:rPr>
              <w:t>Skutočnosť</w:t>
            </w:r>
          </w:p>
          <w:p w:rsidR="004A3955" w:rsidRPr="00C41DF9" w:rsidP="004A3955">
            <w:pPr>
              <w:jc w:val="center"/>
              <w:rPr>
                <w:rFonts w:ascii="Times New Roman" w:hAnsi="Times New Roman" w:cs="Times New Roman"/>
                <w:b/>
                <w:sz w:val="20"/>
                <w:szCs w:val="20"/>
              </w:rPr>
            </w:pPr>
            <w:r w:rsidRPr="00C41DF9">
              <w:rPr>
                <w:rFonts w:ascii="Times New Roman" w:hAnsi="Times New Roman" w:cs="Times New Roman"/>
                <w:b/>
                <w:sz w:val="20"/>
                <w:szCs w:val="20"/>
              </w:rPr>
              <w:t>2006</w:t>
            </w:r>
          </w:p>
        </w:tc>
        <w:tc>
          <w:tcPr>
            <w:tcW w:w="720" w:type="dxa"/>
            <w:vMerge w:val="restart"/>
            <w:tcBorders>
              <w:top w:val="single" w:sz="8" w:space="0" w:color="auto"/>
              <w:left w:val="single" w:sz="4" w:space="0" w:color="auto"/>
              <w:bottom w:val="single" w:sz="4" w:space="0" w:color="auto"/>
              <w:right w:val="single" w:sz="4" w:space="0" w:color="auto"/>
              <w:tl2br w:val="nil"/>
              <w:tr2bl w:val="nil"/>
            </w:tcBorders>
            <w:tcMar>
              <w:left w:w="28" w:type="dxa"/>
              <w:right w:w="28" w:type="dxa"/>
            </w:tcMar>
            <w:textDirection w:val="lrTb"/>
            <w:vAlign w:val="center"/>
          </w:tcPr>
          <w:p w:rsidR="004A3955" w:rsidRPr="00C41DF9" w:rsidP="004A3955">
            <w:pPr>
              <w:spacing w:line="360" w:lineRule="auto"/>
              <w:jc w:val="center"/>
              <w:rPr>
                <w:rFonts w:ascii="Times New Roman" w:hAnsi="Times New Roman" w:cs="Times New Roman"/>
                <w:b/>
                <w:sz w:val="20"/>
                <w:szCs w:val="20"/>
              </w:rPr>
            </w:pPr>
            <w:r w:rsidRPr="00C41DF9">
              <w:rPr>
                <w:rFonts w:ascii="Times New Roman" w:hAnsi="Times New Roman" w:cs="Times New Roman"/>
                <w:b/>
                <w:sz w:val="20"/>
                <w:szCs w:val="20"/>
              </w:rPr>
              <w:t>Rozdiel</w:t>
            </w:r>
          </w:p>
        </w:tc>
        <w:tc>
          <w:tcPr>
            <w:tcW w:w="1440" w:type="dxa"/>
            <w:vMerge w:val="restart"/>
            <w:tcBorders>
              <w:top w:val="single" w:sz="8" w:space="0" w:color="auto"/>
              <w:left w:val="single" w:sz="4" w:space="0" w:color="auto"/>
              <w:bottom w:val="single" w:sz="4" w:space="0" w:color="auto"/>
              <w:right w:val="single" w:sz="4" w:space="0" w:color="auto"/>
              <w:tl2br w:val="nil"/>
              <w:tr2bl w:val="nil"/>
            </w:tcBorders>
            <w:tcMar>
              <w:left w:w="28" w:type="dxa"/>
              <w:right w:w="28" w:type="dxa"/>
            </w:tcMar>
            <w:textDirection w:val="lrTb"/>
            <w:vAlign w:val="center"/>
          </w:tcPr>
          <w:p w:rsidR="004A3955" w:rsidRPr="00C41DF9" w:rsidP="004A3955">
            <w:pPr>
              <w:jc w:val="center"/>
              <w:rPr>
                <w:rFonts w:ascii="Times New Roman" w:hAnsi="Times New Roman" w:cs="Times New Roman"/>
                <w:b/>
                <w:sz w:val="20"/>
                <w:szCs w:val="20"/>
              </w:rPr>
            </w:pPr>
            <w:r>
              <w:rPr>
                <w:rFonts w:ascii="Times New Roman" w:hAnsi="Times New Roman" w:cs="Times New Roman"/>
                <w:b/>
                <w:sz w:val="20"/>
                <w:szCs w:val="20"/>
              </w:rPr>
              <w:t>% plnenia upraveného</w:t>
            </w:r>
            <w:r w:rsidRPr="00C41DF9">
              <w:rPr>
                <w:rFonts w:ascii="Times New Roman" w:hAnsi="Times New Roman" w:cs="Times New Roman"/>
                <w:b/>
                <w:sz w:val="20"/>
                <w:szCs w:val="20"/>
              </w:rPr>
              <w:t xml:space="preserve"> rozp</w:t>
            </w:r>
            <w:r>
              <w:rPr>
                <w:rFonts w:ascii="Times New Roman" w:hAnsi="Times New Roman" w:cs="Times New Roman"/>
                <w:b/>
                <w:sz w:val="20"/>
                <w:szCs w:val="20"/>
              </w:rPr>
              <w:t>očtu</w:t>
            </w:r>
          </w:p>
        </w:tc>
        <w:tc>
          <w:tcPr>
            <w:tcW w:w="1080" w:type="dxa"/>
            <w:vMerge w:val="restart"/>
            <w:tcBorders>
              <w:top w:val="single" w:sz="8" w:space="0" w:color="auto"/>
              <w:left w:val="single" w:sz="4" w:space="0" w:color="auto"/>
              <w:bottom w:val="single" w:sz="4" w:space="0" w:color="auto"/>
              <w:right w:val="single" w:sz="8" w:space="0" w:color="auto"/>
              <w:tl2br w:val="nil"/>
              <w:tr2bl w:val="nil"/>
            </w:tcBorders>
            <w:tcMar>
              <w:left w:w="28" w:type="dxa"/>
              <w:right w:w="28" w:type="dxa"/>
            </w:tcMar>
            <w:textDirection w:val="lrTb"/>
            <w:vAlign w:val="center"/>
          </w:tcPr>
          <w:p w:rsidR="004A3955" w:rsidRPr="00C41DF9" w:rsidP="004A3955">
            <w:pPr>
              <w:jc w:val="center"/>
              <w:rPr>
                <w:rFonts w:ascii="Times New Roman" w:hAnsi="Times New Roman" w:cs="Times New Roman"/>
                <w:b/>
                <w:sz w:val="20"/>
                <w:szCs w:val="20"/>
              </w:rPr>
            </w:pPr>
            <w:r w:rsidRPr="00C41DF9">
              <w:rPr>
                <w:rFonts w:ascii="Times New Roman" w:hAnsi="Times New Roman" w:cs="Times New Roman"/>
                <w:b/>
                <w:sz w:val="20"/>
                <w:szCs w:val="20"/>
              </w:rPr>
              <w:t>Index 2006/2005</w:t>
            </w:r>
          </w:p>
        </w:tc>
      </w:tr>
      <w:tr>
        <w:tblPrEx>
          <w:tblW w:w="9748" w:type="dxa"/>
          <w:tblInd w:w="80" w:type="dxa"/>
          <w:tblLayout w:type="fixed"/>
        </w:tblPrEx>
        <w:trPr>
          <w:trHeight w:hRule="exact" w:val="481"/>
        </w:trPr>
        <w:tc>
          <w:tcPr>
            <w:tcW w:w="2008" w:type="dxa"/>
            <w:vMerge/>
            <w:tcBorders>
              <w:top w:val="single" w:sz="4" w:space="0" w:color="auto"/>
              <w:left w:val="single" w:sz="8" w:space="0" w:color="auto"/>
              <w:bottom w:val="single" w:sz="4" w:space="0" w:color="auto"/>
              <w:right w:val="single" w:sz="4" w:space="0" w:color="auto"/>
              <w:tl2br w:val="nil"/>
              <w:tr2bl w:val="nil"/>
            </w:tcBorders>
            <w:textDirection w:val="lrTb"/>
            <w:vAlign w:val="top"/>
          </w:tcPr>
          <w:p w:rsidR="004A3955" w:rsidRPr="00C41DF9" w:rsidP="004A3955">
            <w:pPr>
              <w:spacing w:before="120" w:after="120" w:line="360" w:lineRule="auto"/>
              <w:jc w:val="both"/>
              <w:rPr>
                <w:rFonts w:ascii="Times New Roman" w:hAnsi="Times New Roman" w:cs="Times New Roman"/>
                <w:sz w:val="20"/>
                <w:szCs w:val="20"/>
              </w:rPr>
            </w:pPr>
          </w:p>
        </w:tc>
        <w:tc>
          <w:tcPr>
            <w:tcW w:w="108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4A3955" w:rsidRPr="00C41DF9" w:rsidP="004A3955">
            <w:pPr>
              <w:spacing w:before="120" w:after="120" w:line="36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spacing w:line="360" w:lineRule="auto"/>
              <w:jc w:val="center"/>
              <w:rPr>
                <w:rFonts w:ascii="Times New Roman" w:hAnsi="Times New Roman" w:cs="Times New Roman"/>
                <w:b/>
                <w:sz w:val="20"/>
                <w:szCs w:val="20"/>
              </w:rPr>
            </w:pPr>
            <w:r>
              <w:rPr>
                <w:rFonts w:ascii="Times New Roman" w:hAnsi="Times New Roman" w:cs="Times New Roman"/>
                <w:b/>
                <w:sz w:val="20"/>
                <w:szCs w:val="20"/>
              </w:rPr>
              <w:t>S</w:t>
            </w:r>
            <w:r w:rsidRPr="00C41DF9">
              <w:rPr>
                <w:rFonts w:ascii="Times New Roman" w:hAnsi="Times New Roman" w:cs="Times New Roman"/>
                <w:b/>
                <w:sz w:val="20"/>
                <w:szCs w:val="20"/>
              </w:rPr>
              <w:t>chválený</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spacing w:line="360" w:lineRule="auto"/>
              <w:jc w:val="center"/>
              <w:rPr>
                <w:rFonts w:ascii="Times New Roman" w:hAnsi="Times New Roman" w:cs="Times New Roman"/>
                <w:b/>
                <w:sz w:val="20"/>
                <w:szCs w:val="20"/>
              </w:rPr>
            </w:pPr>
            <w:r>
              <w:rPr>
                <w:rFonts w:ascii="Times New Roman" w:hAnsi="Times New Roman" w:cs="Times New Roman"/>
                <w:b/>
                <w:sz w:val="20"/>
                <w:szCs w:val="20"/>
              </w:rPr>
              <w:t>U</w:t>
            </w:r>
            <w:r w:rsidRPr="00C41DF9">
              <w:rPr>
                <w:rFonts w:ascii="Times New Roman" w:hAnsi="Times New Roman" w:cs="Times New Roman"/>
                <w:b/>
                <w:sz w:val="20"/>
                <w:szCs w:val="20"/>
              </w:rPr>
              <w:t>pravený</w:t>
            </w:r>
          </w:p>
        </w:tc>
        <w:tc>
          <w:tcPr>
            <w:tcW w:w="108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4A3955" w:rsidRPr="00C41DF9" w:rsidP="004A3955">
            <w:pPr>
              <w:spacing w:before="120" w:after="120" w:line="360" w:lineRule="auto"/>
              <w:jc w:val="both"/>
              <w:rPr>
                <w:rFonts w:ascii="Times New Roman" w:hAnsi="Times New Roman" w:cs="Times New Roman"/>
                <w:sz w:val="20"/>
                <w:szCs w:val="20"/>
              </w:rPr>
            </w:pPr>
          </w:p>
        </w:tc>
        <w:tc>
          <w:tcPr>
            <w:tcW w:w="72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4A3955" w:rsidRPr="00C41DF9" w:rsidP="004A3955">
            <w:pPr>
              <w:spacing w:before="120" w:after="120" w:line="360" w:lineRule="auto"/>
              <w:jc w:val="both"/>
              <w:rPr>
                <w:rFonts w:ascii="Times New Roman" w:hAnsi="Times New Roman" w:cs="Times New Roman"/>
                <w:sz w:val="20"/>
                <w:szCs w:val="20"/>
              </w:rPr>
            </w:pPr>
          </w:p>
        </w:tc>
        <w:tc>
          <w:tcPr>
            <w:tcW w:w="144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4A3955" w:rsidRPr="00C41DF9" w:rsidP="004A3955">
            <w:pPr>
              <w:spacing w:before="120" w:after="120" w:line="360" w:lineRule="auto"/>
              <w:jc w:val="both"/>
              <w:rPr>
                <w:rFonts w:ascii="Times New Roman" w:hAnsi="Times New Roman" w:cs="Times New Roman"/>
                <w:sz w:val="20"/>
                <w:szCs w:val="20"/>
              </w:rPr>
            </w:pPr>
          </w:p>
        </w:tc>
        <w:tc>
          <w:tcPr>
            <w:tcW w:w="1080" w:type="dxa"/>
            <w:vMerge/>
            <w:tcBorders>
              <w:top w:val="single" w:sz="4" w:space="0" w:color="auto"/>
              <w:left w:val="single" w:sz="4" w:space="0" w:color="auto"/>
              <w:bottom w:val="single" w:sz="4" w:space="0" w:color="auto"/>
              <w:right w:val="single" w:sz="8" w:space="0" w:color="auto"/>
              <w:tl2br w:val="nil"/>
              <w:tr2bl w:val="nil"/>
            </w:tcBorders>
            <w:textDirection w:val="lrTb"/>
            <w:vAlign w:val="top"/>
          </w:tcPr>
          <w:p w:rsidR="004A3955" w:rsidRPr="00C41DF9" w:rsidP="004A3955">
            <w:pPr>
              <w:spacing w:before="120" w:after="120" w:line="360" w:lineRule="auto"/>
              <w:jc w:val="both"/>
              <w:rPr>
                <w:rFonts w:ascii="Times New Roman" w:hAnsi="Times New Roman" w:cs="Times New Roman"/>
                <w:sz w:val="20"/>
                <w:szCs w:val="20"/>
              </w:rPr>
            </w:pPr>
          </w:p>
        </w:tc>
      </w:tr>
      <w:tr>
        <w:tblPrEx>
          <w:tblW w:w="9748" w:type="dxa"/>
          <w:tblInd w:w="80" w:type="dxa"/>
          <w:tblLayout w:type="fixed"/>
        </w:tblPrEx>
        <w:trPr>
          <w:trHeight w:hRule="exact" w:val="183"/>
        </w:trPr>
        <w:tc>
          <w:tcPr>
            <w:tcW w:w="200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4A3955" w:rsidRPr="00C41DF9" w:rsidP="004A3955">
            <w:pPr>
              <w:spacing w:line="36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A3955" w:rsidRPr="00F3685E" w:rsidP="004A3955">
            <w:pPr>
              <w:spacing w:line="360" w:lineRule="auto"/>
              <w:jc w:val="center"/>
              <w:rPr>
                <w:rFonts w:ascii="Times New Roman" w:hAnsi="Times New Roman" w:cs="Times New Roman"/>
                <w:b/>
                <w:sz w:val="18"/>
                <w:szCs w:val="18"/>
              </w:rPr>
            </w:pPr>
            <w:r w:rsidRPr="00F3685E">
              <w:rPr>
                <w:rFonts w:ascii="Times New Roman" w:hAnsi="Times New Roman" w:cs="Times New Roman"/>
                <w:b/>
                <w:sz w:val="18"/>
                <w:szCs w:val="18"/>
              </w:rPr>
              <w:t>1</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A3955" w:rsidRPr="00F3685E" w:rsidP="004A3955">
            <w:pPr>
              <w:spacing w:line="360" w:lineRule="auto"/>
              <w:jc w:val="center"/>
              <w:rPr>
                <w:rFonts w:ascii="Times New Roman" w:hAnsi="Times New Roman" w:cs="Times New Roman"/>
                <w:b/>
                <w:sz w:val="18"/>
                <w:szCs w:val="18"/>
              </w:rPr>
            </w:pPr>
            <w:r w:rsidRPr="00F3685E">
              <w:rPr>
                <w:rFonts w:ascii="Times New Roman" w:hAnsi="Times New Roman" w:cs="Times New Roman"/>
                <w:b/>
                <w:sz w:val="18"/>
                <w:szCs w:val="18"/>
              </w:rPr>
              <w:t>2</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A3955" w:rsidRPr="00F3685E" w:rsidP="004A3955">
            <w:pPr>
              <w:spacing w:line="360" w:lineRule="auto"/>
              <w:jc w:val="center"/>
              <w:rPr>
                <w:rFonts w:ascii="Times New Roman" w:hAnsi="Times New Roman" w:cs="Times New Roman"/>
                <w:b/>
                <w:sz w:val="18"/>
                <w:szCs w:val="18"/>
              </w:rPr>
            </w:pPr>
            <w:r w:rsidRPr="00F3685E">
              <w:rPr>
                <w:rFonts w:ascii="Times New Roman" w:hAnsi="Times New Roman" w:cs="Times New Roman"/>
                <w:b/>
                <w:sz w:val="18"/>
                <w:szCs w:val="18"/>
              </w:rPr>
              <w:t>3</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A3955" w:rsidRPr="00F3685E" w:rsidP="004A3955">
            <w:pPr>
              <w:spacing w:line="360" w:lineRule="auto"/>
              <w:jc w:val="center"/>
              <w:rPr>
                <w:rFonts w:ascii="Times New Roman" w:hAnsi="Times New Roman" w:cs="Times New Roman"/>
                <w:b/>
                <w:sz w:val="18"/>
                <w:szCs w:val="18"/>
              </w:rPr>
            </w:pPr>
            <w:r w:rsidRPr="00F3685E">
              <w:rPr>
                <w:rFonts w:ascii="Times New Roman" w:hAnsi="Times New Roman" w:cs="Times New Roman"/>
                <w:b/>
                <w:sz w:val="18"/>
                <w:szCs w:val="18"/>
              </w:rPr>
              <w:t>4</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A3955" w:rsidRPr="00F3685E" w:rsidP="004A3955">
            <w:pPr>
              <w:spacing w:line="360" w:lineRule="auto"/>
              <w:jc w:val="center"/>
              <w:rPr>
                <w:rFonts w:ascii="Times New Roman" w:hAnsi="Times New Roman" w:cs="Times New Roman"/>
                <w:b/>
                <w:sz w:val="18"/>
                <w:szCs w:val="18"/>
              </w:rPr>
            </w:pPr>
            <w:r w:rsidRPr="00F3685E">
              <w:rPr>
                <w:rFonts w:ascii="Times New Roman" w:hAnsi="Times New Roman" w:cs="Times New Roman"/>
                <w:b/>
                <w:sz w:val="18"/>
                <w:szCs w:val="18"/>
              </w:rPr>
              <w:t>5=4-3</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A3955" w:rsidRPr="00F3685E" w:rsidP="004A3955">
            <w:pPr>
              <w:spacing w:line="360" w:lineRule="auto"/>
              <w:jc w:val="center"/>
              <w:rPr>
                <w:rFonts w:ascii="Times New Roman" w:hAnsi="Times New Roman" w:cs="Times New Roman"/>
                <w:b/>
                <w:sz w:val="18"/>
                <w:szCs w:val="18"/>
              </w:rPr>
            </w:pPr>
            <w:r w:rsidRPr="00F3685E">
              <w:rPr>
                <w:rFonts w:ascii="Times New Roman" w:hAnsi="Times New Roman" w:cs="Times New Roman"/>
                <w:b/>
                <w:sz w:val="18"/>
                <w:szCs w:val="18"/>
              </w:rPr>
              <w:t>6=4/3*100</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4A3955" w:rsidRPr="00F3685E" w:rsidP="004A3955">
            <w:pPr>
              <w:spacing w:line="360" w:lineRule="auto"/>
              <w:jc w:val="center"/>
              <w:rPr>
                <w:rFonts w:ascii="Times New Roman" w:hAnsi="Times New Roman" w:cs="Times New Roman"/>
                <w:b/>
                <w:sz w:val="18"/>
                <w:szCs w:val="18"/>
              </w:rPr>
            </w:pPr>
            <w:r w:rsidRPr="00F3685E">
              <w:rPr>
                <w:rFonts w:ascii="Times New Roman" w:hAnsi="Times New Roman" w:cs="Times New Roman"/>
                <w:b/>
                <w:sz w:val="18"/>
                <w:szCs w:val="18"/>
              </w:rPr>
              <w:t>7=4/1*1000</w:t>
            </w:r>
          </w:p>
        </w:tc>
      </w:tr>
      <w:tr>
        <w:tblPrEx>
          <w:tblW w:w="9748" w:type="dxa"/>
          <w:tblInd w:w="80" w:type="dxa"/>
          <w:tblLayout w:type="fixed"/>
        </w:tblPrEx>
        <w:trPr>
          <w:trHeight w:hRule="exact" w:val="354"/>
        </w:trPr>
        <w:tc>
          <w:tcPr>
            <w:tcW w:w="2008"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4A3955" w:rsidRPr="00C41DF9" w:rsidP="004A3955">
            <w:pPr>
              <w:spacing w:line="360" w:lineRule="auto"/>
              <w:jc w:val="both"/>
              <w:rPr>
                <w:rFonts w:ascii="Times New Roman" w:hAnsi="Times New Roman" w:cs="Times New Roman"/>
                <w:sz w:val="20"/>
                <w:szCs w:val="20"/>
              </w:rPr>
            </w:pPr>
            <w:r w:rsidRPr="00C41DF9">
              <w:rPr>
                <w:rFonts w:ascii="Times New Roman" w:hAnsi="Times New Roman" w:cs="Times New Roman"/>
                <w:sz w:val="20"/>
                <w:szCs w:val="20"/>
              </w:rPr>
              <w:t>z minerálnych olejov</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spacing w:line="360" w:lineRule="auto"/>
              <w:jc w:val="right"/>
              <w:rPr>
                <w:rFonts w:ascii="Times New Roman" w:hAnsi="Times New Roman" w:cs="Times New Roman"/>
                <w:sz w:val="20"/>
                <w:szCs w:val="20"/>
              </w:rPr>
            </w:pPr>
            <w:r w:rsidRPr="00C41DF9">
              <w:rPr>
                <w:rFonts w:ascii="Times New Roman" w:hAnsi="Times New Roman" w:cs="Times New Roman"/>
                <w:sz w:val="20"/>
                <w:szCs w:val="20"/>
              </w:rPr>
              <w:t>31 589,5</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spacing w:line="360" w:lineRule="auto"/>
              <w:jc w:val="right"/>
              <w:rPr>
                <w:rFonts w:ascii="Times New Roman" w:hAnsi="Times New Roman" w:cs="Times New Roman"/>
                <w:sz w:val="20"/>
                <w:szCs w:val="20"/>
              </w:rPr>
            </w:pPr>
            <w:r w:rsidRPr="00C41DF9">
              <w:rPr>
                <w:rFonts w:ascii="Times New Roman" w:hAnsi="Times New Roman" w:cs="Times New Roman"/>
                <w:sz w:val="20"/>
                <w:szCs w:val="20"/>
              </w:rPr>
              <w:t>32 400,0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spacing w:line="360" w:lineRule="auto"/>
              <w:jc w:val="right"/>
              <w:rPr>
                <w:rFonts w:ascii="Times New Roman" w:hAnsi="Times New Roman" w:cs="Times New Roman"/>
                <w:sz w:val="20"/>
                <w:szCs w:val="20"/>
              </w:rPr>
            </w:pPr>
            <w:r w:rsidRPr="00C41DF9">
              <w:rPr>
                <w:rFonts w:ascii="Times New Roman" w:hAnsi="Times New Roman" w:cs="Times New Roman"/>
                <w:sz w:val="20"/>
                <w:szCs w:val="20"/>
              </w:rPr>
              <w:t>32 400,0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spacing w:line="360" w:lineRule="auto"/>
              <w:jc w:val="right"/>
              <w:rPr>
                <w:rFonts w:ascii="Times New Roman" w:hAnsi="Times New Roman" w:cs="Times New Roman"/>
                <w:sz w:val="20"/>
                <w:szCs w:val="20"/>
              </w:rPr>
            </w:pPr>
            <w:r w:rsidRPr="00C41DF9">
              <w:rPr>
                <w:rFonts w:ascii="Times New Roman" w:hAnsi="Times New Roman" w:cs="Times New Roman"/>
                <w:sz w:val="20"/>
                <w:szCs w:val="20"/>
              </w:rPr>
              <w:t>32 974,6</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spacing w:line="360" w:lineRule="auto"/>
              <w:jc w:val="right"/>
              <w:rPr>
                <w:rFonts w:ascii="Times New Roman" w:hAnsi="Times New Roman" w:cs="Times New Roman"/>
                <w:sz w:val="20"/>
                <w:szCs w:val="20"/>
              </w:rPr>
            </w:pPr>
            <w:r w:rsidRPr="00C41DF9">
              <w:rPr>
                <w:rFonts w:ascii="Times New Roman" w:hAnsi="Times New Roman" w:cs="Times New Roman"/>
                <w:sz w:val="20"/>
                <w:szCs w:val="20"/>
              </w:rPr>
              <w:t xml:space="preserve">  574,6</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spacing w:line="360" w:lineRule="auto"/>
              <w:jc w:val="right"/>
              <w:rPr>
                <w:rFonts w:ascii="Times New Roman" w:hAnsi="Times New Roman" w:cs="Times New Roman"/>
                <w:sz w:val="20"/>
                <w:szCs w:val="20"/>
              </w:rPr>
            </w:pPr>
            <w:r w:rsidRPr="00C41DF9">
              <w:rPr>
                <w:rFonts w:ascii="Times New Roman" w:hAnsi="Times New Roman" w:cs="Times New Roman"/>
                <w:sz w:val="20"/>
                <w:szCs w:val="20"/>
              </w:rPr>
              <w:t>1</w:t>
            </w:r>
            <w:r w:rsidRPr="00C41DF9">
              <w:rPr>
                <w:rFonts w:ascii="Times New Roman" w:hAnsi="Times New Roman" w:cs="Times New Roman"/>
                <w:sz w:val="20"/>
                <w:szCs w:val="20"/>
              </w:rPr>
              <w:t>01,8</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4A3955" w:rsidRPr="00C41DF9" w:rsidP="004A3955">
            <w:pPr>
              <w:spacing w:line="360" w:lineRule="auto"/>
              <w:jc w:val="right"/>
              <w:rPr>
                <w:rFonts w:ascii="Times New Roman" w:hAnsi="Times New Roman" w:cs="Times New Roman"/>
                <w:sz w:val="20"/>
                <w:szCs w:val="20"/>
              </w:rPr>
            </w:pPr>
            <w:r w:rsidRPr="00C41DF9">
              <w:rPr>
                <w:rFonts w:ascii="Times New Roman" w:hAnsi="Times New Roman" w:cs="Times New Roman"/>
                <w:sz w:val="20"/>
                <w:szCs w:val="20"/>
              </w:rPr>
              <w:t>104,4</w:t>
            </w:r>
          </w:p>
        </w:tc>
      </w:tr>
      <w:tr>
        <w:tblPrEx>
          <w:tblW w:w="9748" w:type="dxa"/>
          <w:tblInd w:w="80" w:type="dxa"/>
          <w:tblLayout w:type="fixed"/>
        </w:tblPrEx>
        <w:trPr>
          <w:trHeight w:val="364"/>
        </w:trPr>
        <w:tc>
          <w:tcPr>
            <w:tcW w:w="2008"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4A3955" w:rsidRPr="00C41DF9" w:rsidP="004A3955">
            <w:pPr>
              <w:jc w:val="both"/>
              <w:rPr>
                <w:rFonts w:ascii="Times New Roman" w:hAnsi="Times New Roman" w:cs="Times New Roman"/>
                <w:sz w:val="20"/>
                <w:szCs w:val="20"/>
              </w:rPr>
            </w:pPr>
            <w:r w:rsidRPr="00C41DF9">
              <w:rPr>
                <w:rFonts w:ascii="Times New Roman" w:hAnsi="Times New Roman" w:cs="Times New Roman"/>
                <w:sz w:val="20"/>
                <w:szCs w:val="20"/>
              </w:rPr>
              <w:t>z liehu</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sz w:val="20"/>
                <w:szCs w:val="20"/>
              </w:rPr>
            </w:pPr>
            <w:r w:rsidRPr="00C41DF9">
              <w:rPr>
                <w:rFonts w:ascii="Times New Roman" w:hAnsi="Times New Roman" w:cs="Times New Roman"/>
                <w:sz w:val="20"/>
                <w:szCs w:val="20"/>
              </w:rPr>
              <w:t xml:space="preserve"> 5 094,1</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sz w:val="20"/>
                <w:szCs w:val="20"/>
              </w:rPr>
            </w:pPr>
            <w:r w:rsidRPr="00C41DF9">
              <w:rPr>
                <w:rFonts w:ascii="Times New Roman" w:hAnsi="Times New Roman" w:cs="Times New Roman"/>
                <w:sz w:val="20"/>
                <w:szCs w:val="20"/>
              </w:rPr>
              <w:t xml:space="preserve"> 5 551,0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sz w:val="20"/>
                <w:szCs w:val="20"/>
              </w:rPr>
            </w:pPr>
            <w:r w:rsidRPr="00C41DF9">
              <w:rPr>
                <w:rFonts w:ascii="Times New Roman" w:hAnsi="Times New Roman" w:cs="Times New Roman"/>
                <w:sz w:val="20"/>
                <w:szCs w:val="20"/>
              </w:rPr>
              <w:t xml:space="preserve"> 5 551,0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sz w:val="20"/>
                <w:szCs w:val="20"/>
              </w:rPr>
            </w:pPr>
            <w:r w:rsidRPr="00C41DF9">
              <w:rPr>
                <w:rFonts w:ascii="Times New Roman" w:hAnsi="Times New Roman" w:cs="Times New Roman"/>
                <w:sz w:val="20"/>
                <w:szCs w:val="20"/>
              </w:rPr>
              <w:t xml:space="preserve"> 5 769,2</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sz w:val="20"/>
                <w:szCs w:val="20"/>
              </w:rPr>
            </w:pPr>
            <w:r w:rsidRPr="00C41DF9">
              <w:rPr>
                <w:rFonts w:ascii="Times New Roman" w:hAnsi="Times New Roman" w:cs="Times New Roman"/>
                <w:sz w:val="20"/>
                <w:szCs w:val="20"/>
              </w:rPr>
              <w:t>218,2</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sz w:val="20"/>
                <w:szCs w:val="20"/>
              </w:rPr>
            </w:pPr>
            <w:r w:rsidRPr="00C41DF9">
              <w:rPr>
                <w:rFonts w:ascii="Times New Roman" w:hAnsi="Times New Roman" w:cs="Times New Roman"/>
                <w:sz w:val="20"/>
                <w:szCs w:val="20"/>
              </w:rPr>
              <w:t>103,9</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4A3955" w:rsidRPr="00C41DF9" w:rsidP="004A3955">
            <w:pPr>
              <w:jc w:val="right"/>
              <w:rPr>
                <w:rFonts w:ascii="Times New Roman" w:hAnsi="Times New Roman" w:cs="Times New Roman"/>
                <w:sz w:val="20"/>
                <w:szCs w:val="20"/>
              </w:rPr>
            </w:pPr>
            <w:r w:rsidRPr="00C41DF9">
              <w:rPr>
                <w:rFonts w:ascii="Times New Roman" w:hAnsi="Times New Roman" w:cs="Times New Roman"/>
                <w:sz w:val="20"/>
                <w:szCs w:val="20"/>
              </w:rPr>
              <w:t>113,3</w:t>
            </w:r>
          </w:p>
        </w:tc>
      </w:tr>
      <w:tr>
        <w:tblPrEx>
          <w:tblW w:w="9748" w:type="dxa"/>
          <w:tblInd w:w="80" w:type="dxa"/>
          <w:tblLayout w:type="fixed"/>
        </w:tblPrEx>
        <w:trPr>
          <w:trHeight w:hRule="exact" w:val="364"/>
        </w:trPr>
        <w:tc>
          <w:tcPr>
            <w:tcW w:w="2008"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4A3955" w:rsidRPr="00C41DF9" w:rsidP="004A3955">
            <w:pPr>
              <w:spacing w:line="360" w:lineRule="auto"/>
              <w:jc w:val="both"/>
              <w:rPr>
                <w:rFonts w:ascii="Times New Roman" w:hAnsi="Times New Roman" w:cs="Times New Roman"/>
                <w:sz w:val="20"/>
                <w:szCs w:val="20"/>
              </w:rPr>
            </w:pPr>
            <w:r w:rsidRPr="00C41DF9">
              <w:rPr>
                <w:rFonts w:ascii="Times New Roman" w:hAnsi="Times New Roman" w:cs="Times New Roman"/>
                <w:sz w:val="20"/>
                <w:szCs w:val="20"/>
              </w:rPr>
              <w:t>z piva</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spacing w:line="360" w:lineRule="auto"/>
              <w:jc w:val="right"/>
              <w:rPr>
                <w:rFonts w:ascii="Times New Roman" w:hAnsi="Times New Roman" w:cs="Times New Roman"/>
                <w:sz w:val="20"/>
                <w:szCs w:val="20"/>
              </w:rPr>
            </w:pPr>
            <w:r w:rsidRPr="00C41DF9">
              <w:rPr>
                <w:rFonts w:ascii="Times New Roman" w:hAnsi="Times New Roman" w:cs="Times New Roman"/>
                <w:sz w:val="20"/>
                <w:szCs w:val="20"/>
              </w:rPr>
              <w:t>1 992,1</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spacing w:line="360" w:lineRule="auto"/>
              <w:jc w:val="right"/>
              <w:rPr>
                <w:rFonts w:ascii="Times New Roman" w:hAnsi="Times New Roman" w:cs="Times New Roman"/>
                <w:sz w:val="20"/>
                <w:szCs w:val="20"/>
              </w:rPr>
            </w:pPr>
            <w:r w:rsidRPr="00C41DF9">
              <w:rPr>
                <w:rFonts w:ascii="Times New Roman" w:hAnsi="Times New Roman" w:cs="Times New Roman"/>
                <w:sz w:val="20"/>
                <w:szCs w:val="20"/>
              </w:rPr>
              <w:t>2 071,0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spacing w:line="360" w:lineRule="auto"/>
              <w:jc w:val="right"/>
              <w:rPr>
                <w:rFonts w:ascii="Times New Roman" w:hAnsi="Times New Roman" w:cs="Times New Roman"/>
                <w:sz w:val="20"/>
                <w:szCs w:val="20"/>
              </w:rPr>
            </w:pPr>
            <w:r w:rsidRPr="00C41DF9">
              <w:rPr>
                <w:rFonts w:ascii="Times New Roman" w:hAnsi="Times New Roman" w:cs="Times New Roman"/>
                <w:sz w:val="20"/>
                <w:szCs w:val="20"/>
              </w:rPr>
              <w:t>2 071,0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spacing w:line="360" w:lineRule="auto"/>
              <w:jc w:val="right"/>
              <w:rPr>
                <w:rFonts w:ascii="Times New Roman" w:hAnsi="Times New Roman" w:cs="Times New Roman"/>
                <w:sz w:val="20"/>
                <w:szCs w:val="20"/>
              </w:rPr>
            </w:pPr>
            <w:r w:rsidRPr="00C41DF9">
              <w:rPr>
                <w:rFonts w:ascii="Times New Roman" w:hAnsi="Times New Roman" w:cs="Times New Roman"/>
                <w:sz w:val="20"/>
                <w:szCs w:val="20"/>
              </w:rPr>
              <w:t>1 850,3</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spacing w:line="360" w:lineRule="auto"/>
              <w:jc w:val="right"/>
              <w:rPr>
                <w:rFonts w:ascii="Times New Roman" w:hAnsi="Times New Roman" w:cs="Times New Roman"/>
                <w:sz w:val="20"/>
                <w:szCs w:val="20"/>
              </w:rPr>
            </w:pPr>
            <w:r w:rsidRPr="00C41DF9">
              <w:rPr>
                <w:rFonts w:ascii="Times New Roman" w:hAnsi="Times New Roman" w:cs="Times New Roman"/>
                <w:sz w:val="20"/>
                <w:szCs w:val="20"/>
              </w:rPr>
              <w:t>- 220,7</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spacing w:line="360" w:lineRule="auto"/>
              <w:jc w:val="right"/>
              <w:rPr>
                <w:rFonts w:ascii="Times New Roman" w:hAnsi="Times New Roman" w:cs="Times New Roman"/>
                <w:sz w:val="20"/>
                <w:szCs w:val="20"/>
              </w:rPr>
            </w:pPr>
            <w:r w:rsidRPr="00C41DF9">
              <w:rPr>
                <w:rFonts w:ascii="Times New Roman" w:hAnsi="Times New Roman" w:cs="Times New Roman"/>
                <w:sz w:val="20"/>
                <w:szCs w:val="20"/>
              </w:rPr>
              <w:t xml:space="preserve"> 89,3</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4A3955" w:rsidRPr="00C41DF9" w:rsidP="004A3955">
            <w:pPr>
              <w:spacing w:line="360" w:lineRule="auto"/>
              <w:jc w:val="right"/>
              <w:rPr>
                <w:rFonts w:ascii="Times New Roman" w:hAnsi="Times New Roman" w:cs="Times New Roman"/>
                <w:sz w:val="20"/>
                <w:szCs w:val="20"/>
              </w:rPr>
            </w:pPr>
            <w:r w:rsidRPr="00C41DF9">
              <w:rPr>
                <w:rFonts w:ascii="Times New Roman" w:hAnsi="Times New Roman" w:cs="Times New Roman"/>
                <w:sz w:val="20"/>
                <w:szCs w:val="20"/>
              </w:rPr>
              <w:t>92,9</w:t>
            </w:r>
          </w:p>
        </w:tc>
      </w:tr>
      <w:tr>
        <w:tblPrEx>
          <w:tblW w:w="9748" w:type="dxa"/>
          <w:tblLayout w:type="fixed"/>
        </w:tblPrEx>
        <w:trPr>
          <w:trHeight w:val="364"/>
        </w:trPr>
        <w:tc>
          <w:tcPr>
            <w:tcW w:w="2008" w:type="dxa"/>
            <w:tcBorders>
              <w:top w:val="single" w:sz="4" w:space="0" w:color="auto"/>
              <w:left w:val="single" w:sz="8" w:space="0" w:color="auto"/>
              <w:bottom w:val="single" w:sz="4" w:space="0" w:color="auto"/>
              <w:right w:val="single" w:sz="4" w:space="0" w:color="auto"/>
              <w:tl2br w:val="nil"/>
              <w:tr2bl w:val="nil"/>
            </w:tcBorders>
            <w:noWrap/>
            <w:tcMar>
              <w:left w:w="28" w:type="dxa"/>
              <w:right w:w="28" w:type="dxa"/>
            </w:tcMar>
            <w:textDirection w:val="lrTb"/>
            <w:vAlign w:val="center"/>
          </w:tcPr>
          <w:p w:rsidR="004A3955" w:rsidRPr="00C41DF9" w:rsidP="004A3955">
            <w:pPr>
              <w:jc w:val="both"/>
              <w:rPr>
                <w:rFonts w:ascii="Times New Roman" w:hAnsi="Times New Roman" w:cs="Times New Roman"/>
                <w:sz w:val="20"/>
                <w:szCs w:val="20"/>
              </w:rPr>
            </w:pPr>
            <w:r w:rsidRPr="00C41DF9">
              <w:rPr>
                <w:rFonts w:ascii="Times New Roman" w:hAnsi="Times New Roman" w:cs="Times New Roman"/>
                <w:sz w:val="20"/>
                <w:szCs w:val="20"/>
              </w:rPr>
              <w:t xml:space="preserve">  z vína</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sz w:val="20"/>
                <w:szCs w:val="20"/>
              </w:rPr>
            </w:pPr>
            <w:r w:rsidRPr="00C41DF9">
              <w:rPr>
                <w:rFonts w:ascii="Times New Roman" w:hAnsi="Times New Roman" w:cs="Times New Roman"/>
                <w:sz w:val="20"/>
                <w:szCs w:val="20"/>
              </w:rPr>
              <w:t xml:space="preserve">   127,7</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sz w:val="20"/>
                <w:szCs w:val="20"/>
              </w:rPr>
            </w:pPr>
            <w:r w:rsidRPr="00C41DF9">
              <w:rPr>
                <w:rFonts w:ascii="Times New Roman" w:hAnsi="Times New Roman" w:cs="Times New Roman"/>
                <w:sz w:val="20"/>
                <w:szCs w:val="20"/>
              </w:rPr>
              <w:t xml:space="preserve">   134,0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sz w:val="20"/>
                <w:szCs w:val="20"/>
              </w:rPr>
            </w:pPr>
            <w:r w:rsidRPr="00C41DF9">
              <w:rPr>
                <w:rFonts w:ascii="Times New Roman" w:hAnsi="Times New Roman" w:cs="Times New Roman"/>
                <w:sz w:val="20"/>
                <w:szCs w:val="20"/>
              </w:rPr>
              <w:t xml:space="preserve">   134,0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sz w:val="20"/>
                <w:szCs w:val="20"/>
              </w:rPr>
            </w:pPr>
            <w:r w:rsidRPr="00C41DF9">
              <w:rPr>
                <w:rFonts w:ascii="Times New Roman" w:hAnsi="Times New Roman" w:cs="Times New Roman"/>
                <w:sz w:val="20"/>
                <w:szCs w:val="20"/>
              </w:rPr>
              <w:t xml:space="preserve">   118,3</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sz w:val="20"/>
                <w:szCs w:val="20"/>
              </w:rPr>
            </w:pPr>
            <w:r w:rsidRPr="00C41DF9">
              <w:rPr>
                <w:rFonts w:ascii="Times New Roman" w:hAnsi="Times New Roman" w:cs="Times New Roman"/>
                <w:sz w:val="20"/>
                <w:szCs w:val="20"/>
              </w:rPr>
              <w:t xml:space="preserve"> - 15,7</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sz w:val="20"/>
                <w:szCs w:val="20"/>
              </w:rPr>
            </w:pPr>
            <w:r w:rsidRPr="00C41DF9">
              <w:rPr>
                <w:rFonts w:ascii="Times New Roman" w:hAnsi="Times New Roman" w:cs="Times New Roman"/>
                <w:sz w:val="20"/>
                <w:szCs w:val="20"/>
              </w:rPr>
              <w:t xml:space="preserve"> 88,2</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4A3955" w:rsidRPr="00C41DF9" w:rsidP="004A3955">
            <w:pPr>
              <w:jc w:val="right"/>
              <w:rPr>
                <w:rFonts w:ascii="Times New Roman" w:hAnsi="Times New Roman" w:cs="Times New Roman"/>
                <w:sz w:val="20"/>
                <w:szCs w:val="20"/>
              </w:rPr>
            </w:pPr>
            <w:r w:rsidRPr="00C41DF9">
              <w:rPr>
                <w:rFonts w:ascii="Times New Roman" w:hAnsi="Times New Roman" w:cs="Times New Roman"/>
                <w:sz w:val="20"/>
                <w:szCs w:val="20"/>
              </w:rPr>
              <w:t xml:space="preserve"> 92,6</w:t>
            </w:r>
          </w:p>
        </w:tc>
      </w:tr>
      <w:tr>
        <w:tblPrEx>
          <w:tblW w:w="9748" w:type="dxa"/>
          <w:tblLayout w:type="fixed"/>
        </w:tblPrEx>
        <w:trPr>
          <w:trHeight w:val="364"/>
        </w:trPr>
        <w:tc>
          <w:tcPr>
            <w:tcW w:w="2008" w:type="dxa"/>
            <w:tcBorders>
              <w:top w:val="single" w:sz="4" w:space="0" w:color="auto"/>
              <w:left w:val="single" w:sz="8" w:space="0" w:color="auto"/>
              <w:bottom w:val="single" w:sz="4" w:space="0" w:color="auto"/>
              <w:right w:val="single" w:sz="4" w:space="0" w:color="auto"/>
              <w:tl2br w:val="nil"/>
              <w:tr2bl w:val="nil"/>
            </w:tcBorders>
            <w:noWrap/>
            <w:tcMar>
              <w:left w:w="28" w:type="dxa"/>
              <w:right w:w="28" w:type="dxa"/>
            </w:tcMar>
            <w:textDirection w:val="lrTb"/>
            <w:vAlign w:val="center"/>
          </w:tcPr>
          <w:p w:rsidR="004A3955" w:rsidRPr="00C41DF9" w:rsidP="004A3955">
            <w:pPr>
              <w:jc w:val="both"/>
              <w:rPr>
                <w:rFonts w:ascii="Times New Roman" w:hAnsi="Times New Roman" w:cs="Times New Roman"/>
                <w:sz w:val="20"/>
                <w:szCs w:val="20"/>
              </w:rPr>
            </w:pPr>
            <w:r w:rsidRPr="00C41DF9">
              <w:rPr>
                <w:rFonts w:ascii="Times New Roman" w:hAnsi="Times New Roman" w:cs="Times New Roman"/>
                <w:sz w:val="20"/>
                <w:szCs w:val="20"/>
              </w:rPr>
              <w:t xml:space="preserve">  z tabaku a tabakových</w:t>
            </w:r>
          </w:p>
          <w:p w:rsidR="004A3955" w:rsidRPr="00C41DF9" w:rsidP="004A3955">
            <w:pPr>
              <w:jc w:val="both"/>
              <w:rPr>
                <w:rFonts w:ascii="Times New Roman" w:hAnsi="Times New Roman" w:cs="Times New Roman"/>
                <w:sz w:val="20"/>
                <w:szCs w:val="20"/>
              </w:rPr>
            </w:pPr>
            <w:r w:rsidRPr="00C41DF9">
              <w:rPr>
                <w:rFonts w:ascii="Times New Roman" w:hAnsi="Times New Roman" w:cs="Times New Roman"/>
                <w:sz w:val="20"/>
                <w:szCs w:val="20"/>
              </w:rPr>
              <w:t xml:space="preserve"> výrobkov</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sz w:val="20"/>
                <w:szCs w:val="20"/>
              </w:rPr>
            </w:pPr>
            <w:r w:rsidRPr="00C41DF9">
              <w:rPr>
                <w:rFonts w:ascii="Times New Roman" w:hAnsi="Times New Roman" w:cs="Times New Roman"/>
                <w:sz w:val="20"/>
                <w:szCs w:val="20"/>
              </w:rPr>
              <w:t>11 194,2</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sz w:val="20"/>
                <w:szCs w:val="20"/>
              </w:rPr>
            </w:pPr>
            <w:r w:rsidRPr="00C41DF9">
              <w:rPr>
                <w:rFonts w:ascii="Times New Roman" w:hAnsi="Times New Roman" w:cs="Times New Roman"/>
                <w:sz w:val="20"/>
                <w:szCs w:val="20"/>
              </w:rPr>
              <w:t>11 758,0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sz w:val="20"/>
                <w:szCs w:val="20"/>
              </w:rPr>
            </w:pPr>
            <w:r w:rsidRPr="00C41DF9">
              <w:rPr>
                <w:rFonts w:ascii="Times New Roman" w:hAnsi="Times New Roman" w:cs="Times New Roman"/>
                <w:sz w:val="20"/>
                <w:szCs w:val="20"/>
              </w:rPr>
              <w:t>11 758,0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sz w:val="20"/>
                <w:szCs w:val="20"/>
              </w:rPr>
            </w:pPr>
            <w:r w:rsidRPr="00C41DF9">
              <w:rPr>
                <w:rFonts w:ascii="Times New Roman" w:hAnsi="Times New Roman" w:cs="Times New Roman"/>
                <w:sz w:val="20"/>
                <w:szCs w:val="20"/>
              </w:rPr>
              <w:t>11 432,3</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sz w:val="20"/>
                <w:szCs w:val="20"/>
              </w:rPr>
            </w:pPr>
            <w:r w:rsidRPr="00C41DF9">
              <w:rPr>
                <w:rFonts w:ascii="Times New Roman" w:hAnsi="Times New Roman" w:cs="Times New Roman"/>
                <w:sz w:val="20"/>
                <w:szCs w:val="20"/>
              </w:rPr>
              <w:t>- 325,7</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sz w:val="20"/>
                <w:szCs w:val="20"/>
              </w:rPr>
            </w:pPr>
            <w:r w:rsidRPr="00C41DF9">
              <w:rPr>
                <w:rFonts w:ascii="Times New Roman" w:hAnsi="Times New Roman" w:cs="Times New Roman"/>
                <w:sz w:val="20"/>
                <w:szCs w:val="20"/>
              </w:rPr>
              <w:t>97,2</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4A3955" w:rsidRPr="00C41DF9" w:rsidP="004A3955">
            <w:pPr>
              <w:jc w:val="right"/>
              <w:rPr>
                <w:rFonts w:ascii="Times New Roman" w:hAnsi="Times New Roman" w:cs="Times New Roman"/>
                <w:sz w:val="20"/>
                <w:szCs w:val="20"/>
              </w:rPr>
            </w:pPr>
            <w:r w:rsidRPr="00C41DF9">
              <w:rPr>
                <w:rFonts w:ascii="Times New Roman" w:hAnsi="Times New Roman" w:cs="Times New Roman"/>
                <w:sz w:val="20"/>
                <w:szCs w:val="20"/>
              </w:rPr>
              <w:t>102,1</w:t>
            </w:r>
          </w:p>
        </w:tc>
      </w:tr>
      <w:tr>
        <w:tblPrEx>
          <w:tblW w:w="9748" w:type="dxa"/>
          <w:tblLayout w:type="fixed"/>
        </w:tblPrEx>
        <w:trPr>
          <w:trHeight w:val="254"/>
        </w:trPr>
        <w:tc>
          <w:tcPr>
            <w:tcW w:w="2008" w:type="dxa"/>
            <w:tcBorders>
              <w:top w:val="single" w:sz="4" w:space="0" w:color="auto"/>
              <w:left w:val="single" w:sz="8" w:space="0" w:color="auto"/>
              <w:bottom w:val="double" w:sz="6" w:space="0" w:color="auto"/>
              <w:right w:val="single" w:sz="4" w:space="0" w:color="auto"/>
              <w:tl2br w:val="nil"/>
              <w:tr2bl w:val="nil"/>
            </w:tcBorders>
            <w:noWrap/>
            <w:tcMar>
              <w:left w:w="28" w:type="dxa"/>
              <w:right w:w="28" w:type="dxa"/>
            </w:tcMar>
            <w:textDirection w:val="lrTb"/>
            <w:vAlign w:val="center"/>
          </w:tcPr>
          <w:p w:rsidR="004A3955" w:rsidRPr="00C41DF9" w:rsidP="004A3955">
            <w:pPr>
              <w:jc w:val="both"/>
              <w:rPr>
                <w:rFonts w:ascii="Times New Roman" w:hAnsi="Times New Roman" w:cs="Times New Roman"/>
                <w:b/>
                <w:sz w:val="20"/>
                <w:szCs w:val="20"/>
              </w:rPr>
            </w:pPr>
            <w:r w:rsidRPr="00C41DF9">
              <w:rPr>
                <w:rFonts w:ascii="Times New Roman" w:hAnsi="Times New Roman" w:cs="Times New Roman"/>
                <w:b/>
                <w:sz w:val="20"/>
                <w:szCs w:val="20"/>
              </w:rPr>
              <w:t xml:space="preserve"> Spolu</w:t>
            </w:r>
          </w:p>
        </w:tc>
        <w:tc>
          <w:tcPr>
            <w:tcW w:w="1080"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b/>
                <w:sz w:val="20"/>
                <w:szCs w:val="20"/>
              </w:rPr>
            </w:pPr>
            <w:r w:rsidRPr="00C41DF9">
              <w:rPr>
                <w:rFonts w:ascii="Times New Roman" w:hAnsi="Times New Roman" w:cs="Times New Roman"/>
                <w:b/>
                <w:sz w:val="20"/>
                <w:szCs w:val="20"/>
              </w:rPr>
              <w:t>49 997,6</w:t>
            </w:r>
          </w:p>
        </w:tc>
        <w:tc>
          <w:tcPr>
            <w:tcW w:w="1260"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b/>
                <w:sz w:val="20"/>
                <w:szCs w:val="20"/>
              </w:rPr>
            </w:pPr>
            <w:r w:rsidRPr="00C41DF9">
              <w:rPr>
                <w:rFonts w:ascii="Times New Roman" w:hAnsi="Times New Roman" w:cs="Times New Roman"/>
                <w:b/>
                <w:sz w:val="20"/>
                <w:szCs w:val="20"/>
              </w:rPr>
              <w:t>51 914,0</w:t>
            </w:r>
          </w:p>
        </w:tc>
        <w:tc>
          <w:tcPr>
            <w:tcW w:w="1080"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b/>
                <w:sz w:val="20"/>
                <w:szCs w:val="20"/>
              </w:rPr>
            </w:pPr>
            <w:r w:rsidRPr="00C41DF9">
              <w:rPr>
                <w:rFonts w:ascii="Times New Roman" w:hAnsi="Times New Roman" w:cs="Times New Roman"/>
                <w:b/>
                <w:sz w:val="20"/>
                <w:szCs w:val="20"/>
              </w:rPr>
              <w:t>51 914,0</w:t>
            </w:r>
          </w:p>
        </w:tc>
        <w:tc>
          <w:tcPr>
            <w:tcW w:w="1080"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b/>
                <w:sz w:val="20"/>
                <w:szCs w:val="20"/>
              </w:rPr>
            </w:pPr>
            <w:r w:rsidRPr="00C41DF9">
              <w:rPr>
                <w:rFonts w:ascii="Times New Roman" w:hAnsi="Times New Roman" w:cs="Times New Roman"/>
                <w:b/>
                <w:sz w:val="20"/>
                <w:szCs w:val="20"/>
              </w:rPr>
              <w:t>52 144,8</w:t>
            </w:r>
          </w:p>
        </w:tc>
        <w:tc>
          <w:tcPr>
            <w:tcW w:w="720"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b/>
                <w:sz w:val="20"/>
                <w:szCs w:val="20"/>
              </w:rPr>
            </w:pPr>
            <w:r w:rsidRPr="00C41DF9">
              <w:rPr>
                <w:rFonts w:ascii="Times New Roman" w:hAnsi="Times New Roman" w:cs="Times New Roman"/>
                <w:b/>
                <w:sz w:val="20"/>
                <w:szCs w:val="20"/>
              </w:rPr>
              <w:t>230,8</w:t>
            </w:r>
          </w:p>
        </w:tc>
        <w:tc>
          <w:tcPr>
            <w:tcW w:w="1440"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4A3955" w:rsidRPr="00C41DF9" w:rsidP="004A3955">
            <w:pPr>
              <w:jc w:val="right"/>
              <w:rPr>
                <w:rFonts w:ascii="Times New Roman" w:hAnsi="Times New Roman" w:cs="Times New Roman"/>
                <w:b/>
                <w:sz w:val="20"/>
                <w:szCs w:val="20"/>
              </w:rPr>
            </w:pPr>
            <w:r w:rsidRPr="00C41DF9">
              <w:rPr>
                <w:rFonts w:ascii="Times New Roman" w:hAnsi="Times New Roman" w:cs="Times New Roman"/>
                <w:b/>
                <w:sz w:val="20"/>
                <w:szCs w:val="20"/>
              </w:rPr>
              <w:t>100,4</w:t>
            </w:r>
          </w:p>
        </w:tc>
        <w:tc>
          <w:tcPr>
            <w:tcW w:w="1080" w:type="dxa"/>
            <w:tcBorders>
              <w:top w:val="single" w:sz="4" w:space="0" w:color="auto"/>
              <w:left w:val="single" w:sz="4" w:space="0" w:color="auto"/>
              <w:bottom w:val="double" w:sz="6" w:space="0" w:color="auto"/>
              <w:right w:val="single" w:sz="8" w:space="0" w:color="auto"/>
              <w:tl2br w:val="nil"/>
              <w:tr2bl w:val="nil"/>
            </w:tcBorders>
            <w:textDirection w:val="lrTb"/>
            <w:vAlign w:val="center"/>
          </w:tcPr>
          <w:p w:rsidR="004A3955" w:rsidRPr="00C41DF9" w:rsidP="004A3955">
            <w:pPr>
              <w:jc w:val="right"/>
              <w:rPr>
                <w:rFonts w:ascii="Times New Roman" w:hAnsi="Times New Roman" w:cs="Times New Roman"/>
                <w:b/>
                <w:sz w:val="20"/>
                <w:szCs w:val="20"/>
              </w:rPr>
            </w:pPr>
            <w:r w:rsidRPr="00C41DF9">
              <w:rPr>
                <w:rFonts w:ascii="Times New Roman" w:hAnsi="Times New Roman" w:cs="Times New Roman"/>
                <w:b/>
                <w:sz w:val="20"/>
                <w:szCs w:val="20"/>
              </w:rPr>
              <w:t>104,3</w:t>
            </w:r>
          </w:p>
        </w:tc>
      </w:tr>
    </w:tbl>
    <w:p w:rsidR="00DE3128" w:rsidP="00DE3128">
      <w:pPr>
        <w:spacing w:before="120" w:after="120" w:line="360" w:lineRule="auto"/>
        <w:ind w:firstLine="708"/>
        <w:jc w:val="both"/>
        <w:rPr>
          <w:rFonts w:ascii="Times New Roman" w:hAnsi="Times New Roman" w:cs="Times New Roman"/>
        </w:rPr>
      </w:pPr>
      <w:r w:rsidRPr="009C57A2">
        <w:rPr>
          <w:rFonts w:ascii="Times New Roman" w:hAnsi="Times New Roman" w:cs="Times New Roman"/>
          <w:b/>
        </w:rPr>
        <w:t>Spotrebné dane</w:t>
      </w:r>
      <w:r w:rsidRPr="009C57A2">
        <w:rPr>
          <w:rFonts w:ascii="Times New Roman" w:hAnsi="Times New Roman" w:cs="Times New Roman"/>
        </w:rPr>
        <w:t xml:space="preserve"> sa rozpočtovali sumou 51 914,0 mil. Sk. Skutočný výnos</w:t>
      </w:r>
      <w:r w:rsidRPr="00D3015B">
        <w:rPr>
          <w:rFonts w:ascii="Times New Roman" w:hAnsi="Times New Roman" w:cs="Times New Roman"/>
        </w:rPr>
        <w:t xml:space="preserve"> </w:t>
      </w:r>
      <w:r>
        <w:rPr>
          <w:rFonts w:ascii="Times New Roman" w:hAnsi="Times New Roman" w:cs="Times New Roman"/>
        </w:rPr>
        <w:t xml:space="preserve">bol o </w:t>
      </w:r>
      <w:r w:rsidRPr="009C57A2">
        <w:rPr>
          <w:rFonts w:ascii="Times New Roman" w:hAnsi="Times New Roman" w:cs="Times New Roman"/>
        </w:rPr>
        <w:t xml:space="preserve">230,8 mil. Sk </w:t>
      </w:r>
      <w:r>
        <w:rPr>
          <w:rFonts w:ascii="Times New Roman" w:hAnsi="Times New Roman" w:cs="Times New Roman"/>
        </w:rPr>
        <w:t xml:space="preserve">vyšší a </w:t>
      </w:r>
      <w:r w:rsidRPr="009C57A2">
        <w:rPr>
          <w:rFonts w:ascii="Times New Roman" w:hAnsi="Times New Roman" w:cs="Times New Roman"/>
        </w:rPr>
        <w:t xml:space="preserve">dosiahol 52 144,8 mil. Sk. </w:t>
      </w:r>
      <w:r>
        <w:rPr>
          <w:rFonts w:ascii="Times New Roman" w:hAnsi="Times New Roman" w:cs="Times New Roman"/>
        </w:rPr>
        <w:t>Na výnos spotrebných daní vplývalo okrem iných faktorov aj zvýšenie sadzieb spotrebnej dane z liehu a spotrebnej dane z tabakový</w:t>
      </w:r>
      <w:r w:rsidR="00194ECD">
        <w:rPr>
          <w:rFonts w:ascii="Times New Roman" w:hAnsi="Times New Roman" w:cs="Times New Roman"/>
        </w:rPr>
        <w:t>ch výrobkov od 1.</w:t>
      </w:r>
      <w:r>
        <w:rPr>
          <w:rFonts w:ascii="Times New Roman" w:hAnsi="Times New Roman" w:cs="Times New Roman"/>
        </w:rPr>
        <w:t>1.2006. Plnenie z</w:t>
      </w:r>
      <w:r w:rsidRPr="009C57A2">
        <w:rPr>
          <w:rFonts w:ascii="Times New Roman" w:hAnsi="Times New Roman" w:cs="Times New Roman"/>
        </w:rPr>
        <w:t> hľadiska jednotlivých druhov spotrebných daní bol</w:t>
      </w:r>
      <w:r>
        <w:rPr>
          <w:rFonts w:ascii="Times New Roman" w:hAnsi="Times New Roman" w:cs="Times New Roman"/>
        </w:rPr>
        <w:t>o</w:t>
      </w:r>
      <w:r w:rsidRPr="009C57A2">
        <w:rPr>
          <w:rFonts w:ascii="Times New Roman" w:hAnsi="Times New Roman" w:cs="Times New Roman"/>
        </w:rPr>
        <w:t xml:space="preserve"> nasledovn</w:t>
      </w:r>
      <w:r>
        <w:rPr>
          <w:rFonts w:ascii="Times New Roman" w:hAnsi="Times New Roman" w:cs="Times New Roman"/>
        </w:rPr>
        <w:t>é</w:t>
      </w:r>
      <w:r w:rsidRPr="009C57A2">
        <w:rPr>
          <w:rFonts w:ascii="Times New Roman" w:hAnsi="Times New Roman" w:cs="Times New Roman"/>
        </w:rPr>
        <w:t xml:space="preserve"> (v mil. Sk):</w:t>
      </w:r>
    </w:p>
    <w:p w:rsidR="00DE3128" w:rsidRPr="00CA660A" w:rsidP="00DE3128">
      <w:pPr>
        <w:spacing w:before="120" w:line="360" w:lineRule="auto"/>
        <w:jc w:val="both"/>
        <w:rPr>
          <w:rFonts w:ascii="Times New Roman" w:hAnsi="Times New Roman" w:cs="Times New Roman"/>
          <w:sz w:val="20"/>
          <w:szCs w:val="20"/>
        </w:rPr>
      </w:pPr>
      <w:r w:rsidRPr="00CA660A">
        <w:rPr>
          <w:rFonts w:ascii="Times New Roman" w:hAnsi="Times New Roman" w:cs="Times New Roman"/>
          <w:sz w:val="20"/>
          <w:szCs w:val="20"/>
        </w:rPr>
        <w:t>Zdroj: Ministerstvo financií SR</w:t>
      </w:r>
    </w:p>
    <w:p w:rsidR="00DE3128" w:rsidRPr="00720DF1" w:rsidP="00DE3128">
      <w:pPr>
        <w:spacing w:line="360" w:lineRule="auto"/>
        <w:ind w:firstLine="624"/>
        <w:jc w:val="both"/>
        <w:rPr>
          <w:rFonts w:ascii="Times New Roman" w:hAnsi="Times New Roman" w:cs="Times New Roman"/>
        </w:rPr>
      </w:pPr>
      <w:r w:rsidRPr="00720DF1">
        <w:rPr>
          <w:rFonts w:ascii="Times New Roman" w:hAnsi="Times New Roman" w:cs="Times New Roman"/>
        </w:rPr>
        <w:t>Celkový výnos spotrebných daní je oproti rozpočtu len o 230,8 mil. Sk vyšší. Zvýšený výnos oproti rozpočtu zaznamenala spotrebná daň z minerálnych olejov (+574,6 mil. Sk) a spotrebná daň z liehu (+218,</w:t>
      </w:r>
      <w:r>
        <w:rPr>
          <w:rFonts w:ascii="Times New Roman" w:hAnsi="Times New Roman" w:cs="Times New Roman"/>
        </w:rPr>
        <w:t>2</w:t>
      </w:r>
      <w:r w:rsidRPr="00720DF1">
        <w:rPr>
          <w:rFonts w:ascii="Times New Roman" w:hAnsi="Times New Roman" w:cs="Times New Roman"/>
        </w:rPr>
        <w:t xml:space="preserve"> mil. Sk). Nižší ako rozpočtovaný výnos dosiahli spotrebné dane z piva (-220,7 mil. Sk), vína (-15,7 mil. Sk) a tabakových výrobkov (-325,7 mil. Sk). </w:t>
      </w:r>
    </w:p>
    <w:p w:rsidR="00DE3128" w:rsidRPr="00720DF1" w:rsidP="00DE3128">
      <w:pPr>
        <w:spacing w:line="360" w:lineRule="auto"/>
        <w:ind w:firstLine="709"/>
        <w:jc w:val="both"/>
        <w:rPr>
          <w:rFonts w:ascii="Times New Roman" w:hAnsi="Times New Roman" w:cs="Times New Roman"/>
        </w:rPr>
      </w:pPr>
      <w:r w:rsidRPr="00720DF1">
        <w:rPr>
          <w:rFonts w:ascii="Times New Roman" w:hAnsi="Times New Roman" w:cs="Times New Roman"/>
        </w:rPr>
        <w:t xml:space="preserve">Výnos </w:t>
      </w:r>
      <w:r w:rsidRPr="00720DF1">
        <w:rPr>
          <w:rFonts w:ascii="Times New Roman" w:hAnsi="Times New Roman" w:cs="Times New Roman"/>
          <w:u w:val="single"/>
        </w:rPr>
        <w:t>spotrebnej dane z minerálnyc</w:t>
      </w:r>
      <w:r w:rsidRPr="00720DF1">
        <w:rPr>
          <w:rFonts w:ascii="Times New Roman" w:hAnsi="Times New Roman" w:cs="Times New Roman"/>
          <w:u w:val="single"/>
        </w:rPr>
        <w:t>h olejov</w:t>
      </w:r>
      <w:r w:rsidRPr="00720DF1">
        <w:rPr>
          <w:rFonts w:ascii="Times New Roman" w:hAnsi="Times New Roman" w:cs="Times New Roman"/>
        </w:rPr>
        <w:t xml:space="preserve"> bol medziročne vyšší o 1 385,1 mil. Sk a dosiahol 32 974,6 mil. Sk. Výnos dane bol v súlade s vývojom makroekonomického prostredia (najmä rastu spotreby domácností a rastu reálnych príjmov).</w:t>
      </w:r>
    </w:p>
    <w:p w:rsidR="00DE3128" w:rsidRPr="00720DF1" w:rsidP="00DE3128">
      <w:pPr>
        <w:spacing w:line="360" w:lineRule="auto"/>
        <w:ind w:firstLine="624"/>
        <w:jc w:val="both"/>
        <w:rPr>
          <w:rFonts w:ascii="Times New Roman" w:hAnsi="Times New Roman" w:cs="Times New Roman"/>
        </w:rPr>
      </w:pPr>
      <w:r w:rsidRPr="00720DF1">
        <w:rPr>
          <w:rFonts w:ascii="Times New Roman" w:hAnsi="Times New Roman" w:cs="Times New Roman"/>
        </w:rPr>
        <w:t xml:space="preserve">Výnos </w:t>
      </w:r>
      <w:r w:rsidRPr="00720DF1">
        <w:rPr>
          <w:rFonts w:ascii="Times New Roman" w:hAnsi="Times New Roman" w:cs="Times New Roman"/>
          <w:u w:val="single"/>
        </w:rPr>
        <w:t>spotrebnej dane z liehu</w:t>
      </w:r>
      <w:r w:rsidRPr="00720DF1">
        <w:rPr>
          <w:rFonts w:ascii="Times New Roman" w:hAnsi="Times New Roman" w:cs="Times New Roman"/>
        </w:rPr>
        <w:t xml:space="preserve"> bol vyšší medziročne o 675</w:t>
      </w:r>
      <w:r w:rsidRPr="00720DF1">
        <w:rPr>
          <w:rFonts w:ascii="Times New Roman" w:hAnsi="Times New Roman" w:cs="Times New Roman"/>
        </w:rPr>
        <w:t>,1 mil. Sk a</w:t>
      </w:r>
      <w:r>
        <w:rPr>
          <w:rFonts w:ascii="Times New Roman" w:hAnsi="Times New Roman" w:cs="Times New Roman"/>
        </w:rPr>
        <w:t> v</w:t>
      </w:r>
      <w:r w:rsidRPr="00720DF1">
        <w:rPr>
          <w:rFonts w:ascii="Times New Roman" w:hAnsi="Times New Roman" w:cs="Times New Roman"/>
        </w:rPr>
        <w:t>o</w:t>
      </w:r>
      <w:r>
        <w:rPr>
          <w:rFonts w:ascii="Times New Roman" w:hAnsi="Times New Roman" w:cs="Times New Roman"/>
        </w:rPr>
        <w:t xml:space="preserve"> vzťahu           k </w:t>
      </w:r>
      <w:r w:rsidRPr="00720DF1">
        <w:rPr>
          <w:rFonts w:ascii="Times New Roman" w:hAnsi="Times New Roman" w:cs="Times New Roman"/>
        </w:rPr>
        <w:t xml:space="preserve">rozpočtu o 218,2 mil. Sk. </w:t>
      </w:r>
      <w:r>
        <w:rPr>
          <w:rFonts w:ascii="Times New Roman" w:hAnsi="Times New Roman" w:cs="Times New Roman"/>
        </w:rPr>
        <w:t xml:space="preserve">Je to aj </w:t>
      </w:r>
      <w:r w:rsidRPr="00720DF1">
        <w:rPr>
          <w:rFonts w:ascii="Times New Roman" w:hAnsi="Times New Roman" w:cs="Times New Roman"/>
        </w:rPr>
        <w:t>v</w:t>
      </w:r>
      <w:r>
        <w:rPr>
          <w:rFonts w:ascii="Times New Roman" w:hAnsi="Times New Roman" w:cs="Times New Roman"/>
        </w:rPr>
        <w:t>plyvom</w:t>
      </w:r>
      <w:r w:rsidRPr="00720DF1">
        <w:rPr>
          <w:rFonts w:ascii="Times New Roman" w:hAnsi="Times New Roman" w:cs="Times New Roman"/>
        </w:rPr>
        <w:t xml:space="preserve"> zvýšeni</w:t>
      </w:r>
      <w:r>
        <w:rPr>
          <w:rFonts w:ascii="Times New Roman" w:hAnsi="Times New Roman" w:cs="Times New Roman"/>
        </w:rPr>
        <w:t>a</w:t>
      </w:r>
      <w:r w:rsidRPr="00720DF1">
        <w:rPr>
          <w:rFonts w:ascii="Times New Roman" w:hAnsi="Times New Roman" w:cs="Times New Roman"/>
        </w:rPr>
        <w:t xml:space="preserve"> sadzieb</w:t>
      </w:r>
      <w:r>
        <w:rPr>
          <w:rFonts w:ascii="Times New Roman" w:hAnsi="Times New Roman" w:cs="Times New Roman"/>
        </w:rPr>
        <w:t xml:space="preserve"> od 1.1.2006, keď sa z</w:t>
      </w:r>
      <w:r w:rsidRPr="00720DF1">
        <w:rPr>
          <w:rFonts w:ascii="Times New Roman" w:hAnsi="Times New Roman" w:cs="Times New Roman"/>
        </w:rPr>
        <w:t>ákladná sadzb</w:t>
      </w:r>
      <w:r>
        <w:rPr>
          <w:rFonts w:ascii="Times New Roman" w:hAnsi="Times New Roman" w:cs="Times New Roman"/>
        </w:rPr>
        <w:t>a</w:t>
      </w:r>
      <w:r w:rsidRPr="00720DF1">
        <w:rPr>
          <w:rFonts w:ascii="Times New Roman" w:hAnsi="Times New Roman" w:cs="Times New Roman"/>
        </w:rPr>
        <w:t xml:space="preserve"> spotrebnej dane z liehu zvýšila</w:t>
      </w:r>
      <w:r>
        <w:rPr>
          <w:rFonts w:ascii="Times New Roman" w:hAnsi="Times New Roman" w:cs="Times New Roman"/>
        </w:rPr>
        <w:t xml:space="preserve"> z 25 000 Sk/hl</w:t>
      </w:r>
      <w:r w:rsidRPr="00720DF1">
        <w:rPr>
          <w:rFonts w:ascii="Times New Roman" w:hAnsi="Times New Roman" w:cs="Times New Roman"/>
        </w:rPr>
        <w:t xml:space="preserve"> na 28 300 Sk/hl alkoholu a znížená sadzba </w:t>
      </w:r>
      <w:r>
        <w:rPr>
          <w:rFonts w:ascii="Times New Roman" w:hAnsi="Times New Roman" w:cs="Times New Roman"/>
        </w:rPr>
        <w:t xml:space="preserve">bola zvýšená z 12 500 Sk/hl na </w:t>
      </w:r>
      <w:r w:rsidRPr="00720DF1">
        <w:rPr>
          <w:rFonts w:ascii="Times New Roman" w:hAnsi="Times New Roman" w:cs="Times New Roman"/>
        </w:rPr>
        <w:t>14 15</w:t>
      </w:r>
      <w:r w:rsidRPr="00720DF1">
        <w:rPr>
          <w:rFonts w:ascii="Times New Roman" w:hAnsi="Times New Roman" w:cs="Times New Roman"/>
        </w:rPr>
        <w:t xml:space="preserve">0 Sk/hl. </w:t>
      </w:r>
    </w:p>
    <w:p w:rsidR="00DE3128" w:rsidRPr="00720DF1" w:rsidP="00DE3128">
      <w:pPr>
        <w:spacing w:line="360" w:lineRule="auto"/>
        <w:ind w:firstLine="709"/>
        <w:jc w:val="both"/>
        <w:rPr>
          <w:rFonts w:ascii="Times New Roman" w:hAnsi="Times New Roman" w:cs="Times New Roman"/>
        </w:rPr>
      </w:pPr>
      <w:r w:rsidRPr="00720DF1">
        <w:rPr>
          <w:rFonts w:ascii="Times New Roman" w:hAnsi="Times New Roman" w:cs="Times New Roman"/>
        </w:rPr>
        <w:t xml:space="preserve">Vývoj pri </w:t>
      </w:r>
      <w:r w:rsidRPr="00720DF1">
        <w:rPr>
          <w:rFonts w:ascii="Times New Roman" w:hAnsi="Times New Roman" w:cs="Times New Roman"/>
          <w:u w:val="single"/>
        </w:rPr>
        <w:t>výnose spotrebnej dane z piva</w:t>
      </w:r>
      <w:r w:rsidRPr="00720DF1">
        <w:rPr>
          <w:rFonts w:ascii="Times New Roman" w:hAnsi="Times New Roman" w:cs="Times New Roman"/>
        </w:rPr>
        <w:t xml:space="preserve"> je opačný. Dosiahnutá skutočnosť bola nižšia oproti rozpočtu o 220,7 mil. Sk a došlo aj k poklesu výnosu v porovnaní s rokom 2005, a to o 141,8 mil. Sk (7,1 %). Nižší ako rozpočtovaný výnos zo spotrebnej dane z piva je spôsobený okrem iného aj účtovnou transakciou Colného riaditeľstva, ktorá jednorazovo znížila výnos dane v</w:t>
      </w:r>
      <w:r>
        <w:rPr>
          <w:rFonts w:ascii="Times New Roman" w:hAnsi="Times New Roman" w:cs="Times New Roman"/>
        </w:rPr>
        <w:t> </w:t>
      </w:r>
      <w:r w:rsidRPr="00720DF1">
        <w:rPr>
          <w:rFonts w:ascii="Times New Roman" w:hAnsi="Times New Roman" w:cs="Times New Roman"/>
        </w:rPr>
        <w:t>decembri</w:t>
      </w:r>
      <w:r>
        <w:rPr>
          <w:rFonts w:ascii="Times New Roman" w:hAnsi="Times New Roman" w:cs="Times New Roman"/>
        </w:rPr>
        <w:t xml:space="preserve"> 2006</w:t>
      </w:r>
      <w:r w:rsidRPr="00720DF1">
        <w:rPr>
          <w:rFonts w:ascii="Times New Roman" w:hAnsi="Times New Roman" w:cs="Times New Roman"/>
        </w:rPr>
        <w:t xml:space="preserve"> o 97 mil. Sk a</w:t>
      </w:r>
      <w:r w:rsidR="00671758">
        <w:rPr>
          <w:rFonts w:ascii="Times New Roman" w:hAnsi="Times New Roman" w:cs="Times New Roman"/>
        </w:rPr>
        <w:t> </w:t>
      </w:r>
      <w:r w:rsidRPr="00720DF1">
        <w:rPr>
          <w:rFonts w:ascii="Times New Roman" w:hAnsi="Times New Roman" w:cs="Times New Roman"/>
        </w:rPr>
        <w:t>naopak</w:t>
      </w:r>
      <w:r w:rsidR="00671758">
        <w:rPr>
          <w:rFonts w:ascii="Times New Roman" w:hAnsi="Times New Roman" w:cs="Times New Roman"/>
        </w:rPr>
        <w:t>,</w:t>
      </w:r>
      <w:r w:rsidRPr="00720DF1">
        <w:rPr>
          <w:rFonts w:ascii="Times New Roman" w:hAnsi="Times New Roman" w:cs="Times New Roman"/>
        </w:rPr>
        <w:t xml:space="preserve"> zvýšila výnos v rovnakej sume v januári 2007. </w:t>
      </w:r>
    </w:p>
    <w:p w:rsidR="00DE3128" w:rsidRPr="00720DF1" w:rsidP="00DE3128">
      <w:pPr>
        <w:spacing w:line="360" w:lineRule="auto"/>
        <w:ind w:firstLine="709"/>
        <w:jc w:val="both"/>
        <w:rPr>
          <w:rFonts w:ascii="Times New Roman" w:hAnsi="Times New Roman" w:cs="Times New Roman"/>
        </w:rPr>
      </w:pPr>
      <w:r w:rsidRPr="00720DF1">
        <w:rPr>
          <w:rFonts w:ascii="Times New Roman" w:hAnsi="Times New Roman" w:cs="Times New Roman"/>
          <w:u w:val="single"/>
        </w:rPr>
        <w:t>Spotrebná daň z vína</w:t>
      </w:r>
      <w:r w:rsidRPr="00720DF1">
        <w:rPr>
          <w:rFonts w:ascii="Times New Roman" w:hAnsi="Times New Roman" w:cs="Times New Roman"/>
        </w:rPr>
        <w:t xml:space="preserve"> je </w:t>
      </w:r>
      <w:r>
        <w:rPr>
          <w:rFonts w:ascii="Times New Roman" w:hAnsi="Times New Roman" w:cs="Times New Roman"/>
        </w:rPr>
        <w:t>objemom menej významná</w:t>
      </w:r>
      <w:r w:rsidRPr="00720DF1">
        <w:rPr>
          <w:rFonts w:ascii="Times New Roman" w:hAnsi="Times New Roman" w:cs="Times New Roman"/>
        </w:rPr>
        <w:t>, keďž</w:t>
      </w:r>
      <w:r w:rsidRPr="00720DF1">
        <w:rPr>
          <w:rFonts w:ascii="Times New Roman" w:hAnsi="Times New Roman" w:cs="Times New Roman"/>
        </w:rPr>
        <w:t xml:space="preserve">e sa </w:t>
      </w:r>
      <w:r>
        <w:rPr>
          <w:rFonts w:ascii="Times New Roman" w:hAnsi="Times New Roman" w:cs="Times New Roman"/>
        </w:rPr>
        <w:t xml:space="preserve">ňou </w:t>
      </w:r>
      <w:r w:rsidRPr="00720DF1">
        <w:rPr>
          <w:rFonts w:ascii="Times New Roman" w:hAnsi="Times New Roman" w:cs="Times New Roman"/>
        </w:rPr>
        <w:t>zdaňuje len šumivé víno. Skutočný výnos dane dosiahol 118,3 mil. Sk a v porovnaní s rozpočtom bol o 15,7 mil. Sk nižší. Výnos v porovnaní s rokom 2005 poklesol o 9,4 mil. Sk (7,4 %).</w:t>
      </w:r>
    </w:p>
    <w:p w:rsidR="00DE3128" w:rsidRPr="00026EC7" w:rsidP="00DE3128">
      <w:pPr>
        <w:spacing w:line="360" w:lineRule="auto"/>
        <w:ind w:firstLine="624"/>
        <w:jc w:val="both"/>
        <w:rPr>
          <w:rFonts w:ascii="Times New Roman" w:hAnsi="Times New Roman" w:cs="Times New Roman"/>
          <w:color w:val="000000"/>
        </w:rPr>
      </w:pPr>
      <w:r w:rsidRPr="00720DF1">
        <w:rPr>
          <w:rFonts w:ascii="Times New Roman" w:hAnsi="Times New Roman" w:cs="Times New Roman"/>
          <w:u w:val="single"/>
        </w:rPr>
        <w:t>Spotrebná daň z tabakových</w:t>
      </w:r>
      <w:r w:rsidRPr="00720DF1">
        <w:rPr>
          <w:rFonts w:ascii="Times New Roman" w:hAnsi="Times New Roman" w:cs="Times New Roman"/>
        </w:rPr>
        <w:t xml:space="preserve"> výrobkov bola rozpočtovaná sum</w:t>
      </w:r>
      <w:r>
        <w:rPr>
          <w:rFonts w:ascii="Times New Roman" w:hAnsi="Times New Roman" w:cs="Times New Roman"/>
        </w:rPr>
        <w:t>ou</w:t>
      </w:r>
      <w:r w:rsidRPr="00720DF1">
        <w:rPr>
          <w:rFonts w:ascii="Times New Roman" w:hAnsi="Times New Roman" w:cs="Times New Roman"/>
        </w:rPr>
        <w:t xml:space="preserve"> 11 758,0 mil. Sk. Skutočný výnos vo výške 11 432,3 mil. Sk znamená naplnenie rozpočtu</w:t>
      </w:r>
      <w:r>
        <w:rPr>
          <w:rFonts w:ascii="Times New Roman" w:hAnsi="Times New Roman" w:cs="Times New Roman"/>
        </w:rPr>
        <w:t xml:space="preserve"> na</w:t>
      </w:r>
      <w:r w:rsidRPr="00720DF1">
        <w:rPr>
          <w:rFonts w:ascii="Times New Roman" w:hAnsi="Times New Roman" w:cs="Times New Roman"/>
        </w:rPr>
        <w:t xml:space="preserve"> 97,2</w:t>
      </w:r>
      <w:r>
        <w:rPr>
          <w:rFonts w:ascii="Times New Roman" w:hAnsi="Times New Roman" w:cs="Times New Roman"/>
        </w:rPr>
        <w:t xml:space="preserve"> </w:t>
      </w:r>
      <w:r w:rsidRPr="00720DF1">
        <w:rPr>
          <w:rFonts w:ascii="Times New Roman" w:hAnsi="Times New Roman" w:cs="Times New Roman"/>
        </w:rPr>
        <w:t xml:space="preserve">% </w:t>
      </w:r>
      <w:r>
        <w:rPr>
          <w:rFonts w:ascii="Times New Roman" w:hAnsi="Times New Roman" w:cs="Times New Roman"/>
        </w:rPr>
        <w:t xml:space="preserve">                 s výpadkom</w:t>
      </w:r>
      <w:r w:rsidRPr="00720DF1">
        <w:rPr>
          <w:rFonts w:ascii="Times New Roman" w:hAnsi="Times New Roman" w:cs="Times New Roman"/>
        </w:rPr>
        <w:t xml:space="preserve"> 325,7 mil. Sk. </w:t>
      </w:r>
      <w:r w:rsidRPr="00720DF1">
        <w:rPr>
          <w:rFonts w:ascii="Times New Roman" w:hAnsi="Times New Roman" w:cs="Times New Roman"/>
          <w:color w:val="000000"/>
        </w:rPr>
        <w:t>Nižší ako očakávaný výnos spotrebnej dane z tabakových výrobkov je dôsledkom reakcie trhu s cigaretami na zvýšenie sadzby</w:t>
      </w:r>
      <w:r w:rsidRPr="00720DF1">
        <w:rPr>
          <w:rFonts w:ascii="Times New Roman" w:hAnsi="Times New Roman" w:cs="Times New Roman"/>
          <w:color w:val="000000"/>
        </w:rPr>
        <w:t xml:space="preserve"> dane k 1.1.2006</w:t>
      </w:r>
      <w:r>
        <w:rPr>
          <w:rFonts w:ascii="Times New Roman" w:hAnsi="Times New Roman" w:cs="Times New Roman"/>
          <w:color w:val="000000"/>
        </w:rPr>
        <w:t>, kedy sa</w:t>
      </w:r>
      <w:r w:rsidRPr="00720DF1">
        <w:rPr>
          <w:rFonts w:ascii="Times New Roman" w:hAnsi="Times New Roman" w:cs="Times New Roman"/>
        </w:rPr>
        <w:t> kombinovaná sadzba dane na cigarety zvýšila nasledovne: špecifická zložka z 0,91 Sk/kus na 1,10 Sk/kus a percentuálna zložka z</w:t>
      </w:r>
      <w:r>
        <w:rPr>
          <w:rFonts w:ascii="Times New Roman" w:hAnsi="Times New Roman" w:cs="Times New Roman"/>
        </w:rPr>
        <w:t> </w:t>
      </w:r>
      <w:r w:rsidRPr="00720DF1">
        <w:rPr>
          <w:rFonts w:ascii="Times New Roman" w:hAnsi="Times New Roman" w:cs="Times New Roman"/>
        </w:rPr>
        <w:t>20</w:t>
      </w:r>
      <w:r>
        <w:rPr>
          <w:rFonts w:ascii="Times New Roman" w:hAnsi="Times New Roman" w:cs="Times New Roman"/>
        </w:rPr>
        <w:t xml:space="preserve"> </w:t>
      </w:r>
      <w:r w:rsidRPr="00720DF1">
        <w:rPr>
          <w:rFonts w:ascii="Times New Roman" w:hAnsi="Times New Roman" w:cs="Times New Roman"/>
        </w:rPr>
        <w:t>% na 23</w:t>
      </w:r>
      <w:r>
        <w:rPr>
          <w:rFonts w:ascii="Times New Roman" w:hAnsi="Times New Roman" w:cs="Times New Roman"/>
        </w:rPr>
        <w:t xml:space="preserve"> </w:t>
      </w:r>
      <w:r w:rsidRPr="00720DF1">
        <w:rPr>
          <w:rFonts w:ascii="Times New Roman" w:hAnsi="Times New Roman" w:cs="Times New Roman"/>
        </w:rPr>
        <w:t>%. Minimálna sadzba dane sa zvýšila z 1,40 Sk/kus  na 1,70 Sk/kus.</w:t>
      </w:r>
      <w:r>
        <w:rPr>
          <w:rFonts w:ascii="Times New Roman" w:hAnsi="Times New Roman" w:cs="Times New Roman"/>
        </w:rPr>
        <w:t xml:space="preserve"> </w:t>
      </w:r>
      <w:r w:rsidRPr="00720DF1">
        <w:rPr>
          <w:rFonts w:ascii="Times New Roman" w:hAnsi="Times New Roman" w:cs="Times New Roman"/>
          <w:color w:val="000000"/>
        </w:rPr>
        <w:t xml:space="preserve">Po vyčerpaní zásob spotrebiteľských balení so starými cenami došlo v posledných </w:t>
      </w:r>
      <w:r w:rsidRPr="00026EC7">
        <w:rPr>
          <w:rFonts w:ascii="Times New Roman" w:hAnsi="Times New Roman" w:cs="Times New Roman"/>
          <w:color w:val="000000"/>
        </w:rPr>
        <w:t>dvoch  mesiacoch roka 2006 k vyššiemu ako očakávanému prepadu trhu. S najväčšou pravdepodobnosťou došlo k výraznejšej zmene štruktúry spotreby cigariet v prospech lacnejších značiek (pokles efektívnej daňovej sadzby)</w:t>
      </w:r>
      <w:r w:rsidR="00671758">
        <w:rPr>
          <w:rFonts w:ascii="Times New Roman" w:hAnsi="Times New Roman" w:cs="Times New Roman"/>
          <w:color w:val="000000"/>
        </w:rPr>
        <w:t>,</w:t>
      </w:r>
      <w:r w:rsidRPr="00026EC7">
        <w:rPr>
          <w:rFonts w:ascii="Times New Roman" w:hAnsi="Times New Roman" w:cs="Times New Roman"/>
          <w:color w:val="000000"/>
        </w:rPr>
        <w:t xml:space="preserve"> alebo k poklesu celkového legálneho trhu s cigaretami.</w:t>
      </w:r>
    </w:p>
    <w:p w:rsidR="00DE3128" w:rsidRPr="00720DF1" w:rsidP="00E06D0D">
      <w:pPr>
        <w:spacing w:before="120" w:after="120" w:line="360" w:lineRule="auto"/>
        <w:ind w:firstLine="709"/>
        <w:jc w:val="both"/>
        <w:rPr>
          <w:rFonts w:ascii="Times New Roman" w:hAnsi="Times New Roman" w:cs="Times New Roman"/>
          <w:b/>
        </w:rPr>
      </w:pPr>
      <w:r w:rsidRPr="00720DF1">
        <w:rPr>
          <w:rFonts w:ascii="Times New Roman" w:hAnsi="Times New Roman" w:cs="Times New Roman"/>
        </w:rPr>
        <w:t>Po roku 2002, kedy colné úrady začali spravovať celú spotrebnú daň z minerálnych olejov, prešla od 1. mája 2004 pod colné úrady aj správa zostávajúcich štyroch spotrebných daní. Daňové</w:t>
      </w:r>
      <w:r w:rsidRPr="00720DF1">
        <w:rPr>
          <w:rFonts w:ascii="Times New Roman" w:hAnsi="Times New Roman" w:cs="Times New Roman"/>
        </w:rPr>
        <w:t xml:space="preserve"> úrady preto v roku 2006 vyberali len dobehy a nedoplatky z minulých rokov.</w:t>
      </w:r>
      <w:r w:rsidRPr="00720DF1">
        <w:rPr>
          <w:rFonts w:ascii="Times New Roman" w:hAnsi="Times New Roman" w:cs="Times New Roman"/>
          <w:b/>
        </w:rPr>
        <w:t xml:space="preserve"> </w:t>
      </w:r>
    </w:p>
    <w:tbl>
      <w:tblPr>
        <w:tblW w:w="8663" w:type="dxa"/>
        <w:jc w:val="center"/>
        <w:tblLayout w:type="fixed"/>
        <w:tblCellMar>
          <w:left w:w="70" w:type="dxa"/>
          <w:right w:w="70" w:type="dxa"/>
        </w:tblCellMar>
      </w:tblPr>
      <w:tblGrid>
        <w:gridCol w:w="3061"/>
        <w:gridCol w:w="1867"/>
        <w:gridCol w:w="1867"/>
        <w:gridCol w:w="1868"/>
      </w:tblGrid>
      <w:tr>
        <w:tblPrEx>
          <w:tblW w:w="8663" w:type="dxa"/>
          <w:jc w:val="center"/>
          <w:tblLayout w:type="fixed"/>
          <w:tblCellMar>
            <w:left w:w="70" w:type="dxa"/>
            <w:right w:w="70" w:type="dxa"/>
          </w:tblCellMar>
        </w:tblPrEx>
        <w:trPr>
          <w:trHeight w:val="340"/>
          <w:jc w:val="center"/>
        </w:trPr>
        <w:tc>
          <w:tcPr>
            <w:tcW w:w="8663" w:type="dxa"/>
            <w:gridSpan w:val="4"/>
            <w:tcBorders>
              <w:top w:val="single" w:sz="8" w:space="0" w:color="auto"/>
              <w:left w:val="single" w:sz="8" w:space="0" w:color="auto"/>
              <w:bottom w:val="single" w:sz="4" w:space="0" w:color="auto"/>
              <w:right w:val="single" w:sz="8" w:space="0" w:color="auto"/>
              <w:tl2br w:val="nil"/>
              <w:tr2bl w:val="nil"/>
            </w:tcBorders>
            <w:shd w:val="clear" w:color="auto" w:fill="FFFFFF"/>
            <w:noWrap/>
            <w:textDirection w:val="lrTb"/>
            <w:vAlign w:val="center"/>
          </w:tcPr>
          <w:p w:rsidR="00DE3128" w:rsidRPr="00F3685E" w:rsidP="00DE3128">
            <w:pPr>
              <w:rPr>
                <w:rFonts w:ascii="Times New Roman" w:hAnsi="Times New Roman" w:cs="Times New Roman"/>
                <w:b/>
                <w:bCs/>
                <w:sz w:val="20"/>
                <w:szCs w:val="20"/>
              </w:rPr>
            </w:pPr>
            <w:r w:rsidRPr="00F3685E">
              <w:rPr>
                <w:rFonts w:ascii="Times New Roman" w:hAnsi="Times New Roman" w:cs="Times New Roman"/>
                <w:b/>
                <w:bCs/>
                <w:sz w:val="20"/>
                <w:szCs w:val="20"/>
              </w:rPr>
              <w:t>Výber spotrebných daní na daňových a colných úradoch v rokoch 2005 – 2006  (</w:t>
            </w:r>
            <w:r w:rsidRPr="00F3685E" w:rsidR="00E06D0D">
              <w:rPr>
                <w:rFonts w:ascii="Times New Roman" w:hAnsi="Times New Roman" w:cs="Times New Roman"/>
                <w:b/>
                <w:bCs/>
                <w:sz w:val="20"/>
                <w:szCs w:val="20"/>
              </w:rPr>
              <w:t xml:space="preserve">v </w:t>
            </w:r>
            <w:r w:rsidRPr="00F3685E">
              <w:rPr>
                <w:rFonts w:ascii="Times New Roman" w:hAnsi="Times New Roman" w:cs="Times New Roman"/>
                <w:b/>
                <w:bCs/>
                <w:sz w:val="20"/>
                <w:szCs w:val="20"/>
              </w:rPr>
              <w:t>mil. Sk)</w:t>
            </w:r>
          </w:p>
        </w:tc>
      </w:tr>
      <w:tr>
        <w:tblPrEx>
          <w:tblW w:w="8663" w:type="dxa"/>
          <w:jc w:val="center"/>
          <w:tblLayout w:type="fixed"/>
          <w:tblCellMar>
            <w:left w:w="70" w:type="dxa"/>
            <w:right w:w="70" w:type="dxa"/>
          </w:tblCellMar>
        </w:tblPrEx>
        <w:trPr>
          <w:trHeight w:val="340"/>
          <w:jc w:val="center"/>
        </w:trPr>
        <w:tc>
          <w:tcPr>
            <w:tcW w:w="3061" w:type="dxa"/>
            <w:tcBorders>
              <w:top w:val="nil"/>
              <w:left w:val="single" w:sz="8" w:space="0" w:color="auto"/>
              <w:bottom w:val="single" w:sz="4" w:space="0" w:color="auto"/>
              <w:right w:val="single" w:sz="4" w:space="0" w:color="auto"/>
              <w:tl2br w:val="nil"/>
              <w:tr2bl w:val="nil"/>
            </w:tcBorders>
            <w:shd w:val="clear" w:color="auto" w:fill="FFFFFF"/>
            <w:noWrap/>
            <w:textDirection w:val="lrTb"/>
            <w:vAlign w:val="center"/>
          </w:tcPr>
          <w:p w:rsidR="00DE3128" w:rsidRPr="00F3685E" w:rsidP="00DE3128">
            <w:pPr>
              <w:rPr>
                <w:rFonts w:ascii="Times New Roman" w:hAnsi="Times New Roman" w:cs="Times New Roman"/>
                <w:b/>
                <w:bCs/>
                <w:sz w:val="20"/>
                <w:szCs w:val="20"/>
              </w:rPr>
            </w:pPr>
            <w:r w:rsidRPr="00F3685E">
              <w:rPr>
                <w:rFonts w:ascii="Times New Roman" w:hAnsi="Times New Roman" w:cs="Times New Roman"/>
                <w:b/>
                <w:bCs/>
                <w:sz w:val="20"/>
                <w:szCs w:val="20"/>
              </w:rPr>
              <w:t> </w:t>
            </w:r>
          </w:p>
        </w:tc>
        <w:tc>
          <w:tcPr>
            <w:tcW w:w="1867" w:type="dxa"/>
            <w:tcBorders>
              <w:top w:val="nil"/>
              <w:left w:val="nil"/>
              <w:bottom w:val="single" w:sz="4" w:space="0" w:color="auto"/>
              <w:right w:val="single" w:sz="4" w:space="0" w:color="auto"/>
              <w:tl2br w:val="nil"/>
              <w:tr2bl w:val="nil"/>
            </w:tcBorders>
            <w:shd w:val="clear" w:color="auto" w:fill="FFFFFF"/>
            <w:textDirection w:val="lrTb"/>
            <w:vAlign w:val="center"/>
          </w:tcPr>
          <w:p w:rsidR="00DE3128" w:rsidRPr="00F3685E" w:rsidP="00DE3128">
            <w:pPr>
              <w:jc w:val="center"/>
              <w:rPr>
                <w:rFonts w:ascii="Times New Roman" w:hAnsi="Times New Roman" w:cs="Times New Roman"/>
                <w:b/>
                <w:bCs/>
                <w:sz w:val="20"/>
                <w:szCs w:val="20"/>
              </w:rPr>
            </w:pPr>
            <w:r w:rsidRPr="00F3685E">
              <w:rPr>
                <w:rFonts w:ascii="Times New Roman" w:hAnsi="Times New Roman" w:cs="Times New Roman"/>
                <w:b/>
                <w:bCs/>
                <w:sz w:val="20"/>
                <w:szCs w:val="20"/>
              </w:rPr>
              <w:t>2005</w:t>
            </w:r>
          </w:p>
        </w:tc>
        <w:tc>
          <w:tcPr>
            <w:tcW w:w="1867" w:type="dxa"/>
            <w:tcBorders>
              <w:top w:val="nil"/>
              <w:left w:val="nil"/>
              <w:bottom w:val="single" w:sz="4" w:space="0" w:color="auto"/>
              <w:right w:val="single" w:sz="4" w:space="0" w:color="auto"/>
              <w:tl2br w:val="nil"/>
              <w:tr2bl w:val="nil"/>
            </w:tcBorders>
            <w:shd w:val="clear" w:color="auto" w:fill="FFFFFF"/>
            <w:textDirection w:val="lrTb"/>
            <w:vAlign w:val="center"/>
          </w:tcPr>
          <w:p w:rsidR="00DE3128" w:rsidRPr="00F3685E" w:rsidP="00DE3128">
            <w:pPr>
              <w:jc w:val="center"/>
              <w:rPr>
                <w:rFonts w:ascii="Times New Roman" w:hAnsi="Times New Roman" w:cs="Times New Roman"/>
                <w:b/>
                <w:bCs/>
                <w:sz w:val="20"/>
                <w:szCs w:val="20"/>
              </w:rPr>
            </w:pPr>
            <w:r w:rsidRPr="00F3685E">
              <w:rPr>
                <w:rFonts w:ascii="Times New Roman" w:hAnsi="Times New Roman" w:cs="Times New Roman"/>
                <w:b/>
                <w:bCs/>
                <w:sz w:val="20"/>
                <w:szCs w:val="20"/>
              </w:rPr>
              <w:t>2006</w:t>
            </w:r>
          </w:p>
        </w:tc>
        <w:tc>
          <w:tcPr>
            <w:tcW w:w="1868" w:type="dxa"/>
            <w:tcBorders>
              <w:top w:val="nil"/>
              <w:left w:val="nil"/>
              <w:bottom w:val="single" w:sz="4" w:space="0" w:color="auto"/>
              <w:right w:val="single" w:sz="8" w:space="0" w:color="auto"/>
              <w:tl2br w:val="nil"/>
              <w:tr2bl w:val="nil"/>
            </w:tcBorders>
            <w:shd w:val="clear" w:color="auto" w:fill="FFFFFF"/>
            <w:textDirection w:val="lrTb"/>
            <w:vAlign w:val="center"/>
          </w:tcPr>
          <w:p w:rsidR="00DE3128" w:rsidRPr="00F3685E" w:rsidP="00DE3128">
            <w:pPr>
              <w:jc w:val="center"/>
              <w:rPr>
                <w:rFonts w:ascii="Times New Roman" w:hAnsi="Times New Roman" w:cs="Times New Roman"/>
                <w:b/>
                <w:bCs/>
                <w:sz w:val="20"/>
                <w:szCs w:val="20"/>
              </w:rPr>
            </w:pPr>
            <w:r w:rsidRPr="00F3685E">
              <w:rPr>
                <w:rFonts w:ascii="Times New Roman" w:hAnsi="Times New Roman" w:cs="Times New Roman"/>
                <w:b/>
                <w:bCs/>
                <w:sz w:val="20"/>
                <w:szCs w:val="20"/>
              </w:rPr>
              <w:t>Rozdiel</w:t>
            </w:r>
          </w:p>
        </w:tc>
      </w:tr>
      <w:tr>
        <w:tblPrEx>
          <w:tblW w:w="8663" w:type="dxa"/>
          <w:jc w:val="center"/>
          <w:tblLayout w:type="fixed"/>
          <w:tblCellMar>
            <w:left w:w="70" w:type="dxa"/>
            <w:right w:w="70" w:type="dxa"/>
          </w:tblCellMar>
        </w:tblPrEx>
        <w:trPr>
          <w:trHeight w:val="340"/>
          <w:jc w:val="center"/>
        </w:trPr>
        <w:tc>
          <w:tcPr>
            <w:tcW w:w="3061" w:type="dxa"/>
            <w:tcBorders>
              <w:top w:val="nil"/>
              <w:left w:val="single" w:sz="8" w:space="0" w:color="auto"/>
              <w:bottom w:val="single" w:sz="4" w:space="0" w:color="auto"/>
              <w:right w:val="single" w:sz="4" w:space="0" w:color="auto"/>
              <w:tl2br w:val="nil"/>
              <w:tr2bl w:val="nil"/>
            </w:tcBorders>
            <w:shd w:val="clear" w:color="auto" w:fill="FFFFFF"/>
            <w:noWrap/>
            <w:textDirection w:val="lrTb"/>
            <w:vAlign w:val="center"/>
          </w:tcPr>
          <w:p w:rsidR="00DE3128" w:rsidRPr="00F3685E" w:rsidP="00F3685E">
            <w:pPr>
              <w:ind w:firstLine="200"/>
              <w:rPr>
                <w:rFonts w:ascii="Times New Roman" w:hAnsi="Times New Roman" w:cs="Times New Roman"/>
                <w:sz w:val="20"/>
                <w:szCs w:val="20"/>
              </w:rPr>
            </w:pPr>
            <w:r w:rsidRPr="00F3685E">
              <w:rPr>
                <w:rFonts w:ascii="Times New Roman" w:hAnsi="Times New Roman" w:cs="Times New Roman"/>
                <w:sz w:val="20"/>
                <w:szCs w:val="20"/>
              </w:rPr>
              <w:t>Daňové úrady</w:t>
            </w:r>
          </w:p>
        </w:tc>
        <w:tc>
          <w:tcPr>
            <w:tcW w:w="1867" w:type="dxa"/>
            <w:tcBorders>
              <w:top w:val="nil"/>
              <w:left w:val="nil"/>
              <w:bottom w:val="single" w:sz="4" w:space="0" w:color="auto"/>
              <w:right w:val="single" w:sz="4" w:space="0" w:color="auto"/>
              <w:tl2br w:val="nil"/>
              <w:tr2bl w:val="nil"/>
            </w:tcBorders>
            <w:shd w:val="clear" w:color="auto" w:fill="FFFFFF"/>
            <w:textDirection w:val="lrTb"/>
            <w:vAlign w:val="center"/>
          </w:tcPr>
          <w:p w:rsidR="00DE3128" w:rsidRPr="00F3685E" w:rsidP="00DE3128">
            <w:pPr>
              <w:jc w:val="right"/>
              <w:rPr>
                <w:rFonts w:ascii="Times New Roman" w:hAnsi="Times New Roman" w:cs="Times New Roman"/>
                <w:sz w:val="20"/>
                <w:szCs w:val="20"/>
              </w:rPr>
            </w:pPr>
            <w:r w:rsidRPr="00F3685E">
              <w:rPr>
                <w:rFonts w:ascii="Times New Roman" w:hAnsi="Times New Roman" w:cs="Times New Roman"/>
                <w:sz w:val="20"/>
                <w:szCs w:val="20"/>
              </w:rPr>
              <w:t>10,8</w:t>
            </w:r>
          </w:p>
        </w:tc>
        <w:tc>
          <w:tcPr>
            <w:tcW w:w="1867" w:type="dxa"/>
            <w:tcBorders>
              <w:top w:val="nil"/>
              <w:left w:val="nil"/>
              <w:bottom w:val="single" w:sz="4" w:space="0" w:color="auto"/>
              <w:right w:val="single" w:sz="4" w:space="0" w:color="auto"/>
              <w:tl2br w:val="nil"/>
              <w:tr2bl w:val="nil"/>
            </w:tcBorders>
            <w:shd w:val="clear" w:color="auto" w:fill="FFFFFF"/>
            <w:textDirection w:val="lrTb"/>
            <w:vAlign w:val="center"/>
          </w:tcPr>
          <w:p w:rsidR="00DE3128" w:rsidRPr="00F3685E" w:rsidP="00DE3128">
            <w:pPr>
              <w:jc w:val="right"/>
              <w:rPr>
                <w:rFonts w:ascii="Times New Roman" w:hAnsi="Times New Roman" w:cs="Times New Roman"/>
                <w:sz w:val="20"/>
                <w:szCs w:val="20"/>
              </w:rPr>
            </w:pPr>
            <w:r w:rsidRPr="00F3685E">
              <w:rPr>
                <w:rFonts w:ascii="Times New Roman" w:hAnsi="Times New Roman" w:cs="Times New Roman"/>
                <w:sz w:val="20"/>
                <w:szCs w:val="20"/>
              </w:rPr>
              <w:t>43,2</w:t>
            </w:r>
          </w:p>
        </w:tc>
        <w:tc>
          <w:tcPr>
            <w:tcW w:w="1868" w:type="dxa"/>
            <w:tcBorders>
              <w:top w:val="nil"/>
              <w:left w:val="nil"/>
              <w:bottom w:val="single" w:sz="4" w:space="0" w:color="auto"/>
              <w:right w:val="single" w:sz="8" w:space="0" w:color="auto"/>
              <w:tl2br w:val="nil"/>
              <w:tr2bl w:val="nil"/>
            </w:tcBorders>
            <w:shd w:val="clear" w:color="auto" w:fill="FFFFFF"/>
            <w:noWrap/>
            <w:textDirection w:val="lrTb"/>
            <w:vAlign w:val="center"/>
          </w:tcPr>
          <w:p w:rsidR="00DE3128" w:rsidRPr="00F3685E" w:rsidP="00DE3128">
            <w:pPr>
              <w:jc w:val="right"/>
              <w:rPr>
                <w:rFonts w:ascii="Times New Roman" w:hAnsi="Times New Roman" w:cs="Times New Roman"/>
                <w:sz w:val="20"/>
                <w:szCs w:val="20"/>
              </w:rPr>
            </w:pPr>
            <w:r w:rsidRPr="00F3685E">
              <w:rPr>
                <w:rFonts w:ascii="Times New Roman" w:hAnsi="Times New Roman" w:cs="Times New Roman"/>
                <w:sz w:val="20"/>
                <w:szCs w:val="20"/>
              </w:rPr>
              <w:t>32,4</w:t>
            </w:r>
          </w:p>
        </w:tc>
      </w:tr>
      <w:tr>
        <w:tblPrEx>
          <w:tblW w:w="8663" w:type="dxa"/>
          <w:jc w:val="center"/>
          <w:tblLayout w:type="fixed"/>
          <w:tblCellMar>
            <w:left w:w="70" w:type="dxa"/>
            <w:right w:w="70" w:type="dxa"/>
          </w:tblCellMar>
        </w:tblPrEx>
        <w:trPr>
          <w:trHeight w:val="340"/>
          <w:jc w:val="center"/>
        </w:trPr>
        <w:tc>
          <w:tcPr>
            <w:tcW w:w="3061" w:type="dxa"/>
            <w:tcBorders>
              <w:top w:val="nil"/>
              <w:left w:val="single" w:sz="8" w:space="0" w:color="auto"/>
              <w:bottom w:val="single" w:sz="4" w:space="0" w:color="auto"/>
              <w:right w:val="single" w:sz="4" w:space="0" w:color="auto"/>
              <w:tl2br w:val="nil"/>
              <w:tr2bl w:val="nil"/>
            </w:tcBorders>
            <w:shd w:val="clear" w:color="auto" w:fill="FFFFFF"/>
            <w:noWrap/>
            <w:textDirection w:val="lrTb"/>
            <w:vAlign w:val="center"/>
          </w:tcPr>
          <w:p w:rsidR="00DE3128" w:rsidRPr="00F3685E" w:rsidP="00F3685E">
            <w:pPr>
              <w:ind w:firstLine="200"/>
              <w:rPr>
                <w:rFonts w:ascii="Times New Roman" w:hAnsi="Times New Roman" w:cs="Times New Roman"/>
                <w:sz w:val="20"/>
                <w:szCs w:val="20"/>
              </w:rPr>
            </w:pPr>
            <w:r w:rsidRPr="00F3685E">
              <w:rPr>
                <w:rFonts w:ascii="Times New Roman" w:hAnsi="Times New Roman" w:cs="Times New Roman"/>
                <w:sz w:val="20"/>
                <w:szCs w:val="20"/>
              </w:rPr>
              <w:t>Colné úrady</w:t>
            </w:r>
          </w:p>
        </w:tc>
        <w:tc>
          <w:tcPr>
            <w:tcW w:w="1867" w:type="dxa"/>
            <w:tcBorders>
              <w:top w:val="nil"/>
              <w:left w:val="nil"/>
              <w:bottom w:val="single" w:sz="4" w:space="0" w:color="auto"/>
              <w:right w:val="single" w:sz="4" w:space="0" w:color="auto"/>
              <w:tl2br w:val="nil"/>
              <w:tr2bl w:val="nil"/>
            </w:tcBorders>
            <w:shd w:val="clear" w:color="auto" w:fill="FFFFFF"/>
            <w:textDirection w:val="lrTb"/>
            <w:vAlign w:val="center"/>
          </w:tcPr>
          <w:p w:rsidR="00DE3128" w:rsidRPr="00F3685E" w:rsidP="00DE3128">
            <w:pPr>
              <w:jc w:val="right"/>
              <w:rPr>
                <w:rFonts w:ascii="Times New Roman" w:hAnsi="Times New Roman" w:cs="Times New Roman"/>
                <w:sz w:val="20"/>
                <w:szCs w:val="20"/>
              </w:rPr>
            </w:pPr>
            <w:r w:rsidRPr="00F3685E">
              <w:rPr>
                <w:rFonts w:ascii="Times New Roman" w:hAnsi="Times New Roman" w:cs="Times New Roman"/>
                <w:sz w:val="20"/>
                <w:szCs w:val="20"/>
              </w:rPr>
              <w:t>49 986,9</w:t>
            </w:r>
          </w:p>
        </w:tc>
        <w:tc>
          <w:tcPr>
            <w:tcW w:w="1867" w:type="dxa"/>
            <w:tcBorders>
              <w:top w:val="nil"/>
              <w:left w:val="nil"/>
              <w:bottom w:val="single" w:sz="4" w:space="0" w:color="auto"/>
              <w:right w:val="single" w:sz="4" w:space="0" w:color="auto"/>
              <w:tl2br w:val="nil"/>
              <w:tr2bl w:val="nil"/>
            </w:tcBorders>
            <w:shd w:val="clear" w:color="auto" w:fill="FFFFFF"/>
            <w:textDirection w:val="lrTb"/>
            <w:vAlign w:val="center"/>
          </w:tcPr>
          <w:p w:rsidR="00DE3128" w:rsidRPr="00F3685E" w:rsidP="00DE3128">
            <w:pPr>
              <w:jc w:val="right"/>
              <w:rPr>
                <w:rFonts w:ascii="Times New Roman" w:hAnsi="Times New Roman" w:cs="Times New Roman"/>
                <w:sz w:val="20"/>
                <w:szCs w:val="20"/>
              </w:rPr>
            </w:pPr>
            <w:r w:rsidRPr="00F3685E">
              <w:rPr>
                <w:rFonts w:ascii="Times New Roman" w:hAnsi="Times New Roman" w:cs="Times New Roman"/>
                <w:sz w:val="20"/>
                <w:szCs w:val="20"/>
              </w:rPr>
              <w:t>52 101,6</w:t>
            </w:r>
          </w:p>
        </w:tc>
        <w:tc>
          <w:tcPr>
            <w:tcW w:w="1868" w:type="dxa"/>
            <w:tcBorders>
              <w:top w:val="nil"/>
              <w:left w:val="nil"/>
              <w:bottom w:val="single" w:sz="4" w:space="0" w:color="auto"/>
              <w:right w:val="single" w:sz="8" w:space="0" w:color="auto"/>
              <w:tl2br w:val="nil"/>
              <w:tr2bl w:val="nil"/>
            </w:tcBorders>
            <w:shd w:val="clear" w:color="auto" w:fill="FFFFFF"/>
            <w:textDirection w:val="lrTb"/>
            <w:vAlign w:val="center"/>
          </w:tcPr>
          <w:p w:rsidR="00DE3128" w:rsidRPr="00F3685E" w:rsidP="00DE3128">
            <w:pPr>
              <w:jc w:val="right"/>
              <w:rPr>
                <w:rFonts w:ascii="Times New Roman" w:hAnsi="Times New Roman" w:cs="Times New Roman"/>
                <w:sz w:val="20"/>
                <w:szCs w:val="20"/>
              </w:rPr>
            </w:pPr>
            <w:r w:rsidRPr="00F3685E">
              <w:rPr>
                <w:rFonts w:ascii="Times New Roman" w:hAnsi="Times New Roman" w:cs="Times New Roman"/>
                <w:sz w:val="20"/>
                <w:szCs w:val="20"/>
              </w:rPr>
              <w:t>2 114,8</w:t>
            </w:r>
          </w:p>
        </w:tc>
      </w:tr>
      <w:tr>
        <w:tblPrEx>
          <w:tblW w:w="8663" w:type="dxa"/>
          <w:jc w:val="center"/>
          <w:tblLayout w:type="fixed"/>
          <w:tblCellMar>
            <w:left w:w="70" w:type="dxa"/>
            <w:right w:w="70" w:type="dxa"/>
          </w:tblCellMar>
        </w:tblPrEx>
        <w:trPr>
          <w:trHeight w:val="340"/>
          <w:jc w:val="center"/>
        </w:trPr>
        <w:tc>
          <w:tcPr>
            <w:tcW w:w="3061" w:type="dxa"/>
            <w:tcBorders>
              <w:top w:val="single" w:sz="4" w:space="0" w:color="auto"/>
              <w:left w:val="single" w:sz="8" w:space="0" w:color="auto"/>
              <w:bottom w:val="double" w:sz="6" w:space="0" w:color="auto"/>
              <w:right w:val="single" w:sz="4" w:space="0" w:color="auto"/>
              <w:tl2br w:val="nil"/>
              <w:tr2bl w:val="nil"/>
            </w:tcBorders>
            <w:shd w:val="clear" w:color="auto" w:fill="FFFFFF"/>
            <w:noWrap/>
            <w:textDirection w:val="lrTb"/>
            <w:vAlign w:val="center"/>
          </w:tcPr>
          <w:p w:rsidR="00DE3128" w:rsidRPr="00F3685E" w:rsidP="00DE3128">
            <w:pPr>
              <w:rPr>
                <w:rFonts w:ascii="Times New Roman" w:hAnsi="Times New Roman" w:cs="Times New Roman"/>
                <w:b/>
                <w:bCs/>
                <w:sz w:val="20"/>
                <w:szCs w:val="20"/>
              </w:rPr>
            </w:pPr>
            <w:r w:rsidRPr="00F3685E">
              <w:rPr>
                <w:rFonts w:ascii="Times New Roman" w:hAnsi="Times New Roman" w:cs="Times New Roman"/>
                <w:b/>
                <w:bCs/>
                <w:sz w:val="20"/>
                <w:szCs w:val="20"/>
              </w:rPr>
              <w:t>Sp</w:t>
            </w:r>
            <w:r w:rsidRPr="00F3685E">
              <w:rPr>
                <w:rFonts w:ascii="Times New Roman" w:hAnsi="Times New Roman" w:cs="Times New Roman"/>
                <w:b/>
                <w:bCs/>
                <w:sz w:val="20"/>
                <w:szCs w:val="20"/>
              </w:rPr>
              <w:t>otrebné dane spolu</w:t>
            </w:r>
          </w:p>
        </w:tc>
        <w:tc>
          <w:tcPr>
            <w:tcW w:w="1867" w:type="dxa"/>
            <w:tcBorders>
              <w:top w:val="single" w:sz="4" w:space="0" w:color="auto"/>
              <w:left w:val="nil"/>
              <w:bottom w:val="double" w:sz="6" w:space="0" w:color="auto"/>
              <w:right w:val="single" w:sz="4" w:space="0" w:color="auto"/>
              <w:tl2br w:val="nil"/>
              <w:tr2bl w:val="nil"/>
            </w:tcBorders>
            <w:shd w:val="clear" w:color="auto" w:fill="FFFFFF"/>
            <w:textDirection w:val="lrTb"/>
            <w:vAlign w:val="center"/>
          </w:tcPr>
          <w:p w:rsidR="00DE3128" w:rsidRPr="00F3685E" w:rsidP="00DE3128">
            <w:pPr>
              <w:jc w:val="right"/>
              <w:rPr>
                <w:rFonts w:ascii="Times New Roman" w:hAnsi="Times New Roman" w:cs="Times New Roman"/>
                <w:b/>
                <w:bCs/>
                <w:sz w:val="20"/>
                <w:szCs w:val="20"/>
              </w:rPr>
            </w:pPr>
            <w:r w:rsidRPr="00F3685E">
              <w:rPr>
                <w:rFonts w:ascii="Times New Roman" w:hAnsi="Times New Roman" w:cs="Times New Roman"/>
                <w:b/>
                <w:bCs/>
                <w:sz w:val="20"/>
                <w:szCs w:val="20"/>
              </w:rPr>
              <w:t>49 997,7</w:t>
            </w:r>
          </w:p>
        </w:tc>
        <w:tc>
          <w:tcPr>
            <w:tcW w:w="1867" w:type="dxa"/>
            <w:tcBorders>
              <w:top w:val="single" w:sz="4" w:space="0" w:color="auto"/>
              <w:left w:val="nil"/>
              <w:bottom w:val="double" w:sz="6" w:space="0" w:color="auto"/>
              <w:right w:val="single" w:sz="4" w:space="0" w:color="auto"/>
              <w:tl2br w:val="nil"/>
              <w:tr2bl w:val="nil"/>
            </w:tcBorders>
            <w:shd w:val="clear" w:color="auto" w:fill="FFFFFF"/>
            <w:textDirection w:val="lrTb"/>
            <w:vAlign w:val="center"/>
          </w:tcPr>
          <w:p w:rsidR="00DE3128" w:rsidRPr="00F3685E" w:rsidP="00DE3128">
            <w:pPr>
              <w:jc w:val="right"/>
              <w:rPr>
                <w:rFonts w:ascii="Times New Roman" w:hAnsi="Times New Roman" w:cs="Times New Roman"/>
                <w:b/>
                <w:bCs/>
                <w:sz w:val="20"/>
                <w:szCs w:val="20"/>
              </w:rPr>
            </w:pPr>
            <w:r w:rsidRPr="00F3685E">
              <w:rPr>
                <w:rFonts w:ascii="Times New Roman" w:hAnsi="Times New Roman" w:cs="Times New Roman"/>
                <w:b/>
                <w:bCs/>
                <w:sz w:val="20"/>
                <w:szCs w:val="20"/>
              </w:rPr>
              <w:t>52 144,8</w:t>
            </w:r>
          </w:p>
        </w:tc>
        <w:tc>
          <w:tcPr>
            <w:tcW w:w="1868" w:type="dxa"/>
            <w:tcBorders>
              <w:top w:val="single" w:sz="4" w:space="0" w:color="auto"/>
              <w:left w:val="nil"/>
              <w:bottom w:val="double" w:sz="6" w:space="0" w:color="auto"/>
              <w:right w:val="single" w:sz="8" w:space="0" w:color="auto"/>
              <w:tl2br w:val="nil"/>
              <w:tr2bl w:val="nil"/>
            </w:tcBorders>
            <w:shd w:val="clear" w:color="auto" w:fill="FFFFFF"/>
            <w:textDirection w:val="lrTb"/>
            <w:vAlign w:val="center"/>
          </w:tcPr>
          <w:p w:rsidR="00DE3128" w:rsidRPr="00F3685E" w:rsidP="00DE3128">
            <w:pPr>
              <w:jc w:val="right"/>
              <w:rPr>
                <w:rFonts w:ascii="Times New Roman" w:hAnsi="Times New Roman" w:cs="Times New Roman"/>
                <w:b/>
                <w:bCs/>
                <w:sz w:val="20"/>
                <w:szCs w:val="20"/>
              </w:rPr>
            </w:pPr>
            <w:r w:rsidRPr="00F3685E">
              <w:rPr>
                <w:rFonts w:ascii="Times New Roman" w:hAnsi="Times New Roman" w:cs="Times New Roman"/>
                <w:b/>
                <w:bCs/>
                <w:sz w:val="20"/>
                <w:szCs w:val="20"/>
              </w:rPr>
              <w:t>2 147,1</w:t>
            </w:r>
          </w:p>
        </w:tc>
      </w:tr>
    </w:tbl>
    <w:p w:rsidR="00DE3128" w:rsidRPr="00F3685E" w:rsidP="00DE3128">
      <w:pPr>
        <w:spacing w:before="120" w:after="120" w:line="360" w:lineRule="auto"/>
        <w:jc w:val="both"/>
        <w:rPr>
          <w:rFonts w:ascii="Times New Roman" w:hAnsi="Times New Roman" w:cs="Times New Roman"/>
          <w:sz w:val="20"/>
          <w:szCs w:val="20"/>
        </w:rPr>
      </w:pPr>
      <w:r w:rsidRPr="00F3685E" w:rsidR="00E06D0D">
        <w:rPr>
          <w:rFonts w:ascii="Times New Roman" w:hAnsi="Times New Roman" w:cs="Times New Roman"/>
          <w:sz w:val="20"/>
          <w:szCs w:val="20"/>
        </w:rPr>
        <w:t xml:space="preserve">   </w:t>
      </w:r>
      <w:r w:rsidRPr="00F3685E">
        <w:rPr>
          <w:rFonts w:ascii="Times New Roman" w:hAnsi="Times New Roman" w:cs="Times New Roman"/>
          <w:sz w:val="20"/>
          <w:szCs w:val="20"/>
        </w:rPr>
        <w:t>Zdroj: Daňové riaditeľstvo SR, Ministerstvo financií SR</w:t>
      </w:r>
    </w:p>
    <w:p w:rsidR="00DE3128" w:rsidRPr="00026EC7" w:rsidP="00DE3128">
      <w:pPr>
        <w:spacing w:line="360" w:lineRule="auto"/>
        <w:ind w:firstLine="709"/>
        <w:jc w:val="both"/>
        <w:rPr>
          <w:rFonts w:ascii="Times New Roman" w:hAnsi="Times New Roman" w:cs="Times New Roman"/>
        </w:rPr>
      </w:pPr>
      <w:r w:rsidRPr="00026EC7">
        <w:rPr>
          <w:rFonts w:ascii="Wingdings" w:hAnsi="Wingdings" w:cs="Times New Roman"/>
          <w:b/>
        </w:rPr>
        <w:sym w:font="Wingdings" w:char="F0D8"/>
      </w:r>
      <w:r w:rsidRPr="00026EC7">
        <w:rPr>
          <w:rFonts w:ascii="Times New Roman" w:hAnsi="Times New Roman" w:cs="Times New Roman"/>
          <w:b/>
        </w:rPr>
        <w:t xml:space="preserve"> Dane z používania tovarov a z povolenia na výkon činnosti</w:t>
      </w:r>
      <w:r w:rsidRPr="00026EC7">
        <w:rPr>
          <w:rFonts w:ascii="Times New Roman" w:hAnsi="Times New Roman" w:cs="Times New Roman"/>
        </w:rPr>
        <w:t xml:space="preserve"> boli v rozpočte tvorené len daňou z úhrad za dobývací priestor  vo výške 2,0 mil. Sk</w:t>
      </w:r>
      <w:r>
        <w:rPr>
          <w:rFonts w:ascii="Times New Roman" w:hAnsi="Times New Roman" w:cs="Times New Roman"/>
        </w:rPr>
        <w:t xml:space="preserve"> a jej skutočný výnos </w:t>
      </w:r>
      <w:r w:rsidRPr="00026EC7">
        <w:rPr>
          <w:rFonts w:ascii="Times New Roman" w:hAnsi="Times New Roman" w:cs="Times New Roman"/>
        </w:rPr>
        <w:t>dosiah</w:t>
      </w:r>
      <w:r>
        <w:rPr>
          <w:rFonts w:ascii="Times New Roman" w:hAnsi="Times New Roman" w:cs="Times New Roman"/>
        </w:rPr>
        <w:t>ol k 31.12.2006 sumu</w:t>
      </w:r>
      <w:r w:rsidRPr="00026EC7">
        <w:rPr>
          <w:rFonts w:ascii="Times New Roman" w:hAnsi="Times New Roman" w:cs="Times New Roman"/>
        </w:rPr>
        <w:t xml:space="preserve"> 2,1 mil. Sk</w:t>
      </w:r>
      <w:r>
        <w:rPr>
          <w:rFonts w:ascii="Times New Roman" w:hAnsi="Times New Roman" w:cs="Times New Roman"/>
        </w:rPr>
        <w:t xml:space="preserve">. Výnos celej dane z používania tovarov a z povolenia na výkon činnosti  má pasívny zostatok </w:t>
      </w:r>
      <w:r w:rsidRPr="00026EC7">
        <w:rPr>
          <w:rFonts w:ascii="Times New Roman" w:hAnsi="Times New Roman" w:cs="Times New Roman"/>
        </w:rPr>
        <w:t>16,</w:t>
      </w:r>
      <w:r>
        <w:rPr>
          <w:rFonts w:ascii="Times New Roman" w:hAnsi="Times New Roman" w:cs="Times New Roman"/>
        </w:rPr>
        <w:t>2</w:t>
      </w:r>
      <w:r w:rsidRPr="00026EC7">
        <w:rPr>
          <w:rFonts w:ascii="Times New Roman" w:hAnsi="Times New Roman" w:cs="Times New Roman"/>
        </w:rPr>
        <w:t xml:space="preserve"> mil. Sk.</w:t>
      </w:r>
      <w:r>
        <w:rPr>
          <w:rFonts w:ascii="Times New Roman" w:hAnsi="Times New Roman" w:cs="Times New Roman"/>
        </w:rPr>
        <w:t xml:space="preserve"> Je to dôsledok skutočnosti, že               zo zrušenej </w:t>
      </w:r>
      <w:r w:rsidRPr="00026EC7">
        <w:rPr>
          <w:rFonts w:ascii="Times New Roman" w:hAnsi="Times New Roman" w:cs="Times New Roman"/>
        </w:rPr>
        <w:t>cestn</w:t>
      </w:r>
      <w:r>
        <w:rPr>
          <w:rFonts w:ascii="Times New Roman" w:hAnsi="Times New Roman" w:cs="Times New Roman"/>
        </w:rPr>
        <w:t>ej</w:t>
      </w:r>
      <w:r w:rsidRPr="00026EC7">
        <w:rPr>
          <w:rFonts w:ascii="Times New Roman" w:hAnsi="Times New Roman" w:cs="Times New Roman"/>
        </w:rPr>
        <w:t xml:space="preserve"> da</w:t>
      </w:r>
      <w:r>
        <w:rPr>
          <w:rFonts w:ascii="Times New Roman" w:hAnsi="Times New Roman" w:cs="Times New Roman"/>
        </w:rPr>
        <w:t>ne (</w:t>
      </w:r>
      <w:r w:rsidRPr="00026EC7">
        <w:rPr>
          <w:rFonts w:ascii="Times New Roman" w:hAnsi="Times New Roman" w:cs="Times New Roman"/>
        </w:rPr>
        <w:t>od roku 2005</w:t>
      </w:r>
      <w:r>
        <w:rPr>
          <w:rFonts w:ascii="Times New Roman" w:hAnsi="Times New Roman" w:cs="Times New Roman"/>
        </w:rPr>
        <w:t xml:space="preserve">), ktorá bola príjmom vyšších územných celkov, prišli na príjmový účet </w:t>
      </w:r>
      <w:r w:rsidRPr="00026EC7">
        <w:rPr>
          <w:rFonts w:ascii="Times New Roman" w:hAnsi="Times New Roman" w:cs="Times New Roman"/>
        </w:rPr>
        <w:t>štátneho rozpočtu dobiehajúce platby v celkovej sume 16,0 mil. Sk. Výnos cestnej dane sa do</w:t>
      </w:r>
      <w:r>
        <w:rPr>
          <w:rFonts w:ascii="Times New Roman" w:hAnsi="Times New Roman" w:cs="Times New Roman"/>
        </w:rPr>
        <w:t xml:space="preserve"> rozpočtov</w:t>
      </w:r>
      <w:r w:rsidRPr="00026EC7">
        <w:rPr>
          <w:rFonts w:ascii="Times New Roman" w:hAnsi="Times New Roman" w:cs="Times New Roman"/>
        </w:rPr>
        <w:t xml:space="preserve"> vyšších územných celkov</w:t>
      </w:r>
      <w:r>
        <w:rPr>
          <w:rFonts w:ascii="Times New Roman" w:hAnsi="Times New Roman" w:cs="Times New Roman"/>
        </w:rPr>
        <w:t xml:space="preserve"> prevádza</w:t>
      </w:r>
      <w:r w:rsidRPr="00026EC7">
        <w:rPr>
          <w:rFonts w:ascii="Times New Roman" w:hAnsi="Times New Roman" w:cs="Times New Roman"/>
        </w:rPr>
        <w:t xml:space="preserve"> s určitým časovým posunom</w:t>
      </w:r>
      <w:r>
        <w:rPr>
          <w:rFonts w:ascii="Times New Roman" w:hAnsi="Times New Roman" w:cs="Times New Roman"/>
        </w:rPr>
        <w:t xml:space="preserve">, pričom sa </w:t>
      </w:r>
      <w:r w:rsidRPr="00026EC7">
        <w:rPr>
          <w:rFonts w:ascii="Times New Roman" w:hAnsi="Times New Roman" w:cs="Times New Roman"/>
        </w:rPr>
        <w:t>previedla nielen suma vybraná z cestnej dane za rok 2006, ale aj časť výnosu cestnej dane z roku 2005 v celkovej výške 34,3 mil. Sk</w:t>
      </w:r>
      <w:r>
        <w:rPr>
          <w:rFonts w:ascii="Times New Roman" w:hAnsi="Times New Roman" w:cs="Times New Roman"/>
        </w:rPr>
        <w:t xml:space="preserve">, čo spôsobilo celkový negatívny </w:t>
      </w:r>
      <w:r w:rsidR="00671758">
        <w:rPr>
          <w:rFonts w:ascii="Times New Roman" w:hAnsi="Times New Roman" w:cs="Times New Roman"/>
        </w:rPr>
        <w:t>zostatok na účte ŠR, na ktor</w:t>
      </w:r>
      <w:r w:rsidR="00123955">
        <w:rPr>
          <w:rFonts w:ascii="Times New Roman" w:hAnsi="Times New Roman" w:cs="Times New Roman"/>
        </w:rPr>
        <w:t>om sa táto daň vyberá v sume 18,</w:t>
      </w:r>
      <w:r w:rsidR="00671758">
        <w:rPr>
          <w:rFonts w:ascii="Times New Roman" w:hAnsi="Times New Roman" w:cs="Times New Roman"/>
        </w:rPr>
        <w:t>3 mil. Sk.</w:t>
      </w:r>
      <w:r w:rsidRPr="00026EC7">
        <w:rPr>
          <w:rFonts w:ascii="Times New Roman" w:hAnsi="Times New Roman" w:cs="Times New Roman"/>
        </w:rPr>
        <w:t xml:space="preserve"> </w:t>
      </w:r>
    </w:p>
    <w:p w:rsidR="00DE3128" w:rsidP="00DE3128">
      <w:pPr>
        <w:spacing w:line="360" w:lineRule="auto"/>
        <w:jc w:val="center"/>
        <w:outlineLvl w:val="0"/>
        <w:rPr>
          <w:rFonts w:ascii="Times New Roman" w:hAnsi="Times New Roman" w:cs="Times New Roman"/>
          <w:b/>
        </w:rPr>
      </w:pPr>
    </w:p>
    <w:p w:rsidR="00DE3128" w:rsidRPr="00650911" w:rsidP="00DE3128">
      <w:pPr>
        <w:spacing w:line="360" w:lineRule="auto"/>
        <w:jc w:val="center"/>
        <w:outlineLvl w:val="0"/>
        <w:rPr>
          <w:rFonts w:ascii="Times New Roman" w:hAnsi="Times New Roman" w:cs="Times New Roman"/>
          <w:b/>
        </w:rPr>
      </w:pPr>
      <w:r w:rsidRPr="00650911">
        <w:rPr>
          <w:rFonts w:ascii="Times New Roman" w:hAnsi="Times New Roman" w:cs="Times New Roman"/>
          <w:b/>
        </w:rPr>
        <w:t>2.1.1.4. Dane z medzinárodného obchodu a tran</w:t>
      </w:r>
      <w:r w:rsidRPr="00650911">
        <w:rPr>
          <w:rFonts w:ascii="Times New Roman" w:hAnsi="Times New Roman" w:cs="Times New Roman"/>
          <w:b/>
        </w:rPr>
        <w:t>sakcií</w:t>
      </w:r>
    </w:p>
    <w:p w:rsidR="00DE3128" w:rsidP="00DE312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autoSpaceDN/>
        <w:spacing w:line="360" w:lineRule="auto"/>
        <w:jc w:val="both"/>
        <w:rPr>
          <w:rFonts w:ascii="Times New Roman" w:hAnsi="Times New Roman" w:cs="Times New Roman"/>
        </w:rPr>
      </w:pPr>
    </w:p>
    <w:p w:rsidR="00DE3128" w:rsidRPr="00650911" w:rsidP="00DE312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autoSpaceDN/>
        <w:spacing w:line="360" w:lineRule="auto"/>
        <w:jc w:val="both"/>
        <w:rPr>
          <w:rFonts w:ascii="Times New Roman" w:hAnsi="Times New Roman" w:cs="Times New Roman"/>
        </w:rPr>
      </w:pPr>
      <w:r>
        <w:rPr>
          <w:rFonts w:ascii="Times New Roman" w:hAnsi="Times New Roman" w:cs="Times New Roman"/>
        </w:rPr>
        <w:tab/>
      </w:r>
      <w:r w:rsidRPr="00650911">
        <w:rPr>
          <w:rFonts w:ascii="Times New Roman" w:hAnsi="Times New Roman" w:cs="Times New Roman"/>
        </w:rPr>
        <w:t>Výnos  daní z medzinárodného obchodu a transakcií sa rozpočtoval v celkovej výške 600,0 mil. Sk</w:t>
      </w:r>
      <w:r>
        <w:rPr>
          <w:rFonts w:ascii="Times New Roman" w:hAnsi="Times New Roman" w:cs="Times New Roman"/>
        </w:rPr>
        <w:t xml:space="preserve">, v </w:t>
      </w:r>
      <w:r w:rsidRPr="00650911">
        <w:rPr>
          <w:rFonts w:ascii="Times New Roman" w:hAnsi="Times New Roman" w:cs="Times New Roman"/>
        </w:rPr>
        <w:t>skutočnosti dosiahol 63</w:t>
      </w:r>
      <w:r>
        <w:rPr>
          <w:rFonts w:ascii="Times New Roman" w:hAnsi="Times New Roman" w:cs="Times New Roman"/>
        </w:rPr>
        <w:t>2</w:t>
      </w:r>
      <w:r w:rsidRPr="00650911">
        <w:rPr>
          <w:rFonts w:ascii="Times New Roman" w:hAnsi="Times New Roman" w:cs="Times New Roman"/>
        </w:rPr>
        <w:t>,</w:t>
      </w:r>
      <w:r>
        <w:rPr>
          <w:rFonts w:ascii="Times New Roman" w:hAnsi="Times New Roman" w:cs="Times New Roman"/>
        </w:rPr>
        <w:t>9</w:t>
      </w:r>
      <w:r w:rsidRPr="00650911">
        <w:rPr>
          <w:rFonts w:ascii="Times New Roman" w:hAnsi="Times New Roman" w:cs="Times New Roman"/>
        </w:rPr>
        <w:t xml:space="preserve"> mil. Sk, čo predstavuje plnenie na 105,5 %. V porovnaní s rokom 2005 bol výnos o 118,2 mil. Sk vyšší. </w:t>
      </w:r>
      <w:r>
        <w:rPr>
          <w:rFonts w:ascii="Times New Roman" w:hAnsi="Times New Roman" w:cs="Times New Roman"/>
        </w:rPr>
        <w:t>Takmer celý objem t</w:t>
      </w:r>
      <w:r>
        <w:rPr>
          <w:rFonts w:ascii="Times New Roman" w:hAnsi="Times New Roman" w:cs="Times New Roman"/>
        </w:rPr>
        <w:t xml:space="preserve">ýchto daní </w:t>
      </w:r>
      <w:r w:rsidRPr="00650911">
        <w:rPr>
          <w:rFonts w:ascii="Times New Roman" w:hAnsi="Times New Roman" w:cs="Times New Roman"/>
        </w:rPr>
        <w:t>tvorí výnos z podielu na vybratých finančných prostriedkoch, ktor</w:t>
      </w:r>
      <w:r>
        <w:rPr>
          <w:rFonts w:ascii="Times New Roman" w:hAnsi="Times New Roman" w:cs="Times New Roman"/>
        </w:rPr>
        <w:t>ý dosiahol</w:t>
      </w:r>
      <w:r w:rsidRPr="00650911">
        <w:rPr>
          <w:rFonts w:ascii="Times New Roman" w:hAnsi="Times New Roman" w:cs="Times New Roman"/>
        </w:rPr>
        <w:t xml:space="preserve"> 664,6 mil. Sk </w:t>
      </w:r>
      <w:r>
        <w:rPr>
          <w:rFonts w:ascii="Times New Roman" w:hAnsi="Times New Roman" w:cs="Times New Roman"/>
        </w:rPr>
        <w:t>(</w:t>
      </w:r>
      <w:r w:rsidRPr="00650911">
        <w:rPr>
          <w:rFonts w:ascii="Times New Roman" w:hAnsi="Times New Roman" w:cs="Times New Roman"/>
        </w:rPr>
        <w:t>plnenie rozpočtu na 110,8</w:t>
      </w:r>
      <w:r>
        <w:rPr>
          <w:rFonts w:ascii="Times New Roman" w:hAnsi="Times New Roman" w:cs="Times New Roman"/>
        </w:rPr>
        <w:t xml:space="preserve"> </w:t>
      </w:r>
      <w:r w:rsidRPr="00650911">
        <w:rPr>
          <w:rFonts w:ascii="Times New Roman" w:hAnsi="Times New Roman" w:cs="Times New Roman"/>
        </w:rPr>
        <w:t>%</w:t>
      </w:r>
      <w:r>
        <w:rPr>
          <w:rFonts w:ascii="Times New Roman" w:hAnsi="Times New Roman" w:cs="Times New Roman"/>
        </w:rPr>
        <w:t xml:space="preserve">) a oproti rozpočtu bol </w:t>
      </w:r>
      <w:r w:rsidRPr="00650911">
        <w:rPr>
          <w:rFonts w:ascii="Times New Roman" w:hAnsi="Times New Roman" w:cs="Times New Roman"/>
        </w:rPr>
        <w:t>o 64,6 mil. Sk vyšší.</w:t>
      </w:r>
      <w:r>
        <w:rPr>
          <w:rFonts w:ascii="Times New Roman" w:hAnsi="Times New Roman" w:cs="Times New Roman"/>
        </w:rPr>
        <w:t xml:space="preserve"> Ďalšie príjmy patriace do tejto skupiny celkový výnos znižujú: dobeh </w:t>
      </w:r>
      <w:r w:rsidRPr="00650911">
        <w:rPr>
          <w:rFonts w:ascii="Times New Roman" w:hAnsi="Times New Roman" w:cs="Times New Roman"/>
        </w:rPr>
        <w:t>dovozného cl</w:t>
      </w:r>
      <w:r w:rsidRPr="00650911">
        <w:rPr>
          <w:rFonts w:ascii="Times New Roman" w:hAnsi="Times New Roman" w:cs="Times New Roman"/>
        </w:rPr>
        <w:t>a, ktoré bolo vymerané pre</w:t>
      </w:r>
      <w:r>
        <w:rPr>
          <w:rFonts w:ascii="Times New Roman" w:hAnsi="Times New Roman" w:cs="Times New Roman"/>
        </w:rPr>
        <w:t>d vstupom Slovenskej republiky do Európskej únie</w:t>
      </w:r>
      <w:r w:rsidRPr="00650911">
        <w:rPr>
          <w:rFonts w:ascii="Times New Roman" w:hAnsi="Times New Roman" w:cs="Times New Roman"/>
        </w:rPr>
        <w:t xml:space="preserve"> 1.5.2004</w:t>
      </w:r>
      <w:r>
        <w:rPr>
          <w:rFonts w:ascii="Times New Roman" w:hAnsi="Times New Roman" w:cs="Times New Roman"/>
        </w:rPr>
        <w:t xml:space="preserve"> o </w:t>
      </w:r>
      <w:r w:rsidRPr="00650911">
        <w:rPr>
          <w:rFonts w:ascii="Times New Roman" w:hAnsi="Times New Roman" w:cs="Times New Roman"/>
        </w:rPr>
        <w:t>32,3 mil. Sk</w:t>
      </w:r>
      <w:r>
        <w:rPr>
          <w:rFonts w:ascii="Times New Roman" w:hAnsi="Times New Roman" w:cs="Times New Roman"/>
        </w:rPr>
        <w:t xml:space="preserve"> a dobeh </w:t>
      </w:r>
      <w:r w:rsidRPr="00650911">
        <w:rPr>
          <w:rFonts w:ascii="Times New Roman" w:hAnsi="Times New Roman" w:cs="Times New Roman"/>
        </w:rPr>
        <w:t>zrušenej dovoznej prirážky o</w:t>
      </w:r>
      <w:r>
        <w:rPr>
          <w:rFonts w:ascii="Times New Roman" w:hAnsi="Times New Roman" w:cs="Times New Roman"/>
        </w:rPr>
        <w:t xml:space="preserve"> </w:t>
      </w:r>
      <w:r w:rsidRPr="00650911">
        <w:rPr>
          <w:rFonts w:ascii="Times New Roman" w:hAnsi="Times New Roman" w:cs="Times New Roman"/>
        </w:rPr>
        <w:t>0,2 mil. Sk.</w:t>
      </w:r>
      <w:r>
        <w:rPr>
          <w:rFonts w:ascii="Times New Roman" w:hAnsi="Times New Roman" w:cs="Times New Roman"/>
        </w:rPr>
        <w:t xml:space="preserve"> </w:t>
      </w:r>
      <w:r w:rsidRPr="00650911">
        <w:rPr>
          <w:rFonts w:ascii="Times New Roman" w:hAnsi="Times New Roman" w:cs="Times New Roman"/>
        </w:rPr>
        <w:t xml:space="preserve">Ostatné colné príjmy sa na </w:t>
      </w:r>
      <w:r>
        <w:rPr>
          <w:rFonts w:ascii="Times New Roman" w:hAnsi="Times New Roman" w:cs="Times New Roman"/>
        </w:rPr>
        <w:t xml:space="preserve">týchto </w:t>
      </w:r>
      <w:r w:rsidRPr="00650911">
        <w:rPr>
          <w:rFonts w:ascii="Times New Roman" w:hAnsi="Times New Roman" w:cs="Times New Roman"/>
        </w:rPr>
        <w:t>daňových príjmoch podieľali sumou 0,8 mil. Sk.</w:t>
      </w:r>
    </w:p>
    <w:p w:rsidR="00DE3128" w:rsidP="00DE3128">
      <w:pPr>
        <w:spacing w:line="360" w:lineRule="auto"/>
        <w:ind w:firstLine="708"/>
        <w:jc w:val="both"/>
        <w:rPr>
          <w:rFonts w:ascii="Times New Roman" w:hAnsi="Times New Roman" w:cs="Times New Roman"/>
        </w:rPr>
      </w:pPr>
    </w:p>
    <w:p w:rsidR="00DE3128" w:rsidRPr="00455324" w:rsidP="00DE3128">
      <w:pPr>
        <w:spacing w:after="120"/>
        <w:jc w:val="center"/>
        <w:rPr>
          <w:rFonts w:ascii="Times New Roman" w:hAnsi="Times New Roman" w:cs="Times New Roman"/>
          <w:b/>
        </w:rPr>
      </w:pPr>
      <w:r>
        <w:rPr>
          <w:rFonts w:ascii="Times New Roman" w:hAnsi="Times New Roman" w:cs="Times New Roman"/>
          <w:b/>
        </w:rPr>
        <w:t xml:space="preserve">2.1.2. </w:t>
      </w:r>
      <w:r w:rsidRPr="00455324">
        <w:rPr>
          <w:rFonts w:ascii="Times New Roman" w:hAnsi="Times New Roman" w:cs="Times New Roman"/>
          <w:b/>
        </w:rPr>
        <w:t>Nedaňové príjmy</w:t>
      </w:r>
    </w:p>
    <w:p w:rsidR="00DE3128" w:rsidP="00DE3128">
      <w:pPr>
        <w:spacing w:line="360" w:lineRule="auto"/>
        <w:ind w:firstLine="709"/>
        <w:jc w:val="both"/>
        <w:rPr>
          <w:rFonts w:ascii="Times New Roman" w:hAnsi="Times New Roman" w:cs="Times New Roman"/>
        </w:rPr>
      </w:pPr>
    </w:p>
    <w:p w:rsidR="00DE3128" w:rsidP="00DE3128">
      <w:pPr>
        <w:spacing w:line="360" w:lineRule="auto"/>
        <w:ind w:firstLine="709"/>
        <w:jc w:val="both"/>
        <w:rPr>
          <w:rFonts w:ascii="Times New Roman" w:hAnsi="Times New Roman" w:cs="Times New Roman"/>
        </w:rPr>
      </w:pPr>
      <w:r w:rsidRPr="00455324">
        <w:rPr>
          <w:rFonts w:ascii="Times New Roman" w:hAnsi="Times New Roman" w:cs="Times New Roman"/>
        </w:rPr>
        <w:t xml:space="preserve">Kategóriu nedaňových príjmov tvoria rôzne príjmy z vlastnej činnosti rozpočtových organizácií, príjmy z podnikania, z vlastníctva majetku, </w:t>
      </w:r>
      <w:r>
        <w:rPr>
          <w:rFonts w:ascii="Times New Roman" w:hAnsi="Times New Roman" w:cs="Times New Roman"/>
        </w:rPr>
        <w:t xml:space="preserve">z jeho </w:t>
      </w:r>
      <w:r w:rsidRPr="00455324">
        <w:rPr>
          <w:rFonts w:ascii="Times New Roman" w:hAnsi="Times New Roman" w:cs="Times New Roman"/>
        </w:rPr>
        <w:t xml:space="preserve">predaja, </w:t>
      </w:r>
      <w:r>
        <w:rPr>
          <w:rFonts w:ascii="Times New Roman" w:hAnsi="Times New Roman" w:cs="Times New Roman"/>
        </w:rPr>
        <w:t xml:space="preserve">z </w:t>
      </w:r>
      <w:r w:rsidRPr="00455324">
        <w:rPr>
          <w:rFonts w:ascii="Times New Roman" w:hAnsi="Times New Roman" w:cs="Times New Roman"/>
        </w:rPr>
        <w:t>administratívnych a súdnych poplatkov, pokút a penále, úrokov a</w:t>
      </w:r>
      <w:r>
        <w:rPr>
          <w:rFonts w:ascii="Times New Roman" w:hAnsi="Times New Roman" w:cs="Times New Roman"/>
        </w:rPr>
        <w:t> </w:t>
      </w:r>
      <w:r w:rsidRPr="00455324">
        <w:rPr>
          <w:rFonts w:ascii="Times New Roman" w:hAnsi="Times New Roman" w:cs="Times New Roman"/>
        </w:rPr>
        <w:t>podobne</w:t>
      </w:r>
      <w:r>
        <w:rPr>
          <w:rFonts w:ascii="Times New Roman" w:hAnsi="Times New Roman" w:cs="Times New Roman"/>
        </w:rPr>
        <w:t>, pričom dlhodobo najvyšší po</w:t>
      </w:r>
      <w:r>
        <w:rPr>
          <w:rFonts w:ascii="Times New Roman" w:hAnsi="Times New Roman" w:cs="Times New Roman"/>
        </w:rPr>
        <w:t xml:space="preserve">diel z nich pripadá na </w:t>
      </w:r>
      <w:r w:rsidRPr="00455324">
        <w:rPr>
          <w:rFonts w:ascii="Times New Roman" w:hAnsi="Times New Roman" w:cs="Times New Roman"/>
        </w:rPr>
        <w:t xml:space="preserve">administratívne a iné poplatky a platby. Podiel </w:t>
      </w:r>
      <w:r>
        <w:rPr>
          <w:rFonts w:ascii="Times New Roman" w:hAnsi="Times New Roman" w:cs="Times New Roman"/>
        </w:rPr>
        <w:t>nedaňových</w:t>
      </w:r>
      <w:r w:rsidRPr="00455324">
        <w:rPr>
          <w:rFonts w:ascii="Times New Roman" w:hAnsi="Times New Roman" w:cs="Times New Roman"/>
        </w:rPr>
        <w:t xml:space="preserve"> príjmov na celkových príjmoch štátneho rozpočtu je relatívne malý</w:t>
      </w:r>
      <w:r>
        <w:rPr>
          <w:rFonts w:ascii="Times New Roman" w:hAnsi="Times New Roman" w:cs="Times New Roman"/>
        </w:rPr>
        <w:t xml:space="preserve"> a z</w:t>
      </w:r>
      <w:r w:rsidRPr="00455324">
        <w:rPr>
          <w:rFonts w:ascii="Times New Roman" w:hAnsi="Times New Roman" w:cs="Times New Roman"/>
        </w:rPr>
        <w:t xml:space="preserve"> dlhodobého hľadiska sa pohybuje na úrovni </w:t>
      </w:r>
      <w:r>
        <w:rPr>
          <w:rFonts w:ascii="Times New Roman" w:hAnsi="Times New Roman" w:cs="Times New Roman"/>
        </w:rPr>
        <w:t xml:space="preserve">zhruba </w:t>
      </w:r>
      <w:r w:rsidRPr="00455324">
        <w:rPr>
          <w:rFonts w:ascii="Times New Roman" w:hAnsi="Times New Roman" w:cs="Times New Roman"/>
        </w:rPr>
        <w:t>6 %</w:t>
      </w:r>
      <w:r>
        <w:rPr>
          <w:rFonts w:ascii="Times New Roman" w:hAnsi="Times New Roman" w:cs="Times New Roman"/>
        </w:rPr>
        <w:t>, takže ani ich vysoko priaznivé plnenie zásadnejšie neovplyvní plnenie úhrnných rozpočtových príjmov.</w:t>
      </w:r>
    </w:p>
    <w:p w:rsidR="00DE3128" w:rsidP="00DE3128">
      <w:pPr>
        <w:spacing w:line="360" w:lineRule="auto"/>
        <w:ind w:firstLine="709"/>
        <w:jc w:val="both"/>
        <w:rPr>
          <w:rFonts w:ascii="Times New Roman" w:hAnsi="Times New Roman" w:cs="Times New Roman"/>
        </w:rPr>
      </w:pPr>
      <w:r w:rsidRPr="006E0D56">
        <w:rPr>
          <w:rFonts w:ascii="Times New Roman" w:hAnsi="Times New Roman" w:cs="Times New Roman"/>
        </w:rPr>
        <w:t>N</w:t>
      </w:r>
      <w:r w:rsidRPr="00455324">
        <w:rPr>
          <w:rFonts w:ascii="Times New Roman" w:hAnsi="Times New Roman" w:cs="Times New Roman"/>
        </w:rPr>
        <w:t>edaňové príjmy sa v roku 200</w:t>
      </w:r>
      <w:r>
        <w:rPr>
          <w:rFonts w:ascii="Times New Roman" w:hAnsi="Times New Roman" w:cs="Times New Roman"/>
        </w:rPr>
        <w:t>6</w:t>
      </w:r>
      <w:r w:rsidRPr="00455324">
        <w:rPr>
          <w:rFonts w:ascii="Times New Roman" w:hAnsi="Times New Roman" w:cs="Times New Roman"/>
        </w:rPr>
        <w:t xml:space="preserve"> rozpočtovali v</w:t>
      </w:r>
      <w:r>
        <w:rPr>
          <w:rFonts w:ascii="Times New Roman" w:hAnsi="Times New Roman" w:cs="Times New Roman"/>
        </w:rPr>
        <w:t xml:space="preserve"> úhrnnej</w:t>
      </w:r>
      <w:r w:rsidRPr="00455324">
        <w:rPr>
          <w:rFonts w:ascii="Times New Roman" w:hAnsi="Times New Roman" w:cs="Times New Roman"/>
        </w:rPr>
        <w:t xml:space="preserve"> výške </w:t>
      </w:r>
      <w:r>
        <w:rPr>
          <w:rFonts w:ascii="Times New Roman" w:hAnsi="Times New Roman" w:cs="Times New Roman"/>
        </w:rPr>
        <w:t>14 966,4</w:t>
      </w:r>
      <w:r w:rsidRPr="00455324">
        <w:rPr>
          <w:rFonts w:ascii="Times New Roman" w:hAnsi="Times New Roman" w:cs="Times New Roman"/>
        </w:rPr>
        <w:t xml:space="preserve"> mil. Sk. Pôvodný rozpočet sa vykonanými rozpočtový</w:t>
      </w:r>
      <w:r>
        <w:rPr>
          <w:rFonts w:ascii="Times New Roman" w:hAnsi="Times New Roman" w:cs="Times New Roman"/>
        </w:rPr>
        <w:t>mi</w:t>
      </w:r>
      <w:r w:rsidRPr="00455324">
        <w:rPr>
          <w:rFonts w:ascii="Times New Roman" w:hAnsi="Times New Roman" w:cs="Times New Roman"/>
        </w:rPr>
        <w:t xml:space="preserve"> opatren</w:t>
      </w:r>
      <w:r>
        <w:rPr>
          <w:rFonts w:ascii="Times New Roman" w:hAnsi="Times New Roman" w:cs="Times New Roman"/>
        </w:rPr>
        <w:t>iami</w:t>
      </w:r>
      <w:r w:rsidRPr="00455324">
        <w:rPr>
          <w:rFonts w:ascii="Times New Roman" w:hAnsi="Times New Roman" w:cs="Times New Roman"/>
        </w:rPr>
        <w:t xml:space="preserve"> z</w:t>
      </w:r>
      <w:r>
        <w:rPr>
          <w:rFonts w:ascii="Times New Roman" w:hAnsi="Times New Roman" w:cs="Times New Roman"/>
        </w:rPr>
        <w:t>níž</w:t>
      </w:r>
      <w:r w:rsidRPr="00455324">
        <w:rPr>
          <w:rFonts w:ascii="Times New Roman" w:hAnsi="Times New Roman" w:cs="Times New Roman"/>
        </w:rPr>
        <w:t>il</w:t>
      </w:r>
      <w:r>
        <w:rPr>
          <w:rFonts w:ascii="Times New Roman" w:hAnsi="Times New Roman" w:cs="Times New Roman"/>
        </w:rPr>
        <w:t xml:space="preserve"> </w:t>
      </w:r>
      <w:r w:rsidRPr="00455324">
        <w:rPr>
          <w:rFonts w:ascii="Times New Roman" w:hAnsi="Times New Roman" w:cs="Times New Roman"/>
        </w:rPr>
        <w:t>na 1</w:t>
      </w:r>
      <w:r>
        <w:rPr>
          <w:rFonts w:ascii="Times New Roman" w:hAnsi="Times New Roman" w:cs="Times New Roman"/>
        </w:rPr>
        <w:t>4 724,0</w:t>
      </w:r>
      <w:r w:rsidRPr="00455324">
        <w:rPr>
          <w:rFonts w:ascii="Times New Roman" w:hAnsi="Times New Roman" w:cs="Times New Roman"/>
        </w:rPr>
        <w:t xml:space="preserve"> mil. Sk. V skutočnosti </w:t>
      </w:r>
      <w:r>
        <w:rPr>
          <w:rFonts w:ascii="Times New Roman" w:hAnsi="Times New Roman" w:cs="Times New Roman"/>
        </w:rPr>
        <w:t xml:space="preserve">sa v tejto kategórii príjmov </w:t>
      </w:r>
      <w:r>
        <w:rPr>
          <w:rFonts w:ascii="Times New Roman" w:hAnsi="Times New Roman" w:cs="Times New Roman"/>
        </w:rPr>
        <w:t xml:space="preserve">vyinkasovalo spolu 19 827,4 mil. Sk (v roku </w:t>
      </w:r>
      <w:r w:rsidRPr="007B14BD">
        <w:rPr>
          <w:rFonts w:ascii="Times New Roman" w:hAnsi="Times New Roman" w:cs="Times New Roman"/>
        </w:rPr>
        <w:t>2005:</w:t>
      </w:r>
      <w:r w:rsidRPr="007B14BD">
        <w:rPr>
          <w:rFonts w:ascii="Times New Roman" w:hAnsi="Times New Roman" w:cs="Times New Roman"/>
          <w:bCs/>
        </w:rPr>
        <w:t xml:space="preserve"> 21 242,2</w:t>
      </w:r>
      <w:r>
        <w:rPr>
          <w:rFonts w:ascii="Times New Roman" w:hAnsi="Times New Roman" w:cs="Times New Roman"/>
          <w:bCs/>
        </w:rPr>
        <w:t xml:space="preserve"> mil. Sk</w:t>
      </w:r>
      <w:r w:rsidRPr="007B14BD">
        <w:rPr>
          <w:rFonts w:ascii="Times New Roman" w:hAnsi="Times New Roman" w:cs="Times New Roman"/>
          <w:bCs/>
        </w:rPr>
        <w:t>)</w:t>
      </w:r>
      <w:r w:rsidRPr="007B14BD">
        <w:rPr>
          <w:rFonts w:ascii="Times New Roman" w:hAnsi="Times New Roman" w:cs="Times New Roman"/>
        </w:rPr>
        <w:t xml:space="preserve"> , čím sa pôvodný rozpočet prekročil o 4 861,0 mil. Sk (32,5 %) a upravený</w:t>
      </w:r>
      <w:r w:rsidRPr="00455324">
        <w:rPr>
          <w:rFonts w:ascii="Times New Roman" w:hAnsi="Times New Roman" w:cs="Times New Roman"/>
        </w:rPr>
        <w:t xml:space="preserve"> rozpočet o </w:t>
      </w:r>
      <w:r>
        <w:rPr>
          <w:rFonts w:ascii="Times New Roman" w:hAnsi="Times New Roman" w:cs="Times New Roman"/>
        </w:rPr>
        <w:t>5 103,4</w:t>
      </w:r>
      <w:r w:rsidRPr="00455324">
        <w:rPr>
          <w:rFonts w:ascii="Times New Roman" w:hAnsi="Times New Roman" w:cs="Times New Roman"/>
        </w:rPr>
        <w:t xml:space="preserve"> mil. Sk</w:t>
      </w:r>
      <w:r>
        <w:rPr>
          <w:rFonts w:ascii="Times New Roman" w:hAnsi="Times New Roman" w:cs="Times New Roman"/>
        </w:rPr>
        <w:t xml:space="preserve"> (34,7</w:t>
      </w:r>
      <w:r w:rsidRPr="00455324">
        <w:rPr>
          <w:rFonts w:ascii="Times New Roman" w:hAnsi="Times New Roman" w:cs="Times New Roman"/>
        </w:rPr>
        <w:t xml:space="preserve"> %</w:t>
      </w:r>
      <w:r>
        <w:rPr>
          <w:rFonts w:ascii="Times New Roman" w:hAnsi="Times New Roman" w:cs="Times New Roman"/>
        </w:rPr>
        <w:t>)</w:t>
      </w:r>
      <w:r w:rsidRPr="00455324">
        <w:rPr>
          <w:rFonts w:ascii="Times New Roman" w:hAnsi="Times New Roman" w:cs="Times New Roman"/>
        </w:rPr>
        <w:t xml:space="preserve">. </w:t>
      </w:r>
    </w:p>
    <w:p w:rsidR="00DE3128" w:rsidP="00DE3128">
      <w:pPr>
        <w:spacing w:line="360" w:lineRule="auto"/>
        <w:ind w:firstLine="709"/>
        <w:jc w:val="both"/>
        <w:rPr>
          <w:rFonts w:ascii="Times New Roman" w:hAnsi="Times New Roman" w:cs="Times New Roman"/>
        </w:rPr>
      </w:pPr>
      <w:r>
        <w:rPr>
          <w:rFonts w:ascii="Times New Roman" w:hAnsi="Times New Roman" w:cs="Times New Roman"/>
        </w:rPr>
        <w:t>Súhrnný prehľad o plnení nedaňových príjmov posky</w:t>
      </w:r>
      <w:r w:rsidR="00E24E2E">
        <w:rPr>
          <w:rFonts w:ascii="Times New Roman" w:hAnsi="Times New Roman" w:cs="Times New Roman"/>
        </w:rPr>
        <w:t xml:space="preserve">tuje nasledovný prehľad </w:t>
      </w:r>
      <w:r>
        <w:rPr>
          <w:rFonts w:ascii="Times New Roman" w:hAnsi="Times New Roman" w:cs="Times New Roman"/>
        </w:rPr>
        <w:t xml:space="preserve">(v </w:t>
      </w:r>
      <w:r>
        <w:rPr>
          <w:rFonts w:ascii="Times New Roman" w:hAnsi="Times New Roman" w:cs="Times New Roman"/>
        </w:rPr>
        <w:t xml:space="preserve">mil. Sk): </w:t>
      </w:r>
    </w:p>
    <w:p w:rsidR="00DE3128" w:rsidP="00DE3128">
      <w:pPr>
        <w:spacing w:line="360" w:lineRule="auto"/>
        <w:ind w:firstLine="709"/>
        <w:jc w:val="both"/>
        <w:rPr>
          <w:rFonts w:ascii="Times New Roman" w:hAnsi="Times New Roman" w:cs="Times New Roman"/>
        </w:rPr>
      </w:pPr>
    </w:p>
    <w:tbl>
      <w:tblPr>
        <w:tblW w:w="10059" w:type="dxa"/>
        <w:tblInd w:w="-269" w:type="dxa"/>
        <w:tblLayout w:type="fixed"/>
        <w:tblCellMar>
          <w:left w:w="70" w:type="dxa"/>
          <w:right w:w="70" w:type="dxa"/>
        </w:tblCellMar>
      </w:tblPr>
      <w:tblGrid>
        <w:gridCol w:w="2177"/>
        <w:gridCol w:w="1222"/>
        <w:gridCol w:w="1118"/>
        <w:gridCol w:w="1042"/>
        <w:gridCol w:w="1260"/>
        <w:gridCol w:w="1260"/>
        <w:gridCol w:w="900"/>
        <w:gridCol w:w="1080"/>
      </w:tblGrid>
      <w:tr>
        <w:tblPrEx>
          <w:tblW w:w="10059" w:type="dxa"/>
          <w:tblInd w:w="-269" w:type="dxa"/>
          <w:tblLayout w:type="fixed"/>
          <w:tblCellMar>
            <w:left w:w="70" w:type="dxa"/>
            <w:right w:w="70" w:type="dxa"/>
          </w:tblCellMar>
        </w:tblPrEx>
        <w:trPr>
          <w:trHeight w:val="289"/>
        </w:trPr>
        <w:tc>
          <w:tcPr>
            <w:tcW w:w="2177" w:type="dxa"/>
            <w:vMerge w:val="restart"/>
            <w:tcBorders>
              <w:top w:val="single" w:sz="8" w:space="0" w:color="auto"/>
              <w:left w:val="single" w:sz="8" w:space="0" w:color="auto"/>
              <w:bottom w:val="single" w:sz="4" w:space="0" w:color="000000"/>
              <w:right w:val="single" w:sz="4" w:space="0" w:color="auto"/>
              <w:tl2br w:val="nil"/>
              <w:tr2bl w:val="nil"/>
            </w:tcBorders>
            <w:textDirection w:val="lrTb"/>
            <w:vAlign w:val="center"/>
          </w:tcPr>
          <w:p w:rsidR="00DE3128" w:rsidRPr="00E06D0D" w:rsidP="00DE3128">
            <w:pPr>
              <w:jc w:val="center"/>
              <w:rPr>
                <w:rFonts w:ascii="Times New Roman" w:hAnsi="Times New Roman" w:cs="Times New Roman"/>
                <w:b/>
                <w:bCs/>
                <w:sz w:val="20"/>
                <w:szCs w:val="20"/>
              </w:rPr>
            </w:pPr>
            <w:r w:rsidRPr="00E06D0D">
              <w:rPr>
                <w:rFonts w:ascii="Times New Roman" w:hAnsi="Times New Roman" w:cs="Times New Roman"/>
                <w:b/>
                <w:bCs/>
                <w:sz w:val="20"/>
                <w:szCs w:val="20"/>
              </w:rPr>
              <w:t>Druh nedaňových príjmov</w:t>
            </w:r>
          </w:p>
        </w:tc>
        <w:tc>
          <w:tcPr>
            <w:tcW w:w="1222" w:type="dxa"/>
            <w:vMerge w:val="restart"/>
            <w:tcBorders>
              <w:top w:val="single" w:sz="8" w:space="0" w:color="auto"/>
              <w:left w:val="single" w:sz="4" w:space="0" w:color="auto"/>
              <w:bottom w:val="single" w:sz="4" w:space="0" w:color="000000"/>
              <w:right w:val="single" w:sz="4" w:space="0" w:color="auto"/>
              <w:tl2br w:val="nil"/>
              <w:tr2bl w:val="nil"/>
            </w:tcBorders>
            <w:textDirection w:val="lrTb"/>
            <w:vAlign w:val="center"/>
          </w:tcPr>
          <w:p w:rsidR="00DE3128" w:rsidRPr="00E06D0D" w:rsidP="00DE3128">
            <w:pPr>
              <w:jc w:val="center"/>
              <w:rPr>
                <w:rFonts w:ascii="Times New Roman" w:hAnsi="Times New Roman" w:cs="Times New Roman"/>
                <w:b/>
                <w:bCs/>
                <w:sz w:val="20"/>
                <w:szCs w:val="20"/>
              </w:rPr>
            </w:pPr>
            <w:r w:rsidRPr="00E06D0D">
              <w:rPr>
                <w:rFonts w:ascii="Times New Roman" w:hAnsi="Times New Roman" w:cs="Times New Roman"/>
                <w:b/>
                <w:bCs/>
                <w:sz w:val="20"/>
                <w:szCs w:val="20"/>
              </w:rPr>
              <w:t>Skutočnosť 2005</w:t>
            </w:r>
          </w:p>
        </w:tc>
        <w:tc>
          <w:tcPr>
            <w:tcW w:w="2160" w:type="dxa"/>
            <w:gridSpan w:val="2"/>
            <w:vMerge w:val="restart"/>
            <w:tcBorders>
              <w:top w:val="single" w:sz="8" w:space="0" w:color="auto"/>
              <w:left w:val="single" w:sz="4" w:space="0" w:color="auto"/>
              <w:bottom w:val="single" w:sz="4" w:space="0" w:color="000000"/>
              <w:right w:val="single" w:sz="4" w:space="0" w:color="000000"/>
              <w:tl2br w:val="nil"/>
              <w:tr2bl w:val="nil"/>
            </w:tcBorders>
            <w:textDirection w:val="lrTb"/>
            <w:vAlign w:val="center"/>
          </w:tcPr>
          <w:p w:rsidR="00DE3128" w:rsidRPr="00E06D0D" w:rsidP="00DE3128">
            <w:pPr>
              <w:jc w:val="center"/>
              <w:rPr>
                <w:rFonts w:ascii="Times New Roman" w:hAnsi="Times New Roman" w:cs="Times New Roman"/>
                <w:b/>
                <w:bCs/>
                <w:sz w:val="20"/>
                <w:szCs w:val="20"/>
              </w:rPr>
            </w:pPr>
            <w:r w:rsidRPr="00E06D0D">
              <w:rPr>
                <w:rFonts w:ascii="Times New Roman" w:hAnsi="Times New Roman" w:cs="Times New Roman"/>
                <w:b/>
                <w:bCs/>
                <w:sz w:val="20"/>
                <w:szCs w:val="20"/>
              </w:rPr>
              <w:t>Rozpočet  2006</w:t>
            </w:r>
          </w:p>
        </w:tc>
        <w:tc>
          <w:tcPr>
            <w:tcW w:w="1260" w:type="dxa"/>
            <w:vMerge w:val="restart"/>
            <w:tcBorders>
              <w:top w:val="single" w:sz="8" w:space="0" w:color="auto"/>
              <w:left w:val="single" w:sz="4" w:space="0" w:color="auto"/>
              <w:bottom w:val="single" w:sz="4" w:space="0" w:color="000000"/>
              <w:right w:val="single" w:sz="4" w:space="0" w:color="auto"/>
              <w:tl2br w:val="nil"/>
              <w:tr2bl w:val="nil"/>
            </w:tcBorders>
            <w:textDirection w:val="lrTb"/>
            <w:vAlign w:val="center"/>
          </w:tcPr>
          <w:p w:rsidR="00DE3128" w:rsidRPr="00E06D0D" w:rsidP="00DE3128">
            <w:pPr>
              <w:jc w:val="center"/>
              <w:rPr>
                <w:rFonts w:ascii="Times New Roman" w:hAnsi="Times New Roman" w:cs="Times New Roman"/>
                <w:b/>
                <w:bCs/>
                <w:sz w:val="20"/>
                <w:szCs w:val="20"/>
              </w:rPr>
            </w:pPr>
            <w:r w:rsidRPr="00E06D0D">
              <w:rPr>
                <w:rFonts w:ascii="Times New Roman" w:hAnsi="Times New Roman" w:cs="Times New Roman"/>
                <w:b/>
                <w:bCs/>
                <w:sz w:val="20"/>
                <w:szCs w:val="20"/>
              </w:rPr>
              <w:t>Skutočnosť 2006</w:t>
            </w:r>
          </w:p>
        </w:tc>
        <w:tc>
          <w:tcPr>
            <w:tcW w:w="1260" w:type="dxa"/>
            <w:vMerge w:val="restart"/>
            <w:tcBorders>
              <w:top w:val="single" w:sz="8" w:space="0" w:color="auto"/>
              <w:left w:val="single" w:sz="4" w:space="0" w:color="auto"/>
              <w:bottom w:val="single" w:sz="4" w:space="0" w:color="000000"/>
              <w:right w:val="single" w:sz="4" w:space="0" w:color="auto"/>
              <w:tl2br w:val="nil"/>
              <w:tr2bl w:val="nil"/>
            </w:tcBorders>
            <w:textDirection w:val="lrTb"/>
            <w:vAlign w:val="center"/>
          </w:tcPr>
          <w:p w:rsidR="00DE3128" w:rsidRPr="00E06D0D" w:rsidP="00DE3128">
            <w:pPr>
              <w:jc w:val="center"/>
              <w:rPr>
                <w:rFonts w:ascii="Times New Roman" w:hAnsi="Times New Roman" w:cs="Times New Roman"/>
                <w:b/>
                <w:bCs/>
                <w:sz w:val="20"/>
                <w:szCs w:val="20"/>
              </w:rPr>
            </w:pPr>
            <w:r w:rsidR="00E06D0D">
              <w:rPr>
                <w:rFonts w:ascii="Times New Roman" w:hAnsi="Times New Roman" w:cs="Times New Roman"/>
                <w:b/>
                <w:bCs/>
                <w:sz w:val="20"/>
                <w:szCs w:val="20"/>
              </w:rPr>
              <w:t xml:space="preserve">% plnenia upraveného </w:t>
            </w:r>
            <w:r w:rsidRPr="00E06D0D">
              <w:rPr>
                <w:rFonts w:ascii="Times New Roman" w:hAnsi="Times New Roman" w:cs="Times New Roman"/>
                <w:b/>
                <w:bCs/>
                <w:sz w:val="20"/>
                <w:szCs w:val="20"/>
              </w:rPr>
              <w:t xml:space="preserve">rozpočtu            </w:t>
            </w:r>
          </w:p>
        </w:tc>
        <w:tc>
          <w:tcPr>
            <w:tcW w:w="900" w:type="dxa"/>
            <w:vMerge w:val="restart"/>
            <w:tcBorders>
              <w:top w:val="single" w:sz="8" w:space="0" w:color="auto"/>
              <w:left w:val="single" w:sz="4" w:space="0" w:color="auto"/>
              <w:bottom w:val="single" w:sz="4" w:space="0" w:color="000000"/>
              <w:right w:val="single" w:sz="4" w:space="0" w:color="auto"/>
              <w:tl2br w:val="nil"/>
              <w:tr2bl w:val="nil"/>
            </w:tcBorders>
            <w:textDirection w:val="lrTb"/>
            <w:vAlign w:val="center"/>
          </w:tcPr>
          <w:p w:rsidR="00DE3128" w:rsidRPr="00E06D0D" w:rsidP="00DE3128">
            <w:pPr>
              <w:jc w:val="center"/>
              <w:rPr>
                <w:rFonts w:ascii="Times New Roman" w:hAnsi="Times New Roman" w:cs="Times New Roman"/>
                <w:b/>
                <w:bCs/>
                <w:sz w:val="20"/>
                <w:szCs w:val="20"/>
              </w:rPr>
            </w:pPr>
            <w:r w:rsidRPr="00E06D0D">
              <w:rPr>
                <w:rFonts w:ascii="Times New Roman" w:hAnsi="Times New Roman" w:cs="Times New Roman"/>
                <w:b/>
                <w:bCs/>
                <w:sz w:val="20"/>
                <w:szCs w:val="20"/>
              </w:rPr>
              <w:t xml:space="preserve">Rozdiel              </w:t>
            </w:r>
          </w:p>
        </w:tc>
        <w:tc>
          <w:tcPr>
            <w:tcW w:w="1080" w:type="dxa"/>
            <w:vMerge w:val="restart"/>
            <w:tcBorders>
              <w:top w:val="single" w:sz="8" w:space="0" w:color="auto"/>
              <w:left w:val="single" w:sz="4" w:space="0" w:color="auto"/>
              <w:bottom w:val="single" w:sz="4" w:space="0" w:color="000000"/>
              <w:right w:val="single" w:sz="8" w:space="0" w:color="auto"/>
              <w:tl2br w:val="nil"/>
              <w:tr2bl w:val="nil"/>
            </w:tcBorders>
            <w:textDirection w:val="lrTb"/>
            <w:vAlign w:val="center"/>
          </w:tcPr>
          <w:p w:rsidR="00DE3128" w:rsidRPr="00E06D0D" w:rsidP="00DE3128">
            <w:pPr>
              <w:jc w:val="center"/>
              <w:rPr>
                <w:rFonts w:ascii="Times New Roman" w:hAnsi="Times New Roman" w:cs="Times New Roman"/>
                <w:b/>
                <w:bCs/>
                <w:sz w:val="20"/>
                <w:szCs w:val="20"/>
              </w:rPr>
            </w:pPr>
            <w:r w:rsidRPr="00E06D0D">
              <w:rPr>
                <w:rFonts w:ascii="Times New Roman" w:hAnsi="Times New Roman" w:cs="Times New Roman"/>
                <w:b/>
                <w:bCs/>
                <w:sz w:val="20"/>
                <w:szCs w:val="20"/>
              </w:rPr>
              <w:t xml:space="preserve">Index 2006/2005         </w:t>
            </w:r>
          </w:p>
        </w:tc>
      </w:tr>
      <w:tr>
        <w:tblPrEx>
          <w:tblW w:w="10059" w:type="dxa"/>
          <w:tblInd w:w="-269" w:type="dxa"/>
          <w:tblLayout w:type="fixed"/>
          <w:tblCellMar>
            <w:left w:w="70" w:type="dxa"/>
            <w:right w:w="70" w:type="dxa"/>
          </w:tblCellMar>
        </w:tblPrEx>
        <w:trPr>
          <w:trHeight w:val="289"/>
        </w:trPr>
        <w:tc>
          <w:tcPr>
            <w:tcW w:w="2177" w:type="dxa"/>
            <w:vMerge/>
            <w:tcBorders>
              <w:top w:val="single" w:sz="4" w:space="0" w:color="auto"/>
              <w:left w:val="single" w:sz="8" w:space="0" w:color="auto"/>
              <w:bottom w:val="single" w:sz="4" w:space="0" w:color="000000"/>
              <w:right w:val="single" w:sz="4" w:space="0" w:color="auto"/>
              <w:tl2br w:val="nil"/>
              <w:tr2bl w:val="nil"/>
            </w:tcBorders>
            <w:textDirection w:val="lrTb"/>
            <w:vAlign w:val="center"/>
          </w:tcPr>
          <w:p w:rsidR="00DE3128" w:rsidRPr="00E06D0D" w:rsidP="00DE3128">
            <w:pPr>
              <w:rPr>
                <w:rFonts w:ascii="Times New Roman" w:hAnsi="Times New Roman" w:cs="Times New Roman"/>
                <w:b/>
                <w:bCs/>
                <w:sz w:val="20"/>
                <w:szCs w:val="20"/>
              </w:rPr>
            </w:pPr>
          </w:p>
        </w:tc>
        <w:tc>
          <w:tcPr>
            <w:tcW w:w="1222"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E3128" w:rsidRPr="00E06D0D" w:rsidP="00DE3128">
            <w:pPr>
              <w:rPr>
                <w:rFonts w:ascii="Times New Roman" w:hAnsi="Times New Roman" w:cs="Times New Roman"/>
                <w:b/>
                <w:bCs/>
                <w:sz w:val="20"/>
                <w:szCs w:val="20"/>
              </w:rPr>
            </w:pPr>
          </w:p>
        </w:tc>
        <w:tc>
          <w:tcPr>
            <w:tcW w:w="2160" w:type="dxa"/>
            <w:gridSpan w:val="2"/>
            <w:vMerge/>
            <w:tcBorders>
              <w:top w:val="single" w:sz="4" w:space="0" w:color="auto"/>
              <w:left w:val="single" w:sz="4" w:space="0" w:color="auto"/>
              <w:bottom w:val="single" w:sz="4" w:space="0" w:color="000000"/>
              <w:right w:val="single" w:sz="4" w:space="0" w:color="000000"/>
              <w:tl2br w:val="nil"/>
              <w:tr2bl w:val="nil"/>
            </w:tcBorders>
            <w:textDirection w:val="lrTb"/>
            <w:vAlign w:val="center"/>
          </w:tcPr>
          <w:p w:rsidR="00DE3128" w:rsidRPr="00E06D0D" w:rsidP="00DE3128">
            <w:pPr>
              <w:rPr>
                <w:rFonts w:ascii="Times New Roman" w:hAnsi="Times New Roman" w:cs="Times New Roman"/>
                <w:b/>
                <w:bCs/>
                <w:sz w:val="20"/>
                <w:szCs w:val="20"/>
              </w:rPr>
            </w:pPr>
          </w:p>
        </w:tc>
        <w:tc>
          <w:tcPr>
            <w:tcW w:w="1260"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E3128" w:rsidRPr="00E06D0D" w:rsidP="00DE3128">
            <w:pPr>
              <w:rPr>
                <w:rFonts w:ascii="Times New Roman" w:hAnsi="Times New Roman" w:cs="Times New Roman"/>
                <w:b/>
                <w:bCs/>
                <w:sz w:val="20"/>
                <w:szCs w:val="20"/>
              </w:rPr>
            </w:pPr>
          </w:p>
        </w:tc>
        <w:tc>
          <w:tcPr>
            <w:tcW w:w="1260"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E3128" w:rsidRPr="00E06D0D" w:rsidP="00DE3128">
            <w:pPr>
              <w:rPr>
                <w:rFonts w:ascii="Times New Roman" w:hAnsi="Times New Roman" w:cs="Times New Roman"/>
                <w:b/>
                <w:bCs/>
                <w:sz w:val="20"/>
                <w:szCs w:val="20"/>
              </w:rPr>
            </w:pPr>
          </w:p>
        </w:tc>
        <w:tc>
          <w:tcPr>
            <w:tcW w:w="900"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E3128" w:rsidRPr="00E06D0D" w:rsidP="00DE3128">
            <w:pPr>
              <w:rPr>
                <w:rFonts w:ascii="Times New Roman" w:hAnsi="Times New Roman" w:cs="Times New Roman"/>
                <w:b/>
                <w:bCs/>
                <w:sz w:val="20"/>
                <w:szCs w:val="20"/>
              </w:rPr>
            </w:pPr>
          </w:p>
        </w:tc>
        <w:tc>
          <w:tcPr>
            <w:tcW w:w="1080" w:type="dxa"/>
            <w:vMerge/>
            <w:tcBorders>
              <w:top w:val="single" w:sz="4" w:space="0" w:color="auto"/>
              <w:left w:val="single" w:sz="4" w:space="0" w:color="auto"/>
              <w:bottom w:val="single" w:sz="4" w:space="0" w:color="000000"/>
              <w:right w:val="single" w:sz="8" w:space="0" w:color="auto"/>
              <w:tl2br w:val="nil"/>
              <w:tr2bl w:val="nil"/>
            </w:tcBorders>
            <w:textDirection w:val="lrTb"/>
            <w:vAlign w:val="center"/>
          </w:tcPr>
          <w:p w:rsidR="00DE3128" w:rsidRPr="00E06D0D" w:rsidP="00DE3128">
            <w:pPr>
              <w:rPr>
                <w:rFonts w:ascii="Times New Roman" w:hAnsi="Times New Roman" w:cs="Times New Roman"/>
                <w:b/>
                <w:bCs/>
                <w:sz w:val="20"/>
                <w:szCs w:val="20"/>
              </w:rPr>
            </w:pPr>
          </w:p>
        </w:tc>
      </w:tr>
      <w:tr>
        <w:tblPrEx>
          <w:tblW w:w="10059" w:type="dxa"/>
          <w:tblInd w:w="-269" w:type="dxa"/>
          <w:tblLayout w:type="fixed"/>
          <w:tblCellMar>
            <w:left w:w="70" w:type="dxa"/>
            <w:right w:w="70" w:type="dxa"/>
          </w:tblCellMar>
        </w:tblPrEx>
        <w:trPr>
          <w:trHeight w:val="265"/>
        </w:trPr>
        <w:tc>
          <w:tcPr>
            <w:tcW w:w="2177" w:type="dxa"/>
            <w:vMerge/>
            <w:tcBorders>
              <w:top w:val="single" w:sz="4" w:space="0" w:color="auto"/>
              <w:left w:val="single" w:sz="8" w:space="0" w:color="auto"/>
              <w:bottom w:val="single" w:sz="4" w:space="0" w:color="000000"/>
              <w:right w:val="single" w:sz="4" w:space="0" w:color="auto"/>
              <w:tl2br w:val="nil"/>
              <w:tr2bl w:val="nil"/>
            </w:tcBorders>
            <w:textDirection w:val="lrTb"/>
            <w:vAlign w:val="center"/>
          </w:tcPr>
          <w:p w:rsidR="00DE3128" w:rsidRPr="00E06D0D" w:rsidP="00DE3128">
            <w:pPr>
              <w:rPr>
                <w:rFonts w:ascii="Times New Roman" w:hAnsi="Times New Roman" w:cs="Times New Roman"/>
                <w:b/>
                <w:bCs/>
                <w:sz w:val="20"/>
                <w:szCs w:val="20"/>
              </w:rPr>
            </w:pPr>
          </w:p>
        </w:tc>
        <w:tc>
          <w:tcPr>
            <w:tcW w:w="1222"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E3128" w:rsidRPr="00E06D0D" w:rsidP="00DE3128">
            <w:pPr>
              <w:rPr>
                <w:rFonts w:ascii="Times New Roman" w:hAnsi="Times New Roman" w:cs="Times New Roman"/>
                <w:b/>
                <w:bCs/>
                <w:sz w:val="20"/>
                <w:szCs w:val="20"/>
              </w:rPr>
            </w:pPr>
          </w:p>
        </w:tc>
        <w:tc>
          <w:tcPr>
            <w:tcW w:w="1118" w:type="dxa"/>
            <w:tcBorders>
              <w:top w:val="nil"/>
              <w:left w:val="nil"/>
              <w:bottom w:val="single" w:sz="4" w:space="0" w:color="auto"/>
              <w:right w:val="single" w:sz="4" w:space="0" w:color="auto"/>
              <w:tl2br w:val="nil"/>
              <w:tr2bl w:val="nil"/>
            </w:tcBorders>
            <w:textDirection w:val="lrTb"/>
            <w:vAlign w:val="center"/>
          </w:tcPr>
          <w:p w:rsidR="00DE3128" w:rsidRPr="00E06D0D" w:rsidP="00DE3128">
            <w:pPr>
              <w:jc w:val="center"/>
              <w:rPr>
                <w:rFonts w:ascii="Times New Roman" w:hAnsi="Times New Roman" w:cs="Times New Roman"/>
                <w:b/>
                <w:bCs/>
                <w:sz w:val="20"/>
                <w:szCs w:val="20"/>
              </w:rPr>
            </w:pPr>
            <w:r w:rsidRPr="00E06D0D">
              <w:rPr>
                <w:rFonts w:ascii="Times New Roman" w:hAnsi="Times New Roman" w:cs="Times New Roman"/>
                <w:b/>
                <w:bCs/>
                <w:sz w:val="20"/>
                <w:szCs w:val="20"/>
              </w:rPr>
              <w:t xml:space="preserve">Schválený </w:t>
            </w:r>
          </w:p>
        </w:tc>
        <w:tc>
          <w:tcPr>
            <w:tcW w:w="1042" w:type="dxa"/>
            <w:tcBorders>
              <w:top w:val="nil"/>
              <w:left w:val="nil"/>
              <w:bottom w:val="single" w:sz="4" w:space="0" w:color="auto"/>
              <w:right w:val="single" w:sz="4" w:space="0" w:color="auto"/>
              <w:tl2br w:val="nil"/>
              <w:tr2bl w:val="nil"/>
            </w:tcBorders>
            <w:textDirection w:val="lrTb"/>
            <w:vAlign w:val="center"/>
          </w:tcPr>
          <w:p w:rsidR="00DE3128" w:rsidRPr="00E06D0D" w:rsidP="00DE3128">
            <w:pPr>
              <w:jc w:val="center"/>
              <w:rPr>
                <w:rFonts w:ascii="Times New Roman" w:hAnsi="Times New Roman" w:cs="Times New Roman"/>
                <w:b/>
                <w:bCs/>
                <w:sz w:val="20"/>
                <w:szCs w:val="20"/>
              </w:rPr>
            </w:pPr>
            <w:r w:rsidRPr="00E06D0D">
              <w:rPr>
                <w:rFonts w:ascii="Times New Roman" w:hAnsi="Times New Roman" w:cs="Times New Roman"/>
                <w:b/>
                <w:bCs/>
                <w:sz w:val="20"/>
                <w:szCs w:val="20"/>
              </w:rPr>
              <w:t>Upravený</w:t>
            </w:r>
          </w:p>
        </w:tc>
        <w:tc>
          <w:tcPr>
            <w:tcW w:w="1260"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E3128" w:rsidRPr="00E06D0D" w:rsidP="00DE3128">
            <w:pPr>
              <w:rPr>
                <w:rFonts w:ascii="Times New Roman" w:hAnsi="Times New Roman" w:cs="Times New Roman"/>
                <w:b/>
                <w:bCs/>
                <w:sz w:val="20"/>
                <w:szCs w:val="20"/>
              </w:rPr>
            </w:pPr>
          </w:p>
        </w:tc>
        <w:tc>
          <w:tcPr>
            <w:tcW w:w="1260"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E3128" w:rsidRPr="00E06D0D" w:rsidP="00DE3128">
            <w:pPr>
              <w:rPr>
                <w:rFonts w:ascii="Times New Roman" w:hAnsi="Times New Roman" w:cs="Times New Roman"/>
                <w:b/>
                <w:bCs/>
                <w:sz w:val="20"/>
                <w:szCs w:val="20"/>
              </w:rPr>
            </w:pPr>
          </w:p>
        </w:tc>
        <w:tc>
          <w:tcPr>
            <w:tcW w:w="900"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E3128" w:rsidRPr="00E06D0D" w:rsidP="00DE3128">
            <w:pPr>
              <w:rPr>
                <w:rFonts w:ascii="Times New Roman" w:hAnsi="Times New Roman" w:cs="Times New Roman"/>
                <w:b/>
                <w:bCs/>
                <w:sz w:val="20"/>
                <w:szCs w:val="20"/>
              </w:rPr>
            </w:pPr>
          </w:p>
        </w:tc>
        <w:tc>
          <w:tcPr>
            <w:tcW w:w="1080" w:type="dxa"/>
            <w:vMerge/>
            <w:tcBorders>
              <w:top w:val="single" w:sz="4" w:space="0" w:color="auto"/>
              <w:left w:val="single" w:sz="4" w:space="0" w:color="auto"/>
              <w:bottom w:val="single" w:sz="4" w:space="0" w:color="000000"/>
              <w:right w:val="single" w:sz="8" w:space="0" w:color="auto"/>
              <w:tl2br w:val="nil"/>
              <w:tr2bl w:val="nil"/>
            </w:tcBorders>
            <w:textDirection w:val="lrTb"/>
            <w:vAlign w:val="center"/>
          </w:tcPr>
          <w:p w:rsidR="00DE3128" w:rsidRPr="00E06D0D" w:rsidP="00DE3128">
            <w:pPr>
              <w:rPr>
                <w:rFonts w:ascii="Times New Roman" w:hAnsi="Times New Roman" w:cs="Times New Roman"/>
                <w:b/>
                <w:bCs/>
                <w:sz w:val="20"/>
                <w:szCs w:val="20"/>
              </w:rPr>
            </w:pPr>
          </w:p>
        </w:tc>
      </w:tr>
      <w:tr>
        <w:tblPrEx>
          <w:tblW w:w="10059" w:type="dxa"/>
          <w:tblInd w:w="-269" w:type="dxa"/>
          <w:tblLayout w:type="fixed"/>
          <w:tblCellMar>
            <w:left w:w="70" w:type="dxa"/>
            <w:right w:w="70" w:type="dxa"/>
          </w:tblCellMar>
        </w:tblPrEx>
        <w:trPr>
          <w:trHeight w:val="70"/>
        </w:trPr>
        <w:tc>
          <w:tcPr>
            <w:tcW w:w="2177" w:type="dxa"/>
            <w:vMerge/>
            <w:tcBorders>
              <w:top w:val="single" w:sz="4" w:space="0" w:color="auto"/>
              <w:left w:val="single" w:sz="8" w:space="0" w:color="auto"/>
              <w:bottom w:val="single" w:sz="4" w:space="0" w:color="000000"/>
              <w:right w:val="single" w:sz="4" w:space="0" w:color="auto"/>
              <w:tl2br w:val="nil"/>
              <w:tr2bl w:val="nil"/>
            </w:tcBorders>
            <w:textDirection w:val="lrTb"/>
            <w:vAlign w:val="center"/>
          </w:tcPr>
          <w:p w:rsidR="00DE3128" w:rsidRPr="00E06D0D" w:rsidP="00DE3128">
            <w:pPr>
              <w:rPr>
                <w:rFonts w:ascii="Times New Roman" w:hAnsi="Times New Roman" w:cs="Times New Roman"/>
                <w:b/>
                <w:bCs/>
                <w:sz w:val="20"/>
                <w:szCs w:val="20"/>
              </w:rPr>
            </w:pPr>
          </w:p>
        </w:tc>
        <w:tc>
          <w:tcPr>
            <w:tcW w:w="1222" w:type="dxa"/>
            <w:tcBorders>
              <w:top w:val="nil"/>
              <w:left w:val="nil"/>
              <w:bottom w:val="single" w:sz="4" w:space="0" w:color="auto"/>
              <w:right w:val="single" w:sz="4" w:space="0" w:color="auto"/>
              <w:tl2br w:val="nil"/>
              <w:tr2bl w:val="nil"/>
            </w:tcBorders>
            <w:textDirection w:val="lrTb"/>
            <w:vAlign w:val="center"/>
          </w:tcPr>
          <w:p w:rsidR="00DE3128" w:rsidRPr="00F3685E" w:rsidP="00DE3128">
            <w:pPr>
              <w:jc w:val="center"/>
              <w:rPr>
                <w:rFonts w:ascii="Times New Roman" w:hAnsi="Times New Roman" w:cs="Times New Roman"/>
                <w:b/>
                <w:bCs/>
                <w:sz w:val="18"/>
                <w:szCs w:val="18"/>
              </w:rPr>
            </w:pPr>
            <w:r w:rsidRPr="00F3685E">
              <w:rPr>
                <w:rFonts w:ascii="Times New Roman" w:hAnsi="Times New Roman" w:cs="Times New Roman"/>
                <w:b/>
                <w:bCs/>
                <w:sz w:val="18"/>
                <w:szCs w:val="18"/>
              </w:rPr>
              <w:t>1</w:t>
            </w:r>
          </w:p>
        </w:tc>
        <w:tc>
          <w:tcPr>
            <w:tcW w:w="1118" w:type="dxa"/>
            <w:tcBorders>
              <w:top w:val="nil"/>
              <w:left w:val="nil"/>
              <w:bottom w:val="single" w:sz="4" w:space="0" w:color="auto"/>
              <w:right w:val="single" w:sz="4" w:space="0" w:color="auto"/>
              <w:tl2br w:val="nil"/>
              <w:tr2bl w:val="nil"/>
            </w:tcBorders>
            <w:textDirection w:val="lrTb"/>
            <w:vAlign w:val="center"/>
          </w:tcPr>
          <w:p w:rsidR="00DE3128" w:rsidRPr="00F3685E" w:rsidP="00DE3128">
            <w:pPr>
              <w:jc w:val="center"/>
              <w:rPr>
                <w:rFonts w:ascii="Times New Roman" w:hAnsi="Times New Roman" w:cs="Times New Roman"/>
                <w:b/>
                <w:bCs/>
                <w:sz w:val="18"/>
                <w:szCs w:val="18"/>
              </w:rPr>
            </w:pPr>
            <w:r w:rsidRPr="00F3685E">
              <w:rPr>
                <w:rFonts w:ascii="Times New Roman" w:hAnsi="Times New Roman" w:cs="Times New Roman"/>
                <w:b/>
                <w:bCs/>
                <w:sz w:val="18"/>
                <w:szCs w:val="18"/>
              </w:rPr>
              <w:t>2</w:t>
            </w:r>
          </w:p>
        </w:tc>
        <w:tc>
          <w:tcPr>
            <w:tcW w:w="1042" w:type="dxa"/>
            <w:tcBorders>
              <w:top w:val="nil"/>
              <w:left w:val="nil"/>
              <w:bottom w:val="single" w:sz="4" w:space="0" w:color="auto"/>
              <w:right w:val="single" w:sz="4" w:space="0" w:color="auto"/>
              <w:tl2br w:val="nil"/>
              <w:tr2bl w:val="nil"/>
            </w:tcBorders>
            <w:textDirection w:val="lrTb"/>
            <w:vAlign w:val="center"/>
          </w:tcPr>
          <w:p w:rsidR="00DE3128" w:rsidRPr="00F3685E" w:rsidP="00DE3128">
            <w:pPr>
              <w:jc w:val="center"/>
              <w:rPr>
                <w:rFonts w:ascii="Times New Roman" w:hAnsi="Times New Roman" w:cs="Times New Roman"/>
                <w:b/>
                <w:bCs/>
                <w:sz w:val="18"/>
                <w:szCs w:val="18"/>
              </w:rPr>
            </w:pPr>
            <w:r w:rsidRPr="00F3685E">
              <w:rPr>
                <w:rFonts w:ascii="Times New Roman" w:hAnsi="Times New Roman" w:cs="Times New Roman"/>
                <w:b/>
                <w:bCs/>
                <w:sz w:val="18"/>
                <w:szCs w:val="18"/>
              </w:rPr>
              <w:t>3</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F3685E" w:rsidP="00DE3128">
            <w:pPr>
              <w:jc w:val="center"/>
              <w:rPr>
                <w:rFonts w:ascii="Times New Roman" w:hAnsi="Times New Roman" w:cs="Times New Roman"/>
                <w:b/>
                <w:bCs/>
                <w:sz w:val="18"/>
                <w:szCs w:val="18"/>
              </w:rPr>
            </w:pPr>
            <w:r w:rsidRPr="00F3685E">
              <w:rPr>
                <w:rFonts w:ascii="Times New Roman" w:hAnsi="Times New Roman" w:cs="Times New Roman"/>
                <w:b/>
                <w:bCs/>
                <w:sz w:val="18"/>
                <w:szCs w:val="18"/>
              </w:rPr>
              <w:t>4</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F3685E" w:rsidP="00DE3128">
            <w:pPr>
              <w:jc w:val="center"/>
              <w:rPr>
                <w:rFonts w:ascii="Times New Roman" w:hAnsi="Times New Roman" w:cs="Times New Roman"/>
                <w:b/>
                <w:bCs/>
                <w:sz w:val="18"/>
                <w:szCs w:val="18"/>
              </w:rPr>
            </w:pPr>
            <w:r w:rsidRPr="00F3685E">
              <w:rPr>
                <w:rFonts w:ascii="Times New Roman" w:hAnsi="Times New Roman" w:cs="Times New Roman"/>
                <w:b/>
                <w:bCs/>
                <w:sz w:val="18"/>
                <w:szCs w:val="18"/>
              </w:rPr>
              <w:t>5 = 4/3*100</w:t>
            </w:r>
          </w:p>
        </w:tc>
        <w:tc>
          <w:tcPr>
            <w:tcW w:w="900" w:type="dxa"/>
            <w:tcBorders>
              <w:top w:val="nil"/>
              <w:left w:val="nil"/>
              <w:bottom w:val="single" w:sz="4" w:space="0" w:color="auto"/>
              <w:right w:val="single" w:sz="4" w:space="0" w:color="auto"/>
              <w:tl2br w:val="nil"/>
              <w:tr2bl w:val="nil"/>
            </w:tcBorders>
            <w:textDirection w:val="lrTb"/>
            <w:vAlign w:val="center"/>
          </w:tcPr>
          <w:p w:rsidR="00DE3128" w:rsidRPr="00F3685E" w:rsidP="00DE3128">
            <w:pPr>
              <w:jc w:val="center"/>
              <w:rPr>
                <w:rFonts w:ascii="Times New Roman" w:hAnsi="Times New Roman" w:cs="Times New Roman"/>
                <w:b/>
                <w:bCs/>
                <w:sz w:val="18"/>
                <w:szCs w:val="18"/>
              </w:rPr>
            </w:pPr>
            <w:r w:rsidRPr="00F3685E">
              <w:rPr>
                <w:rFonts w:ascii="Times New Roman" w:hAnsi="Times New Roman" w:cs="Times New Roman"/>
                <w:b/>
                <w:bCs/>
                <w:sz w:val="18"/>
                <w:szCs w:val="18"/>
              </w:rPr>
              <w:t>6 = 4 - 3</w:t>
            </w:r>
          </w:p>
        </w:tc>
        <w:tc>
          <w:tcPr>
            <w:tcW w:w="1080" w:type="dxa"/>
            <w:tcBorders>
              <w:top w:val="nil"/>
              <w:left w:val="nil"/>
              <w:bottom w:val="single" w:sz="4" w:space="0" w:color="auto"/>
              <w:right w:val="single" w:sz="8" w:space="0" w:color="auto"/>
              <w:tl2br w:val="nil"/>
              <w:tr2bl w:val="nil"/>
            </w:tcBorders>
            <w:textDirection w:val="lrTb"/>
            <w:vAlign w:val="center"/>
          </w:tcPr>
          <w:p w:rsidR="00DE3128" w:rsidRPr="00F3685E" w:rsidP="00DE3128">
            <w:pPr>
              <w:jc w:val="center"/>
              <w:rPr>
                <w:rFonts w:ascii="Times New Roman" w:hAnsi="Times New Roman" w:cs="Times New Roman"/>
                <w:b/>
                <w:bCs/>
                <w:sz w:val="18"/>
                <w:szCs w:val="18"/>
              </w:rPr>
            </w:pPr>
            <w:r w:rsidRPr="00F3685E">
              <w:rPr>
                <w:rFonts w:ascii="Times New Roman" w:hAnsi="Times New Roman" w:cs="Times New Roman"/>
                <w:b/>
                <w:bCs/>
                <w:sz w:val="18"/>
                <w:szCs w:val="18"/>
              </w:rPr>
              <w:t>7 = 4/1*100</w:t>
            </w:r>
          </w:p>
        </w:tc>
      </w:tr>
      <w:tr>
        <w:tblPrEx>
          <w:tblW w:w="10059" w:type="dxa"/>
          <w:tblInd w:w="-269" w:type="dxa"/>
          <w:tblLayout w:type="fixed"/>
          <w:tblCellMar>
            <w:left w:w="70" w:type="dxa"/>
            <w:right w:w="70" w:type="dxa"/>
          </w:tblCellMar>
        </w:tblPrEx>
        <w:trPr>
          <w:trHeight w:val="520"/>
        </w:trPr>
        <w:tc>
          <w:tcPr>
            <w:tcW w:w="2177" w:type="dxa"/>
            <w:tcBorders>
              <w:top w:val="nil"/>
              <w:left w:val="single" w:sz="8" w:space="0" w:color="auto"/>
              <w:bottom w:val="single" w:sz="4" w:space="0" w:color="auto"/>
              <w:right w:val="single" w:sz="4" w:space="0" w:color="auto"/>
              <w:tl2br w:val="nil"/>
              <w:tr2bl w:val="nil"/>
            </w:tcBorders>
            <w:textDirection w:val="lrTb"/>
            <w:vAlign w:val="center"/>
          </w:tcPr>
          <w:p w:rsidR="00DE3128" w:rsidRPr="00E06D0D" w:rsidP="00DE3128">
            <w:pPr>
              <w:rPr>
                <w:rFonts w:ascii="Times New Roman" w:hAnsi="Times New Roman" w:cs="Times New Roman"/>
                <w:sz w:val="20"/>
                <w:szCs w:val="20"/>
              </w:rPr>
            </w:pPr>
            <w:r w:rsidRPr="00E06D0D">
              <w:rPr>
                <w:rFonts w:ascii="Times New Roman" w:hAnsi="Times New Roman" w:cs="Times New Roman"/>
                <w:sz w:val="20"/>
                <w:szCs w:val="20"/>
              </w:rPr>
              <w:t>Príj</w:t>
            </w:r>
            <w:r w:rsidRPr="00E06D0D">
              <w:rPr>
                <w:rFonts w:ascii="Times New Roman" w:hAnsi="Times New Roman" w:cs="Times New Roman"/>
                <w:sz w:val="20"/>
                <w:szCs w:val="20"/>
              </w:rPr>
              <w:t>my z podnikania a z vlastníctva majetku</w:t>
            </w:r>
          </w:p>
        </w:tc>
        <w:tc>
          <w:tcPr>
            <w:tcW w:w="1222" w:type="dxa"/>
            <w:tcBorders>
              <w:top w:val="nil"/>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1 631,3</w:t>
            </w:r>
          </w:p>
        </w:tc>
        <w:tc>
          <w:tcPr>
            <w:tcW w:w="1118" w:type="dxa"/>
            <w:tcBorders>
              <w:top w:val="nil"/>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2 116,5</w:t>
            </w:r>
          </w:p>
        </w:tc>
        <w:tc>
          <w:tcPr>
            <w:tcW w:w="1042" w:type="dxa"/>
            <w:tcBorders>
              <w:top w:val="nil"/>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2 278,6</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1 349,2</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59,2</w:t>
            </w:r>
          </w:p>
        </w:tc>
        <w:tc>
          <w:tcPr>
            <w:tcW w:w="900" w:type="dxa"/>
            <w:tcBorders>
              <w:top w:val="nil"/>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-929,4</w:t>
            </w:r>
          </w:p>
        </w:tc>
        <w:tc>
          <w:tcPr>
            <w:tcW w:w="1080" w:type="dxa"/>
            <w:tcBorders>
              <w:top w:val="nil"/>
              <w:left w:val="nil"/>
              <w:bottom w:val="single" w:sz="4" w:space="0" w:color="auto"/>
              <w:right w:val="single" w:sz="8"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82,7</w:t>
            </w:r>
          </w:p>
        </w:tc>
      </w:tr>
      <w:tr>
        <w:tblPrEx>
          <w:tblW w:w="10059" w:type="dxa"/>
          <w:tblInd w:w="-269" w:type="dxa"/>
          <w:tblLayout w:type="fixed"/>
          <w:tblCellMar>
            <w:left w:w="70" w:type="dxa"/>
            <w:right w:w="70" w:type="dxa"/>
          </w:tblCellMar>
        </w:tblPrEx>
        <w:trPr>
          <w:trHeight w:val="520"/>
        </w:trPr>
        <w:tc>
          <w:tcPr>
            <w:tcW w:w="2177" w:type="dxa"/>
            <w:tcBorders>
              <w:top w:val="nil"/>
              <w:left w:val="single" w:sz="8" w:space="0" w:color="auto"/>
              <w:bottom w:val="single" w:sz="4" w:space="0" w:color="auto"/>
              <w:right w:val="single" w:sz="4" w:space="0" w:color="auto"/>
              <w:tl2br w:val="nil"/>
              <w:tr2bl w:val="nil"/>
            </w:tcBorders>
            <w:textDirection w:val="lrTb"/>
            <w:vAlign w:val="center"/>
          </w:tcPr>
          <w:p w:rsidR="00DE3128" w:rsidRPr="00E06D0D" w:rsidP="00DE3128">
            <w:pPr>
              <w:rPr>
                <w:rFonts w:ascii="Times New Roman" w:hAnsi="Times New Roman" w:cs="Times New Roman"/>
                <w:sz w:val="20"/>
                <w:szCs w:val="20"/>
              </w:rPr>
            </w:pPr>
            <w:r w:rsidRPr="00E06D0D">
              <w:rPr>
                <w:rFonts w:ascii="Times New Roman" w:hAnsi="Times New Roman" w:cs="Times New Roman"/>
                <w:sz w:val="20"/>
                <w:szCs w:val="20"/>
              </w:rPr>
              <w:t>Administratívne poplatky a iné poplatky a</w:t>
            </w:r>
            <w:r w:rsidR="00366416">
              <w:rPr>
                <w:rFonts w:ascii="Times New Roman" w:hAnsi="Times New Roman" w:cs="Times New Roman"/>
                <w:sz w:val="20"/>
                <w:szCs w:val="20"/>
              </w:rPr>
              <w:t> </w:t>
            </w:r>
            <w:r w:rsidRPr="00E06D0D">
              <w:rPr>
                <w:rFonts w:ascii="Times New Roman" w:hAnsi="Times New Roman" w:cs="Times New Roman"/>
                <w:sz w:val="20"/>
                <w:szCs w:val="20"/>
              </w:rPr>
              <w:t>platby</w:t>
            </w:r>
          </w:p>
        </w:tc>
        <w:tc>
          <w:tcPr>
            <w:tcW w:w="1222" w:type="dxa"/>
            <w:tcBorders>
              <w:top w:val="nil"/>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8 648,0</w:t>
            </w:r>
          </w:p>
        </w:tc>
        <w:tc>
          <w:tcPr>
            <w:tcW w:w="1118" w:type="dxa"/>
            <w:tcBorders>
              <w:top w:val="nil"/>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7 621,5</w:t>
            </w:r>
          </w:p>
        </w:tc>
        <w:tc>
          <w:tcPr>
            <w:tcW w:w="1042" w:type="dxa"/>
            <w:tcBorders>
              <w:top w:val="nil"/>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7 614,6</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7 668,5</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100,7</w:t>
            </w:r>
          </w:p>
        </w:tc>
        <w:tc>
          <w:tcPr>
            <w:tcW w:w="900" w:type="dxa"/>
            <w:tcBorders>
              <w:top w:val="nil"/>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53,9</w:t>
            </w:r>
          </w:p>
        </w:tc>
        <w:tc>
          <w:tcPr>
            <w:tcW w:w="1080" w:type="dxa"/>
            <w:tcBorders>
              <w:top w:val="nil"/>
              <w:left w:val="nil"/>
              <w:bottom w:val="single" w:sz="4" w:space="0" w:color="auto"/>
              <w:right w:val="single" w:sz="8"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88,7</w:t>
            </w:r>
          </w:p>
        </w:tc>
      </w:tr>
      <w:tr>
        <w:tblPrEx>
          <w:tblW w:w="10059" w:type="dxa"/>
          <w:tblInd w:w="-269" w:type="dxa"/>
          <w:tblLayout w:type="fixed"/>
          <w:tblCellMar>
            <w:left w:w="70" w:type="dxa"/>
            <w:right w:w="70" w:type="dxa"/>
          </w:tblCellMar>
        </w:tblPrEx>
        <w:trPr>
          <w:trHeight w:val="283"/>
        </w:trPr>
        <w:tc>
          <w:tcPr>
            <w:tcW w:w="2177" w:type="dxa"/>
            <w:tcBorders>
              <w:top w:val="nil"/>
              <w:left w:val="single" w:sz="8" w:space="0" w:color="auto"/>
              <w:bottom w:val="single" w:sz="4" w:space="0" w:color="auto"/>
              <w:right w:val="single" w:sz="4" w:space="0" w:color="auto"/>
              <w:tl2br w:val="nil"/>
              <w:tr2bl w:val="nil"/>
            </w:tcBorders>
            <w:textDirection w:val="lrTb"/>
            <w:vAlign w:val="center"/>
          </w:tcPr>
          <w:p w:rsidR="00DE3128" w:rsidRPr="00E06D0D" w:rsidP="00DE3128">
            <w:pPr>
              <w:rPr>
                <w:rFonts w:ascii="Times New Roman" w:hAnsi="Times New Roman" w:cs="Times New Roman"/>
                <w:sz w:val="20"/>
                <w:szCs w:val="20"/>
              </w:rPr>
            </w:pPr>
            <w:r w:rsidRPr="00E06D0D">
              <w:rPr>
                <w:rFonts w:ascii="Times New Roman" w:hAnsi="Times New Roman" w:cs="Times New Roman"/>
                <w:sz w:val="20"/>
                <w:szCs w:val="20"/>
              </w:rPr>
              <w:t>Kapitálové príjmy</w:t>
            </w:r>
          </w:p>
        </w:tc>
        <w:tc>
          <w:tcPr>
            <w:tcW w:w="1222" w:type="dxa"/>
            <w:tcBorders>
              <w:top w:val="nil"/>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566,1</w:t>
            </w:r>
          </w:p>
        </w:tc>
        <w:tc>
          <w:tcPr>
            <w:tcW w:w="1118" w:type="dxa"/>
            <w:tcBorders>
              <w:top w:val="nil"/>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1 264,4</w:t>
            </w:r>
          </w:p>
        </w:tc>
        <w:tc>
          <w:tcPr>
            <w:tcW w:w="1042" w:type="dxa"/>
            <w:tcBorders>
              <w:top w:val="nil"/>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609,4</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639,1</w:t>
            </w:r>
          </w:p>
        </w:tc>
        <w:tc>
          <w:tcPr>
            <w:tcW w:w="1260" w:type="dxa"/>
            <w:tcBorders>
              <w:top w:val="nil"/>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104,9</w:t>
            </w:r>
          </w:p>
        </w:tc>
        <w:tc>
          <w:tcPr>
            <w:tcW w:w="900" w:type="dxa"/>
            <w:tcBorders>
              <w:top w:val="nil"/>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29,7</w:t>
            </w:r>
          </w:p>
        </w:tc>
        <w:tc>
          <w:tcPr>
            <w:tcW w:w="1080" w:type="dxa"/>
            <w:tcBorders>
              <w:top w:val="nil"/>
              <w:left w:val="nil"/>
              <w:bottom w:val="single" w:sz="4" w:space="0" w:color="auto"/>
              <w:right w:val="single" w:sz="8"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112,9</w:t>
            </w:r>
          </w:p>
        </w:tc>
      </w:tr>
      <w:tr>
        <w:tblPrEx>
          <w:tblW w:w="10059" w:type="dxa"/>
          <w:tblInd w:w="-269" w:type="dxa"/>
          <w:tblLayout w:type="fixed"/>
          <w:tblCellMar>
            <w:left w:w="70" w:type="dxa"/>
            <w:right w:w="70" w:type="dxa"/>
          </w:tblCellMar>
        </w:tblPrEx>
        <w:trPr>
          <w:trHeight w:val="520"/>
        </w:trPr>
        <w:tc>
          <w:tcPr>
            <w:tcW w:w="217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DE3128" w:rsidRPr="00E06D0D" w:rsidP="00DE3128">
            <w:pPr>
              <w:rPr>
                <w:rFonts w:ascii="Times New Roman" w:hAnsi="Times New Roman" w:cs="Times New Roman"/>
                <w:sz w:val="20"/>
                <w:szCs w:val="20"/>
              </w:rPr>
            </w:pPr>
            <w:r w:rsidRPr="00E06D0D">
              <w:rPr>
                <w:rFonts w:ascii="Times New Roman" w:hAnsi="Times New Roman" w:cs="Times New Roman"/>
                <w:sz w:val="20"/>
                <w:szCs w:val="20"/>
              </w:rPr>
              <w:t xml:space="preserve">Úroky </w:t>
            </w:r>
            <w:r w:rsidRPr="00E06D0D">
              <w:rPr>
                <w:rFonts w:ascii="Times New Roman" w:hAnsi="Times New Roman" w:cs="Times New Roman"/>
                <w:sz w:val="20"/>
                <w:szCs w:val="20"/>
              </w:rPr>
              <w:t>z tuzemských a zahraničných úverov, pôžičiek, NFV, vkladov a</w:t>
            </w:r>
            <w:r w:rsidR="00366416">
              <w:rPr>
                <w:rFonts w:ascii="Times New Roman" w:hAnsi="Times New Roman" w:cs="Times New Roman"/>
                <w:sz w:val="20"/>
                <w:szCs w:val="20"/>
              </w:rPr>
              <w:t> </w:t>
            </w:r>
            <w:r w:rsidRPr="00E06D0D">
              <w:rPr>
                <w:rFonts w:ascii="Times New Roman" w:hAnsi="Times New Roman" w:cs="Times New Roman"/>
                <w:sz w:val="20"/>
                <w:szCs w:val="20"/>
              </w:rPr>
              <w:t>ážio</w:t>
            </w:r>
          </w:p>
        </w:tc>
        <w:tc>
          <w:tcPr>
            <w:tcW w:w="1222" w:type="dxa"/>
            <w:tcBorders>
              <w:top w:val="single" w:sz="4" w:space="0" w:color="auto"/>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3 421,8</w:t>
            </w:r>
          </w:p>
        </w:tc>
        <w:tc>
          <w:tcPr>
            <w:tcW w:w="1118" w:type="dxa"/>
            <w:tcBorders>
              <w:top w:val="single" w:sz="4" w:space="0" w:color="auto"/>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1 028,2</w:t>
            </w:r>
          </w:p>
        </w:tc>
        <w:tc>
          <w:tcPr>
            <w:tcW w:w="1042" w:type="dxa"/>
            <w:tcBorders>
              <w:top w:val="single" w:sz="4" w:space="0" w:color="auto"/>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1 232,8</w:t>
            </w:r>
          </w:p>
        </w:tc>
        <w:tc>
          <w:tcPr>
            <w:tcW w:w="1260" w:type="dxa"/>
            <w:tcBorders>
              <w:top w:val="single" w:sz="4" w:space="0" w:color="auto"/>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4 303,0</w:t>
            </w:r>
          </w:p>
        </w:tc>
        <w:tc>
          <w:tcPr>
            <w:tcW w:w="1260" w:type="dxa"/>
            <w:tcBorders>
              <w:top w:val="single" w:sz="4" w:space="0" w:color="auto"/>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349,0</w:t>
            </w:r>
          </w:p>
        </w:tc>
        <w:tc>
          <w:tcPr>
            <w:tcW w:w="900" w:type="dxa"/>
            <w:tcBorders>
              <w:top w:val="single" w:sz="4" w:space="0" w:color="auto"/>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3 070,2</w:t>
            </w:r>
          </w:p>
        </w:tc>
        <w:tc>
          <w:tcPr>
            <w:tcW w:w="1080" w:type="dxa"/>
            <w:tcBorders>
              <w:top w:val="single" w:sz="4" w:space="0" w:color="auto"/>
              <w:left w:val="nil"/>
              <w:bottom w:val="single" w:sz="4" w:space="0" w:color="auto"/>
              <w:right w:val="single" w:sz="8"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125,8</w:t>
            </w:r>
          </w:p>
        </w:tc>
      </w:tr>
      <w:tr>
        <w:tblPrEx>
          <w:tblW w:w="10059" w:type="dxa"/>
          <w:tblInd w:w="-269" w:type="dxa"/>
          <w:tblLayout w:type="fixed"/>
          <w:tblCellMar>
            <w:left w:w="70" w:type="dxa"/>
            <w:right w:w="70" w:type="dxa"/>
          </w:tblCellMar>
        </w:tblPrEx>
        <w:trPr>
          <w:trHeight w:val="267"/>
        </w:trPr>
        <w:tc>
          <w:tcPr>
            <w:tcW w:w="217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DE3128" w:rsidRPr="00E06D0D" w:rsidP="00DE3128">
            <w:pPr>
              <w:rPr>
                <w:rFonts w:ascii="Times New Roman" w:hAnsi="Times New Roman" w:cs="Times New Roman"/>
                <w:sz w:val="20"/>
                <w:szCs w:val="20"/>
              </w:rPr>
            </w:pPr>
            <w:r w:rsidRPr="00E06D0D">
              <w:rPr>
                <w:rFonts w:ascii="Times New Roman" w:hAnsi="Times New Roman" w:cs="Times New Roman"/>
                <w:sz w:val="20"/>
                <w:szCs w:val="20"/>
              </w:rPr>
              <w:t>Iné nedaňové príjmy</w:t>
            </w:r>
          </w:p>
        </w:tc>
        <w:tc>
          <w:tcPr>
            <w:tcW w:w="1222" w:type="dxa"/>
            <w:tcBorders>
              <w:top w:val="single" w:sz="4" w:space="0" w:color="auto"/>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6 975,0</w:t>
            </w:r>
          </w:p>
        </w:tc>
        <w:tc>
          <w:tcPr>
            <w:tcW w:w="1118" w:type="dxa"/>
            <w:tcBorders>
              <w:top w:val="single" w:sz="4" w:space="0" w:color="auto"/>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2 935,8</w:t>
            </w:r>
          </w:p>
        </w:tc>
        <w:tc>
          <w:tcPr>
            <w:tcW w:w="1042" w:type="dxa"/>
            <w:tcBorders>
              <w:top w:val="single" w:sz="4" w:space="0" w:color="auto"/>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2 988,6</w:t>
            </w:r>
          </w:p>
        </w:tc>
        <w:tc>
          <w:tcPr>
            <w:tcW w:w="1260" w:type="dxa"/>
            <w:tcBorders>
              <w:top w:val="single" w:sz="4" w:space="0" w:color="auto"/>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5 867,6</w:t>
            </w:r>
          </w:p>
        </w:tc>
        <w:tc>
          <w:tcPr>
            <w:tcW w:w="1260" w:type="dxa"/>
            <w:tcBorders>
              <w:top w:val="single" w:sz="4" w:space="0" w:color="auto"/>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196,3</w:t>
            </w:r>
          </w:p>
        </w:tc>
        <w:tc>
          <w:tcPr>
            <w:tcW w:w="900" w:type="dxa"/>
            <w:tcBorders>
              <w:top w:val="single" w:sz="4" w:space="0" w:color="auto"/>
              <w:left w:val="nil"/>
              <w:bottom w:val="single" w:sz="4"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2 879,0</w:t>
            </w:r>
          </w:p>
        </w:tc>
        <w:tc>
          <w:tcPr>
            <w:tcW w:w="1080" w:type="dxa"/>
            <w:tcBorders>
              <w:top w:val="single" w:sz="4" w:space="0" w:color="auto"/>
              <w:left w:val="nil"/>
              <w:bottom w:val="single" w:sz="4" w:space="0" w:color="auto"/>
              <w:right w:val="single" w:sz="8" w:space="0" w:color="auto"/>
              <w:tl2br w:val="nil"/>
              <w:tr2bl w:val="nil"/>
            </w:tcBorders>
            <w:textDirection w:val="lrTb"/>
            <w:vAlign w:val="center"/>
          </w:tcPr>
          <w:p w:rsidR="00DE3128" w:rsidRPr="00E06D0D" w:rsidP="00DE3128">
            <w:pPr>
              <w:jc w:val="right"/>
              <w:rPr>
                <w:rFonts w:ascii="Times New Roman" w:hAnsi="Times New Roman" w:cs="Times New Roman"/>
                <w:sz w:val="20"/>
                <w:szCs w:val="20"/>
              </w:rPr>
            </w:pPr>
            <w:r w:rsidRPr="00E06D0D">
              <w:rPr>
                <w:rFonts w:ascii="Times New Roman" w:hAnsi="Times New Roman" w:cs="Times New Roman"/>
                <w:sz w:val="20"/>
                <w:szCs w:val="20"/>
              </w:rPr>
              <w:t>84,1</w:t>
            </w:r>
          </w:p>
        </w:tc>
      </w:tr>
      <w:tr>
        <w:tblPrEx>
          <w:tblW w:w="10059" w:type="dxa"/>
          <w:tblInd w:w="-269" w:type="dxa"/>
          <w:tblLayout w:type="fixed"/>
          <w:tblCellMar>
            <w:left w:w="70" w:type="dxa"/>
            <w:right w:w="70" w:type="dxa"/>
          </w:tblCellMar>
        </w:tblPrEx>
        <w:trPr>
          <w:trHeight w:val="113"/>
        </w:trPr>
        <w:tc>
          <w:tcPr>
            <w:tcW w:w="2177" w:type="dxa"/>
            <w:tcBorders>
              <w:top w:val="single" w:sz="4" w:space="0" w:color="auto"/>
              <w:left w:val="single" w:sz="8" w:space="0" w:color="auto"/>
              <w:bottom w:val="double" w:sz="6" w:space="0" w:color="auto"/>
              <w:right w:val="single" w:sz="4" w:space="0" w:color="auto"/>
              <w:tl2br w:val="nil"/>
              <w:tr2bl w:val="nil"/>
            </w:tcBorders>
            <w:textDirection w:val="lrTb"/>
            <w:vAlign w:val="center"/>
          </w:tcPr>
          <w:p w:rsidR="00DE3128" w:rsidRPr="00E06D0D" w:rsidP="00DE3128">
            <w:pPr>
              <w:rPr>
                <w:rFonts w:ascii="Times New Roman" w:hAnsi="Times New Roman" w:cs="Times New Roman"/>
                <w:b/>
                <w:sz w:val="20"/>
                <w:szCs w:val="20"/>
              </w:rPr>
            </w:pPr>
            <w:r w:rsidRPr="00E06D0D">
              <w:rPr>
                <w:rFonts w:ascii="Times New Roman" w:hAnsi="Times New Roman" w:cs="Times New Roman"/>
                <w:b/>
                <w:sz w:val="20"/>
                <w:szCs w:val="20"/>
              </w:rPr>
              <w:t>Nedaňové príjmy spolu</w:t>
            </w:r>
          </w:p>
        </w:tc>
        <w:tc>
          <w:tcPr>
            <w:tcW w:w="1222" w:type="dxa"/>
            <w:tcBorders>
              <w:top w:val="single" w:sz="4" w:space="0" w:color="auto"/>
              <w:left w:val="nil"/>
              <w:bottom w:val="double" w:sz="6"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b/>
                <w:sz w:val="20"/>
                <w:szCs w:val="20"/>
              </w:rPr>
            </w:pPr>
            <w:r w:rsidRPr="00E06D0D">
              <w:rPr>
                <w:rFonts w:ascii="Times New Roman" w:hAnsi="Times New Roman" w:cs="Times New Roman"/>
                <w:b/>
                <w:sz w:val="20"/>
                <w:szCs w:val="20"/>
              </w:rPr>
              <w:t>21 242,2</w:t>
            </w:r>
          </w:p>
        </w:tc>
        <w:tc>
          <w:tcPr>
            <w:tcW w:w="1118" w:type="dxa"/>
            <w:tcBorders>
              <w:top w:val="single" w:sz="4" w:space="0" w:color="auto"/>
              <w:left w:val="nil"/>
              <w:bottom w:val="double" w:sz="6"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b/>
                <w:sz w:val="20"/>
                <w:szCs w:val="20"/>
              </w:rPr>
            </w:pPr>
            <w:r w:rsidRPr="00E06D0D">
              <w:rPr>
                <w:rFonts w:ascii="Times New Roman" w:hAnsi="Times New Roman" w:cs="Times New Roman"/>
                <w:b/>
                <w:sz w:val="20"/>
                <w:szCs w:val="20"/>
              </w:rPr>
              <w:t>14 966,4</w:t>
            </w:r>
          </w:p>
        </w:tc>
        <w:tc>
          <w:tcPr>
            <w:tcW w:w="1042" w:type="dxa"/>
            <w:tcBorders>
              <w:top w:val="single" w:sz="4" w:space="0" w:color="auto"/>
              <w:left w:val="nil"/>
              <w:bottom w:val="double" w:sz="6"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b/>
                <w:sz w:val="20"/>
                <w:szCs w:val="20"/>
              </w:rPr>
            </w:pPr>
            <w:r w:rsidRPr="00E06D0D">
              <w:rPr>
                <w:rFonts w:ascii="Times New Roman" w:hAnsi="Times New Roman" w:cs="Times New Roman"/>
                <w:b/>
                <w:sz w:val="20"/>
                <w:szCs w:val="20"/>
              </w:rPr>
              <w:t>14 724,0</w:t>
            </w:r>
          </w:p>
        </w:tc>
        <w:tc>
          <w:tcPr>
            <w:tcW w:w="1260" w:type="dxa"/>
            <w:tcBorders>
              <w:top w:val="single" w:sz="4" w:space="0" w:color="auto"/>
              <w:left w:val="nil"/>
              <w:bottom w:val="double" w:sz="6"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b/>
                <w:sz w:val="20"/>
                <w:szCs w:val="20"/>
              </w:rPr>
            </w:pPr>
            <w:r w:rsidRPr="00E06D0D">
              <w:rPr>
                <w:rFonts w:ascii="Times New Roman" w:hAnsi="Times New Roman" w:cs="Times New Roman"/>
                <w:b/>
                <w:sz w:val="20"/>
                <w:szCs w:val="20"/>
              </w:rPr>
              <w:t>19 827,4</w:t>
            </w:r>
          </w:p>
        </w:tc>
        <w:tc>
          <w:tcPr>
            <w:tcW w:w="1260" w:type="dxa"/>
            <w:tcBorders>
              <w:top w:val="single" w:sz="4" w:space="0" w:color="auto"/>
              <w:left w:val="nil"/>
              <w:bottom w:val="double" w:sz="6"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b/>
                <w:sz w:val="20"/>
                <w:szCs w:val="20"/>
              </w:rPr>
            </w:pPr>
            <w:r w:rsidRPr="00E06D0D">
              <w:rPr>
                <w:rFonts w:ascii="Times New Roman" w:hAnsi="Times New Roman" w:cs="Times New Roman"/>
                <w:b/>
                <w:sz w:val="20"/>
                <w:szCs w:val="20"/>
              </w:rPr>
              <w:t>134,7</w:t>
            </w:r>
          </w:p>
        </w:tc>
        <w:tc>
          <w:tcPr>
            <w:tcW w:w="900" w:type="dxa"/>
            <w:tcBorders>
              <w:top w:val="single" w:sz="4" w:space="0" w:color="auto"/>
              <w:left w:val="nil"/>
              <w:bottom w:val="double" w:sz="6" w:space="0" w:color="auto"/>
              <w:right w:val="single" w:sz="4" w:space="0" w:color="auto"/>
              <w:tl2br w:val="nil"/>
              <w:tr2bl w:val="nil"/>
            </w:tcBorders>
            <w:textDirection w:val="lrTb"/>
            <w:vAlign w:val="center"/>
          </w:tcPr>
          <w:p w:rsidR="00DE3128" w:rsidRPr="00E06D0D" w:rsidP="00DE3128">
            <w:pPr>
              <w:jc w:val="right"/>
              <w:rPr>
                <w:rFonts w:ascii="Times New Roman" w:hAnsi="Times New Roman" w:cs="Times New Roman"/>
                <w:b/>
                <w:sz w:val="20"/>
                <w:szCs w:val="20"/>
              </w:rPr>
            </w:pPr>
            <w:r w:rsidRPr="00E06D0D">
              <w:rPr>
                <w:rFonts w:ascii="Times New Roman" w:hAnsi="Times New Roman" w:cs="Times New Roman"/>
                <w:b/>
                <w:sz w:val="20"/>
                <w:szCs w:val="20"/>
              </w:rPr>
              <w:t>5</w:t>
            </w:r>
            <w:r w:rsidRPr="00E06D0D">
              <w:rPr>
                <w:rFonts w:ascii="Times New Roman" w:hAnsi="Times New Roman" w:cs="Times New Roman"/>
                <w:b/>
                <w:sz w:val="20"/>
                <w:szCs w:val="20"/>
              </w:rPr>
              <w:t> 103,4</w:t>
            </w:r>
          </w:p>
        </w:tc>
        <w:tc>
          <w:tcPr>
            <w:tcW w:w="1080" w:type="dxa"/>
            <w:tcBorders>
              <w:top w:val="single" w:sz="4" w:space="0" w:color="auto"/>
              <w:left w:val="nil"/>
              <w:bottom w:val="double" w:sz="6" w:space="0" w:color="auto"/>
              <w:right w:val="single" w:sz="8" w:space="0" w:color="auto"/>
              <w:tl2br w:val="nil"/>
              <w:tr2bl w:val="nil"/>
            </w:tcBorders>
            <w:textDirection w:val="lrTb"/>
            <w:vAlign w:val="center"/>
          </w:tcPr>
          <w:p w:rsidR="00DE3128" w:rsidRPr="00E06D0D" w:rsidP="00DE3128">
            <w:pPr>
              <w:jc w:val="right"/>
              <w:rPr>
                <w:rFonts w:ascii="Times New Roman" w:hAnsi="Times New Roman" w:cs="Times New Roman"/>
                <w:b/>
                <w:sz w:val="20"/>
                <w:szCs w:val="20"/>
              </w:rPr>
            </w:pPr>
            <w:r w:rsidRPr="00E06D0D">
              <w:rPr>
                <w:rFonts w:ascii="Times New Roman" w:hAnsi="Times New Roman" w:cs="Times New Roman"/>
                <w:b/>
                <w:sz w:val="20"/>
                <w:szCs w:val="20"/>
              </w:rPr>
              <w:t>93,3</w:t>
            </w:r>
          </w:p>
        </w:tc>
      </w:tr>
    </w:tbl>
    <w:p w:rsidR="00DE3128" w:rsidRPr="00E06D0D" w:rsidP="009C7C06">
      <w:pPr>
        <w:spacing w:before="120" w:line="360" w:lineRule="auto"/>
        <w:ind w:hanging="360"/>
        <w:jc w:val="both"/>
        <w:rPr>
          <w:rFonts w:ascii="Times New Roman" w:hAnsi="Times New Roman" w:cs="Times New Roman"/>
          <w:sz w:val="20"/>
          <w:szCs w:val="20"/>
        </w:rPr>
      </w:pPr>
      <w:r w:rsidR="009C7C06">
        <w:rPr>
          <w:rFonts w:ascii="Times New Roman" w:hAnsi="Times New Roman" w:cs="Times New Roman"/>
          <w:sz w:val="20"/>
          <w:szCs w:val="20"/>
        </w:rPr>
        <w:t xml:space="preserve"> </w:t>
      </w:r>
      <w:r w:rsidRPr="00E06D0D">
        <w:rPr>
          <w:rFonts w:ascii="Times New Roman" w:hAnsi="Times New Roman" w:cs="Times New Roman"/>
          <w:sz w:val="20"/>
          <w:szCs w:val="20"/>
        </w:rPr>
        <w:t>Zdroj: Ministerstvo financií SR</w:t>
      </w:r>
    </w:p>
    <w:p w:rsidR="00437FA0" w:rsidP="00DE3128">
      <w:pPr>
        <w:spacing w:before="240" w:line="360" w:lineRule="auto"/>
        <w:jc w:val="center"/>
        <w:rPr>
          <w:rFonts w:ascii="Times New Roman" w:hAnsi="Times New Roman" w:cs="Times New Roman"/>
          <w:b/>
        </w:rPr>
      </w:pPr>
    </w:p>
    <w:p w:rsidR="00DE3128" w:rsidP="00DE3128">
      <w:pPr>
        <w:spacing w:before="240" w:line="360" w:lineRule="auto"/>
        <w:jc w:val="center"/>
        <w:rPr>
          <w:rFonts w:ascii="Times New Roman" w:hAnsi="Times New Roman" w:cs="Times New Roman"/>
          <w:b/>
        </w:rPr>
      </w:pPr>
      <w:r w:rsidRPr="00AA240D">
        <w:rPr>
          <w:rFonts w:ascii="Times New Roman" w:hAnsi="Times New Roman" w:cs="Times New Roman"/>
          <w:b/>
        </w:rPr>
        <w:t>2.1.2.1. Príjmy z podnikania a z vlastníctva majetku</w:t>
      </w:r>
    </w:p>
    <w:p w:rsidR="00DE3128" w:rsidP="00DE3128">
      <w:pPr>
        <w:spacing w:before="120" w:after="0" w:line="360" w:lineRule="auto"/>
        <w:ind w:firstLine="709"/>
        <w:jc w:val="both"/>
        <w:rPr>
          <w:rFonts w:ascii="Times New Roman" w:hAnsi="Times New Roman" w:cs="Times New Roman"/>
        </w:rPr>
      </w:pPr>
      <w:r>
        <w:rPr>
          <w:rFonts w:ascii="Times New Roman" w:hAnsi="Times New Roman" w:cs="Times New Roman"/>
        </w:rPr>
        <w:t xml:space="preserve">Ich výška závisí najmä od inkasovaných dividend z majetkových účastí štátu zastúpeného prostredníctvom príslušných rezortných ministerstiev v akciových spoločnostiach s majetkovou účasťou štátu a od výšky nájomného za prenájom pozemkov, budov, objektov a priestorov vo vlastníctve štátu, ktoré sú v správe jednotlivých rozpočtových kapitol. Pôvodne sa rozpočtovali sumou 2 116,5 mil. Sk (v tom 1 902,4 mil. Sk príjmy z podnikania a 214,1 mil. Sk príjmy z vlastníctva majetku), ktorá sa úpravami rozpočtu zvýšila o 162,1 mil. Sk na 2 278,6 mil. Sk. Skutočné inkaso vo výške 1 349,2 mil. Sk (v tom 1 010,1 mil. Sk príjmy z podnikania a 339,1 mil. Sk príjmy z vlastníctva majetku) predstavuje len 59,2 % ročného rozpočtu a medziročne je nižšie o 282,1 mil. Sk. </w:t>
      </w:r>
    </w:p>
    <w:p w:rsidR="00DE3128" w:rsidRPr="00B867AC" w:rsidP="00E24E2E">
      <w:pPr>
        <w:spacing w:after="0" w:line="360" w:lineRule="auto"/>
        <w:ind w:left="3" w:hanging="3"/>
        <w:jc w:val="both"/>
        <w:rPr>
          <w:rFonts w:ascii="Times New Roman" w:hAnsi="Times New Roman" w:cs="Times New Roman"/>
        </w:rPr>
      </w:pPr>
      <w:r w:rsidR="00E24E2E">
        <w:rPr>
          <w:rFonts w:ascii="Times New Roman" w:hAnsi="Times New Roman" w:cs="Times New Roman"/>
        </w:rPr>
        <w:t xml:space="preserve">        </w:t>
        <w:tab/>
      </w:r>
      <w:r w:rsidRPr="00B867AC">
        <w:rPr>
          <w:rFonts w:ascii="Times New Roman" w:hAnsi="Times New Roman" w:cs="Times New Roman"/>
        </w:rPr>
        <w:t>Z vlastníckeho podielu štátu v akciových spoločnostiach s jeho majetkovou účasťou sa rozpočtovali dividendy v úhrnnej výške 1 642,4 mil. Sk v</w:t>
      </w:r>
      <w:r>
        <w:rPr>
          <w:rFonts w:ascii="Times New Roman" w:hAnsi="Times New Roman" w:cs="Times New Roman"/>
        </w:rPr>
        <w:t xml:space="preserve"> troch</w:t>
      </w:r>
      <w:r w:rsidRPr="00B867AC">
        <w:rPr>
          <w:rFonts w:ascii="Times New Roman" w:hAnsi="Times New Roman" w:cs="Times New Roman"/>
        </w:rPr>
        <w:t> rozpočto</w:t>
      </w:r>
      <w:r w:rsidRPr="00B867AC">
        <w:rPr>
          <w:rFonts w:ascii="Times New Roman" w:hAnsi="Times New Roman" w:cs="Times New Roman"/>
        </w:rPr>
        <w:t>vých kapitolách</w:t>
      </w:r>
      <w:r>
        <w:rPr>
          <w:rStyle w:val="FootnoteReference"/>
          <w:rFonts w:ascii="Times New Roman" w:hAnsi="Times New Roman" w:cs="Times New Roman"/>
          <w:rtl w:val="0"/>
        </w:rPr>
        <w:footnoteReference w:id="1"/>
      </w:r>
      <w:r w:rsidRPr="009C7C06" w:rsidR="009C7C06">
        <w:rPr>
          <w:rFonts w:ascii="Times New Roman" w:hAnsi="Times New Roman" w:cs="Times New Roman"/>
          <w:vertAlign w:val="superscript"/>
        </w:rPr>
        <w:t>)</w:t>
      </w:r>
      <w:r w:rsidRPr="00B867AC">
        <w:rPr>
          <w:rFonts w:ascii="Times New Roman" w:hAnsi="Times New Roman" w:cs="Times New Roman"/>
        </w:rPr>
        <w:t>:</w:t>
      </w:r>
    </w:p>
    <w:p w:rsidR="00DE3128" w:rsidRPr="00DA700C" w:rsidP="009C7C06">
      <w:pPr>
        <w:numPr>
          <w:ilvl w:val="0"/>
          <w:numId w:val="84"/>
        </w:numPr>
        <w:tabs>
          <w:tab w:val="left" w:pos="720"/>
        </w:tabs>
        <w:spacing w:after="0" w:line="360" w:lineRule="auto"/>
        <w:jc w:val="both"/>
        <w:rPr>
          <w:rFonts w:ascii="Times New Roman" w:hAnsi="Times New Roman" w:cs="Times New Roman"/>
        </w:rPr>
      </w:pPr>
      <w:r w:rsidRPr="00DA700C">
        <w:rPr>
          <w:rFonts w:ascii="Times New Roman" w:hAnsi="Times New Roman" w:cs="Times New Roman"/>
        </w:rPr>
        <w:t>Všeobecná pokladničná správa  1 552,0 mil. Sk,</w:t>
      </w:r>
    </w:p>
    <w:p w:rsidR="00DE3128" w:rsidRPr="00DA700C" w:rsidP="009C7C06">
      <w:pPr>
        <w:numPr>
          <w:ilvl w:val="0"/>
          <w:numId w:val="84"/>
        </w:numPr>
        <w:tabs>
          <w:tab w:val="left" w:pos="720"/>
        </w:tabs>
        <w:spacing w:after="0" w:line="360" w:lineRule="auto"/>
        <w:jc w:val="both"/>
        <w:rPr>
          <w:rFonts w:ascii="Times New Roman" w:hAnsi="Times New Roman" w:cs="Times New Roman"/>
        </w:rPr>
      </w:pPr>
      <w:r w:rsidRPr="00DA700C">
        <w:rPr>
          <w:rFonts w:ascii="Times New Roman" w:hAnsi="Times New Roman" w:cs="Times New Roman"/>
        </w:rPr>
        <w:t>Ministerstvo zahraničných vecí SR 60,0 mil. Sk,</w:t>
      </w:r>
      <w:r>
        <w:rPr>
          <w:rFonts w:ascii="Times New Roman" w:hAnsi="Times New Roman" w:cs="Times New Roman"/>
        </w:rPr>
        <w:tab/>
      </w:r>
    </w:p>
    <w:p w:rsidR="00DE3128" w:rsidP="009C7C06">
      <w:pPr>
        <w:numPr>
          <w:ilvl w:val="0"/>
          <w:numId w:val="84"/>
        </w:numPr>
        <w:tabs>
          <w:tab w:val="left" w:pos="720"/>
        </w:tabs>
        <w:spacing w:after="0" w:line="360" w:lineRule="auto"/>
        <w:jc w:val="both"/>
        <w:rPr>
          <w:rFonts w:ascii="Times New Roman" w:hAnsi="Times New Roman" w:cs="Times New Roman"/>
        </w:rPr>
      </w:pPr>
      <w:r w:rsidRPr="00DA700C">
        <w:rPr>
          <w:rFonts w:ascii="Times New Roman" w:hAnsi="Times New Roman" w:cs="Times New Roman"/>
        </w:rPr>
        <w:t>Ministerstvo financií SR 30,4 mil. Sk.</w:t>
      </w:r>
    </w:p>
    <w:p w:rsidR="00DE3128" w:rsidRPr="009C7C06" w:rsidP="009C7C06">
      <w:pPr>
        <w:spacing w:after="0" w:line="360" w:lineRule="auto"/>
        <w:jc w:val="both"/>
        <w:rPr>
          <w:rFonts w:ascii="Times New Roman" w:hAnsi="Times New Roman" w:cs="Times New Roman"/>
        </w:rPr>
      </w:pPr>
      <w:r w:rsidR="00E24E2E">
        <w:rPr>
          <w:rFonts w:ascii="Times New Roman" w:hAnsi="Times New Roman" w:cs="Times New Roman"/>
        </w:rPr>
        <w:tab/>
        <w:t xml:space="preserve"> </w:t>
      </w:r>
      <w:r>
        <w:rPr>
          <w:rFonts w:ascii="Times New Roman" w:hAnsi="Times New Roman" w:cs="Times New Roman"/>
        </w:rPr>
        <w:t>V skutočnosti boli dosiahnuté dividendy v objeme 1 009,6 mil. Sk, ktoré získali kapitoly od nasledujúcich subjektov: kapitola Všeobecná pokladničná správa 272,0 mil. Sk z Ministerstva dopravy, pôšt a telekomunikácií SR (Slovak Telecom, a.s.), Ministerstvo financií SR 292,5 mil. Sk (Slovenská záručná a rozvojová banka, a.s. 200,0 mil. Sk, Slovenská konsolidačná banka a.s. 32,5 mil. Sk a TIPOS, a.s. 60,0 mil. Sk), Ministerstvo dopravy, pôšt a telekomunikácií SR 385,0 mil. Sk (Letisko M.R.Štefánika – Airport Bratislava, a.s. a Letisko Košice – Airport Košice, a.s.), Ministerstvo zahraničných vecí SR  60,0 mil. Sk (Správa služieb diplomatického zboru) a Správa štátnych hmotných rezerv 0,1 mil. Sk.</w:t>
      </w:r>
      <w:r>
        <w:rPr>
          <w:rFonts w:ascii="Times New Roman" w:hAnsi="Times New Roman" w:cs="Times New Roman"/>
          <w:color w:val="0000FF"/>
        </w:rPr>
        <w:tab/>
        <w:tab/>
        <w:t xml:space="preserve">           </w:t>
        <w:tab/>
        <w:tab/>
        <w:tab/>
        <w:tab/>
        <w:tab/>
        <w:tab/>
        <w:tab/>
        <w:tab/>
        <w:tab/>
      </w:r>
      <w:r w:rsidR="00E24E2E">
        <w:rPr>
          <w:rFonts w:ascii="Times New Roman" w:hAnsi="Times New Roman" w:cs="Times New Roman"/>
          <w:color w:val="0000FF"/>
        </w:rPr>
        <w:tab/>
      </w:r>
      <w:r w:rsidRPr="00D8280A">
        <w:rPr>
          <w:rFonts w:ascii="Times New Roman" w:hAnsi="Times New Roman" w:cs="Times New Roman"/>
        </w:rPr>
        <w:t>Príjmy z vlastníctva majetku v sume 33</w:t>
      </w:r>
      <w:r>
        <w:rPr>
          <w:rFonts w:ascii="Times New Roman" w:hAnsi="Times New Roman" w:cs="Times New Roman"/>
        </w:rPr>
        <w:t>9</w:t>
      </w:r>
      <w:r w:rsidRPr="00D8280A">
        <w:rPr>
          <w:rFonts w:ascii="Times New Roman" w:hAnsi="Times New Roman" w:cs="Times New Roman"/>
        </w:rPr>
        <w:t>,</w:t>
      </w:r>
      <w:r>
        <w:rPr>
          <w:rFonts w:ascii="Times New Roman" w:hAnsi="Times New Roman" w:cs="Times New Roman"/>
        </w:rPr>
        <w:t>1</w:t>
      </w:r>
      <w:r w:rsidRPr="00D8280A">
        <w:rPr>
          <w:rFonts w:ascii="Times New Roman" w:hAnsi="Times New Roman" w:cs="Times New Roman"/>
        </w:rPr>
        <w:t xml:space="preserve"> mil. Sk tvorili</w:t>
      </w:r>
      <w:r>
        <w:rPr>
          <w:rFonts w:ascii="Times New Roman" w:hAnsi="Times New Roman" w:cs="Times New Roman"/>
        </w:rPr>
        <w:t xml:space="preserve"> najmä</w:t>
      </w:r>
      <w:r w:rsidRPr="00D8280A">
        <w:rPr>
          <w:rFonts w:ascii="Times New Roman" w:hAnsi="Times New Roman" w:cs="Times New Roman"/>
        </w:rPr>
        <w:t xml:space="preserve"> príjmy z prenájmu budov a priestorov vo výške </w:t>
      </w:r>
      <w:r>
        <w:rPr>
          <w:rFonts w:ascii="Times New Roman" w:hAnsi="Times New Roman" w:cs="Times New Roman"/>
        </w:rPr>
        <w:t>219</w:t>
      </w:r>
      <w:r w:rsidRPr="00D8280A">
        <w:rPr>
          <w:rFonts w:ascii="Times New Roman" w:hAnsi="Times New Roman" w:cs="Times New Roman"/>
        </w:rPr>
        <w:t>,</w:t>
      </w:r>
      <w:r>
        <w:rPr>
          <w:rFonts w:ascii="Times New Roman" w:hAnsi="Times New Roman" w:cs="Times New Roman"/>
        </w:rPr>
        <w:t>2</w:t>
      </w:r>
      <w:r w:rsidRPr="00D8280A">
        <w:rPr>
          <w:rFonts w:ascii="Times New Roman" w:hAnsi="Times New Roman" w:cs="Times New Roman"/>
        </w:rPr>
        <w:t xml:space="preserve"> mil. Sk</w:t>
      </w:r>
      <w:r>
        <w:rPr>
          <w:rFonts w:ascii="Times New Roman" w:hAnsi="Times New Roman" w:cs="Times New Roman"/>
        </w:rPr>
        <w:t>, pozemkov 61,3 mil. Sk, strojov, prístrojov a zariadení 35,7 mil. Sk a príjmy z úhrad za využívanie prírodných liečivých zdrojov 22,8 mil. Sk.</w:t>
      </w:r>
    </w:p>
    <w:p w:rsidR="00DE3128" w:rsidRPr="003C25C9" w:rsidP="00DE3128">
      <w:pPr>
        <w:spacing w:before="240" w:after="120" w:line="360" w:lineRule="auto"/>
        <w:jc w:val="center"/>
        <w:rPr>
          <w:rFonts w:ascii="Times New Roman" w:hAnsi="Times New Roman" w:cs="Times New Roman"/>
          <w:b/>
        </w:rPr>
      </w:pPr>
      <w:r w:rsidRPr="003C25C9">
        <w:rPr>
          <w:rFonts w:ascii="Times New Roman" w:hAnsi="Times New Roman" w:cs="Times New Roman"/>
          <w:b/>
        </w:rPr>
        <w:t>2.1.2.2. Administratívne poplatky a iné poplatky a platby</w:t>
      </w:r>
    </w:p>
    <w:p w:rsidR="00DE3128" w:rsidP="00DE3128">
      <w:pPr>
        <w:spacing w:line="360" w:lineRule="auto"/>
        <w:ind w:firstLine="737"/>
        <w:jc w:val="both"/>
        <w:rPr>
          <w:rFonts w:ascii="Times New Roman" w:hAnsi="Times New Roman" w:cs="Times New Roman"/>
        </w:rPr>
      </w:pPr>
      <w:r w:rsidRPr="003C25C9">
        <w:rPr>
          <w:rFonts w:ascii="Times New Roman" w:hAnsi="Times New Roman" w:cs="Times New Roman"/>
        </w:rPr>
        <w:t xml:space="preserve">Rozpočet týchto príjmov bol </w:t>
      </w:r>
      <w:r>
        <w:rPr>
          <w:rFonts w:ascii="Times New Roman" w:hAnsi="Times New Roman" w:cs="Times New Roman"/>
        </w:rPr>
        <w:t xml:space="preserve">pôvodne </w:t>
      </w:r>
      <w:r w:rsidRPr="003C25C9">
        <w:rPr>
          <w:rFonts w:ascii="Times New Roman" w:hAnsi="Times New Roman" w:cs="Times New Roman"/>
        </w:rPr>
        <w:t>stanovený vo výške 7</w:t>
      </w:r>
      <w:r>
        <w:rPr>
          <w:rFonts w:ascii="Times New Roman" w:hAnsi="Times New Roman" w:cs="Times New Roman"/>
        </w:rPr>
        <w:t> 621,5</w:t>
      </w:r>
      <w:r w:rsidRPr="003C25C9">
        <w:rPr>
          <w:rFonts w:ascii="Times New Roman" w:hAnsi="Times New Roman" w:cs="Times New Roman"/>
        </w:rPr>
        <w:t xml:space="preserve"> mil. Sk,</w:t>
      </w:r>
      <w:r>
        <w:rPr>
          <w:rFonts w:ascii="Times New Roman" w:hAnsi="Times New Roman" w:cs="Times New Roman"/>
        </w:rPr>
        <w:t xml:space="preserve"> po úprave 7 614,6 mil. Sk. Ich výška závisí najmä od počtu jednotlivých aktov konania v priebehu roka (kolkové známky, súdne a správne poplatky) a najväčší podiel z týchto príjmov sa mal sústreďovať v kapitolách Všeobecná pokladničná správa, Ministerstvo vnú</w:t>
      </w:r>
      <w:r>
        <w:rPr>
          <w:rFonts w:ascii="Times New Roman" w:hAnsi="Times New Roman" w:cs="Times New Roman"/>
        </w:rPr>
        <w:t>tra SR, Ministerstvo dopravy, pôšt a telekomunikácií SR, Ministerstvo spravodlivosti SR, Ministerstvo práce, sociálnych vecí a rodiny SR a Ministerstvo pôdohospodárstva SR.</w:t>
      </w:r>
      <w:r w:rsidRPr="003C25C9">
        <w:rPr>
          <w:rFonts w:ascii="Times New Roman" w:hAnsi="Times New Roman" w:cs="Times New Roman"/>
        </w:rPr>
        <w:t xml:space="preserve"> </w:t>
      </w:r>
    </w:p>
    <w:p w:rsidR="00DE3128" w:rsidP="00DE3128">
      <w:pPr>
        <w:spacing w:line="360" w:lineRule="auto"/>
        <w:ind w:firstLine="737"/>
        <w:jc w:val="both"/>
        <w:rPr>
          <w:rFonts w:ascii="Times New Roman" w:hAnsi="Times New Roman" w:cs="Times New Roman"/>
        </w:rPr>
      </w:pPr>
      <w:r>
        <w:rPr>
          <w:rFonts w:ascii="Times New Roman" w:hAnsi="Times New Roman" w:cs="Times New Roman"/>
        </w:rPr>
        <w:t>V s</w:t>
      </w:r>
      <w:r w:rsidRPr="003C25C9">
        <w:rPr>
          <w:rFonts w:ascii="Times New Roman" w:hAnsi="Times New Roman" w:cs="Times New Roman"/>
        </w:rPr>
        <w:t>kutočn</w:t>
      </w:r>
      <w:r>
        <w:rPr>
          <w:rFonts w:ascii="Times New Roman" w:hAnsi="Times New Roman" w:cs="Times New Roman"/>
        </w:rPr>
        <w:t>osti sa formou</w:t>
      </w:r>
      <w:r w:rsidRPr="003C25C9">
        <w:rPr>
          <w:rFonts w:ascii="Times New Roman" w:hAnsi="Times New Roman" w:cs="Times New Roman"/>
        </w:rPr>
        <w:t xml:space="preserve"> administratívn</w:t>
      </w:r>
      <w:r>
        <w:rPr>
          <w:rFonts w:ascii="Times New Roman" w:hAnsi="Times New Roman" w:cs="Times New Roman"/>
        </w:rPr>
        <w:t>ych</w:t>
      </w:r>
      <w:r w:rsidRPr="003C25C9">
        <w:rPr>
          <w:rFonts w:ascii="Times New Roman" w:hAnsi="Times New Roman" w:cs="Times New Roman"/>
        </w:rPr>
        <w:t xml:space="preserve"> a in</w:t>
      </w:r>
      <w:r>
        <w:rPr>
          <w:rFonts w:ascii="Times New Roman" w:hAnsi="Times New Roman" w:cs="Times New Roman"/>
        </w:rPr>
        <w:t>ých</w:t>
      </w:r>
      <w:r w:rsidRPr="003C25C9">
        <w:rPr>
          <w:rFonts w:ascii="Times New Roman" w:hAnsi="Times New Roman" w:cs="Times New Roman"/>
        </w:rPr>
        <w:t xml:space="preserve"> poplatk</w:t>
      </w:r>
      <w:r>
        <w:rPr>
          <w:rFonts w:ascii="Times New Roman" w:hAnsi="Times New Roman" w:cs="Times New Roman"/>
        </w:rPr>
        <w:t>ov</w:t>
      </w:r>
      <w:r w:rsidRPr="003C25C9">
        <w:rPr>
          <w:rFonts w:ascii="Times New Roman" w:hAnsi="Times New Roman" w:cs="Times New Roman"/>
        </w:rPr>
        <w:t xml:space="preserve"> a plat</w:t>
      </w:r>
      <w:r>
        <w:rPr>
          <w:rFonts w:ascii="Times New Roman" w:hAnsi="Times New Roman" w:cs="Times New Roman"/>
        </w:rPr>
        <w:t>ie</w:t>
      </w:r>
      <w:r w:rsidRPr="003C25C9">
        <w:rPr>
          <w:rFonts w:ascii="Times New Roman" w:hAnsi="Times New Roman" w:cs="Times New Roman"/>
        </w:rPr>
        <w:t xml:space="preserve">b </w:t>
      </w:r>
      <w:r>
        <w:rPr>
          <w:rFonts w:ascii="Times New Roman" w:hAnsi="Times New Roman" w:cs="Times New Roman"/>
        </w:rPr>
        <w:t>získalo</w:t>
      </w:r>
      <w:r w:rsidRPr="003C25C9">
        <w:rPr>
          <w:rFonts w:ascii="Times New Roman" w:hAnsi="Times New Roman" w:cs="Times New Roman"/>
        </w:rPr>
        <w:t xml:space="preserve"> </w:t>
      </w:r>
      <w:r>
        <w:rPr>
          <w:rFonts w:ascii="Times New Roman" w:hAnsi="Times New Roman" w:cs="Times New Roman"/>
        </w:rPr>
        <w:t>7 66</w:t>
      </w:r>
      <w:r>
        <w:rPr>
          <w:rFonts w:ascii="Times New Roman" w:hAnsi="Times New Roman" w:cs="Times New Roman"/>
        </w:rPr>
        <w:t>8,5</w:t>
      </w:r>
      <w:r w:rsidRPr="003C25C9">
        <w:rPr>
          <w:rFonts w:ascii="Times New Roman" w:hAnsi="Times New Roman" w:cs="Times New Roman"/>
        </w:rPr>
        <w:t xml:space="preserve"> mil. Sk, čím sa </w:t>
      </w:r>
      <w:r>
        <w:rPr>
          <w:rFonts w:ascii="Times New Roman" w:hAnsi="Times New Roman" w:cs="Times New Roman"/>
        </w:rPr>
        <w:t>ich</w:t>
      </w:r>
      <w:r w:rsidRPr="003C25C9">
        <w:rPr>
          <w:rFonts w:ascii="Times New Roman" w:hAnsi="Times New Roman" w:cs="Times New Roman"/>
        </w:rPr>
        <w:t xml:space="preserve"> rozpočet prekročil o </w:t>
      </w:r>
      <w:r>
        <w:rPr>
          <w:rFonts w:ascii="Times New Roman" w:hAnsi="Times New Roman" w:cs="Times New Roman"/>
        </w:rPr>
        <w:t>53</w:t>
      </w:r>
      <w:r w:rsidRPr="003C25C9">
        <w:rPr>
          <w:rFonts w:ascii="Times New Roman" w:hAnsi="Times New Roman" w:cs="Times New Roman"/>
        </w:rPr>
        <w:t>,</w:t>
      </w:r>
      <w:r>
        <w:rPr>
          <w:rFonts w:ascii="Times New Roman" w:hAnsi="Times New Roman" w:cs="Times New Roman"/>
        </w:rPr>
        <w:t>9</w:t>
      </w:r>
      <w:r w:rsidRPr="003C25C9">
        <w:rPr>
          <w:rFonts w:ascii="Times New Roman" w:hAnsi="Times New Roman" w:cs="Times New Roman"/>
        </w:rPr>
        <w:t xml:space="preserve"> mil. Sk</w:t>
      </w:r>
      <w:r>
        <w:rPr>
          <w:rFonts w:ascii="Times New Roman" w:hAnsi="Times New Roman" w:cs="Times New Roman"/>
        </w:rPr>
        <w:t>, avšak m</w:t>
      </w:r>
      <w:r w:rsidRPr="003C25C9">
        <w:rPr>
          <w:rFonts w:ascii="Times New Roman" w:hAnsi="Times New Roman" w:cs="Times New Roman"/>
        </w:rPr>
        <w:t xml:space="preserve">edziročne boli </w:t>
      </w:r>
      <w:r>
        <w:rPr>
          <w:rFonts w:ascii="Times New Roman" w:hAnsi="Times New Roman" w:cs="Times New Roman"/>
        </w:rPr>
        <w:t>ni</w:t>
      </w:r>
      <w:r w:rsidRPr="003C25C9">
        <w:rPr>
          <w:rFonts w:ascii="Times New Roman" w:hAnsi="Times New Roman" w:cs="Times New Roman"/>
        </w:rPr>
        <w:t>žšie o</w:t>
      </w:r>
      <w:r>
        <w:rPr>
          <w:rFonts w:ascii="Times New Roman" w:hAnsi="Times New Roman" w:cs="Times New Roman"/>
        </w:rPr>
        <w:t xml:space="preserve"> 979,5 mil. Sk. </w:t>
      </w:r>
    </w:p>
    <w:p w:rsidR="00DE3128" w:rsidRPr="003C25C9" w:rsidP="00DE3128">
      <w:pPr>
        <w:spacing w:line="360" w:lineRule="auto"/>
        <w:ind w:firstLine="737"/>
        <w:jc w:val="both"/>
        <w:rPr>
          <w:rFonts w:ascii="Times New Roman" w:hAnsi="Times New Roman" w:cs="Times New Roman"/>
        </w:rPr>
      </w:pPr>
      <w:r>
        <w:rPr>
          <w:rFonts w:ascii="Times New Roman" w:hAnsi="Times New Roman" w:cs="Times New Roman"/>
        </w:rPr>
        <w:t>V štruktúre sa jednotlivé</w:t>
      </w:r>
      <w:r w:rsidRPr="003C25C9">
        <w:rPr>
          <w:rFonts w:ascii="Times New Roman" w:hAnsi="Times New Roman" w:cs="Times New Roman"/>
        </w:rPr>
        <w:t xml:space="preserve"> </w:t>
      </w:r>
      <w:r>
        <w:rPr>
          <w:rFonts w:ascii="Times New Roman" w:hAnsi="Times New Roman" w:cs="Times New Roman"/>
        </w:rPr>
        <w:t xml:space="preserve">príjmy zaradené do tejto skupiny splnili nasledovne: </w:t>
      </w:r>
    </w:p>
    <w:p w:rsidR="00DE3128" w:rsidP="00E24E2E">
      <w:pPr>
        <w:spacing w:line="360" w:lineRule="auto"/>
        <w:ind w:firstLine="720"/>
        <w:jc w:val="both"/>
        <w:rPr>
          <w:rFonts w:ascii="Times New Roman" w:hAnsi="Times New Roman" w:cs="Times New Roman"/>
        </w:rPr>
      </w:pPr>
      <w:r w:rsidRPr="003C25C9">
        <w:rPr>
          <w:rFonts w:ascii="Times New Roman" w:hAnsi="Times New Roman" w:cs="Times New Roman"/>
          <w:u w:val="single"/>
        </w:rPr>
        <w:t>Administratívne poplatky</w:t>
      </w:r>
      <w:r w:rsidRPr="003C25C9">
        <w:rPr>
          <w:rFonts w:ascii="Times New Roman" w:hAnsi="Times New Roman" w:cs="Times New Roman"/>
        </w:rPr>
        <w:t xml:space="preserve"> dosiahli spolu </w:t>
      </w:r>
      <w:r>
        <w:rPr>
          <w:rFonts w:ascii="Times New Roman" w:hAnsi="Times New Roman" w:cs="Times New Roman"/>
        </w:rPr>
        <w:t>4 161,9</w:t>
      </w:r>
      <w:r w:rsidRPr="003C25C9">
        <w:rPr>
          <w:rFonts w:ascii="Times New Roman" w:hAnsi="Times New Roman" w:cs="Times New Roman"/>
        </w:rPr>
        <w:t xml:space="preserve"> mil. Sk</w:t>
      </w:r>
      <w:r>
        <w:rPr>
          <w:rFonts w:ascii="Times New Roman" w:hAnsi="Times New Roman" w:cs="Times New Roman"/>
        </w:rPr>
        <w:t xml:space="preserve"> a v rámci nich</w:t>
      </w:r>
      <w:r>
        <w:rPr>
          <w:rFonts w:ascii="Times New Roman" w:hAnsi="Times New Roman" w:cs="Times New Roman"/>
        </w:rPr>
        <w:t xml:space="preserve"> s</w:t>
      </w:r>
      <w:r w:rsidRPr="003C25C9">
        <w:rPr>
          <w:rFonts w:ascii="Times New Roman" w:hAnsi="Times New Roman" w:cs="Times New Roman"/>
        </w:rPr>
        <w:t xml:space="preserve">údne poplatky </w:t>
      </w:r>
      <w:r>
        <w:rPr>
          <w:rFonts w:ascii="Times New Roman" w:hAnsi="Times New Roman" w:cs="Times New Roman"/>
        </w:rPr>
        <w:t>630,8</w:t>
      </w:r>
      <w:r w:rsidRPr="003C25C9">
        <w:rPr>
          <w:rFonts w:ascii="Times New Roman" w:hAnsi="Times New Roman" w:cs="Times New Roman"/>
        </w:rPr>
        <w:t xml:space="preserve"> mil. Sk, tržby z predaja kolkových známok </w:t>
      </w:r>
      <w:r>
        <w:rPr>
          <w:rFonts w:ascii="Times New Roman" w:hAnsi="Times New Roman" w:cs="Times New Roman"/>
        </w:rPr>
        <w:t>3 014,5</w:t>
      </w:r>
      <w:r w:rsidRPr="003C25C9">
        <w:rPr>
          <w:rFonts w:ascii="Times New Roman" w:hAnsi="Times New Roman" w:cs="Times New Roman"/>
        </w:rPr>
        <w:t xml:space="preserve"> mil. Sk a o</w:t>
      </w:r>
      <w:r>
        <w:rPr>
          <w:rFonts w:ascii="Times New Roman" w:hAnsi="Times New Roman" w:cs="Times New Roman"/>
        </w:rPr>
        <w:t>statné poplatky, ako sú správne,</w:t>
      </w:r>
      <w:r w:rsidRPr="003C25C9">
        <w:rPr>
          <w:rFonts w:ascii="Times New Roman" w:hAnsi="Times New Roman" w:cs="Times New Roman"/>
        </w:rPr>
        <w:t> puncové</w:t>
      </w:r>
      <w:r>
        <w:rPr>
          <w:rFonts w:ascii="Times New Roman" w:hAnsi="Times New Roman" w:cs="Times New Roman"/>
        </w:rPr>
        <w:t xml:space="preserve"> a poplatky za licencie 516,6 mil. Sk.</w:t>
      </w:r>
    </w:p>
    <w:p w:rsidR="00DE3128" w:rsidP="00DE3128">
      <w:pPr>
        <w:spacing w:line="360" w:lineRule="auto"/>
        <w:ind w:firstLine="737"/>
        <w:jc w:val="both"/>
        <w:rPr>
          <w:rFonts w:ascii="Times New Roman" w:hAnsi="Times New Roman" w:cs="Times New Roman"/>
        </w:rPr>
      </w:pPr>
      <w:r w:rsidRPr="003C25C9">
        <w:rPr>
          <w:rFonts w:ascii="Times New Roman" w:hAnsi="Times New Roman" w:cs="Times New Roman"/>
          <w:u w:val="single"/>
        </w:rPr>
        <w:t>Platby sankčného charakteru</w:t>
      </w:r>
      <w:r w:rsidRPr="003C25C9">
        <w:rPr>
          <w:rFonts w:ascii="Times New Roman" w:hAnsi="Times New Roman" w:cs="Times New Roman"/>
        </w:rPr>
        <w:t xml:space="preserve"> </w:t>
      </w:r>
      <w:r>
        <w:rPr>
          <w:rFonts w:ascii="Times New Roman" w:hAnsi="Times New Roman" w:cs="Times New Roman"/>
        </w:rPr>
        <w:t>(po</w:t>
      </w:r>
      <w:r w:rsidRPr="003C25C9">
        <w:rPr>
          <w:rFonts w:ascii="Times New Roman" w:hAnsi="Times New Roman" w:cs="Times New Roman"/>
        </w:rPr>
        <w:t>k</w:t>
      </w:r>
      <w:r>
        <w:rPr>
          <w:rFonts w:ascii="Times New Roman" w:hAnsi="Times New Roman" w:cs="Times New Roman"/>
        </w:rPr>
        <w:t>u</w:t>
      </w:r>
      <w:r w:rsidRPr="003C25C9">
        <w:rPr>
          <w:rFonts w:ascii="Times New Roman" w:hAnsi="Times New Roman" w:cs="Times New Roman"/>
        </w:rPr>
        <w:t>t</w:t>
      </w:r>
      <w:r>
        <w:rPr>
          <w:rFonts w:ascii="Times New Roman" w:hAnsi="Times New Roman" w:cs="Times New Roman"/>
        </w:rPr>
        <w:t>y</w:t>
      </w:r>
      <w:r w:rsidRPr="003C25C9">
        <w:rPr>
          <w:rFonts w:ascii="Times New Roman" w:hAnsi="Times New Roman" w:cs="Times New Roman"/>
        </w:rPr>
        <w:t>, penále a iné sankcie</w:t>
      </w:r>
      <w:r>
        <w:rPr>
          <w:rFonts w:ascii="Times New Roman" w:hAnsi="Times New Roman" w:cs="Times New Roman"/>
        </w:rPr>
        <w:t>)</w:t>
      </w:r>
      <w:r w:rsidRPr="003C25C9">
        <w:rPr>
          <w:rFonts w:ascii="Times New Roman" w:hAnsi="Times New Roman" w:cs="Times New Roman"/>
        </w:rPr>
        <w:t xml:space="preserve"> predstavovali  </w:t>
      </w:r>
      <w:r>
        <w:rPr>
          <w:rFonts w:ascii="Times New Roman" w:hAnsi="Times New Roman" w:cs="Times New Roman"/>
        </w:rPr>
        <w:t>1 </w:t>
      </w:r>
      <w:r w:rsidRPr="003C25C9">
        <w:rPr>
          <w:rFonts w:ascii="Times New Roman" w:hAnsi="Times New Roman" w:cs="Times New Roman"/>
        </w:rPr>
        <w:t>6</w:t>
      </w:r>
      <w:r>
        <w:rPr>
          <w:rFonts w:ascii="Times New Roman" w:hAnsi="Times New Roman" w:cs="Times New Roman"/>
        </w:rPr>
        <w:t>08,2</w:t>
      </w:r>
      <w:r w:rsidRPr="003C25C9">
        <w:rPr>
          <w:rFonts w:ascii="Times New Roman" w:hAnsi="Times New Roman" w:cs="Times New Roman"/>
        </w:rPr>
        <w:t xml:space="preserve"> mil. Sk</w:t>
      </w:r>
      <w:r>
        <w:rPr>
          <w:rFonts w:ascii="Times New Roman" w:hAnsi="Times New Roman" w:cs="Times New Roman"/>
        </w:rPr>
        <w:t>, z t</w:t>
      </w:r>
      <w:r>
        <w:rPr>
          <w:rFonts w:ascii="Times New Roman" w:hAnsi="Times New Roman" w:cs="Times New Roman"/>
        </w:rPr>
        <w:t>oho za por</w:t>
      </w:r>
      <w:r w:rsidRPr="003C25C9">
        <w:rPr>
          <w:rFonts w:ascii="Times New Roman" w:hAnsi="Times New Roman" w:cs="Times New Roman"/>
        </w:rPr>
        <w:t xml:space="preserve">ušenie všeobecne záväzných právnych predpisov </w:t>
      </w:r>
      <w:r>
        <w:rPr>
          <w:rFonts w:ascii="Times New Roman" w:hAnsi="Times New Roman" w:cs="Times New Roman"/>
        </w:rPr>
        <w:t>1 539,9</w:t>
      </w:r>
      <w:r w:rsidRPr="003C25C9">
        <w:rPr>
          <w:rFonts w:ascii="Times New Roman" w:hAnsi="Times New Roman" w:cs="Times New Roman"/>
        </w:rPr>
        <w:t xml:space="preserve"> mil. Sk a za porušenie </w:t>
      </w:r>
      <w:r>
        <w:rPr>
          <w:rFonts w:ascii="Times New Roman" w:hAnsi="Times New Roman" w:cs="Times New Roman"/>
        </w:rPr>
        <w:t>finančnej</w:t>
      </w:r>
      <w:r w:rsidRPr="003C25C9">
        <w:rPr>
          <w:rFonts w:ascii="Times New Roman" w:hAnsi="Times New Roman" w:cs="Times New Roman"/>
        </w:rPr>
        <w:t xml:space="preserve"> disciplíny </w:t>
      </w:r>
      <w:r>
        <w:rPr>
          <w:rFonts w:ascii="Times New Roman" w:hAnsi="Times New Roman" w:cs="Times New Roman"/>
        </w:rPr>
        <w:t>68,1</w:t>
      </w:r>
      <w:r w:rsidRPr="003C25C9">
        <w:rPr>
          <w:rFonts w:ascii="Times New Roman" w:hAnsi="Times New Roman" w:cs="Times New Roman"/>
        </w:rPr>
        <w:t xml:space="preserve"> mil. Sk.</w:t>
      </w:r>
    </w:p>
    <w:p w:rsidR="00E24E2E" w:rsidP="00935080">
      <w:pPr>
        <w:spacing w:line="360" w:lineRule="auto"/>
        <w:ind w:firstLine="737"/>
        <w:jc w:val="both"/>
        <w:rPr>
          <w:rFonts w:ascii="Times New Roman" w:hAnsi="Times New Roman" w:cs="Times New Roman"/>
        </w:rPr>
      </w:pPr>
      <w:r w:rsidRPr="003C25C9" w:rsidR="00DE3128">
        <w:rPr>
          <w:rFonts w:ascii="Times New Roman" w:hAnsi="Times New Roman" w:cs="Times New Roman"/>
          <w:u w:val="single"/>
        </w:rPr>
        <w:t>Poplatky a platby z</w:t>
      </w:r>
      <w:r w:rsidR="00DE3128">
        <w:rPr>
          <w:rFonts w:ascii="Times New Roman" w:hAnsi="Times New Roman" w:cs="Times New Roman"/>
          <w:u w:val="single"/>
        </w:rPr>
        <w:t> </w:t>
      </w:r>
      <w:r w:rsidRPr="003C25C9" w:rsidR="00DE3128">
        <w:rPr>
          <w:rFonts w:ascii="Times New Roman" w:hAnsi="Times New Roman" w:cs="Times New Roman"/>
          <w:u w:val="single"/>
        </w:rPr>
        <w:t>nepriemyselného</w:t>
      </w:r>
      <w:r w:rsidR="00DE3128">
        <w:rPr>
          <w:rFonts w:ascii="Times New Roman" w:hAnsi="Times New Roman" w:cs="Times New Roman"/>
          <w:u w:val="single"/>
        </w:rPr>
        <w:t xml:space="preserve"> a náhodného</w:t>
      </w:r>
      <w:r w:rsidRPr="003C25C9" w:rsidR="00DE3128">
        <w:rPr>
          <w:rFonts w:ascii="Times New Roman" w:hAnsi="Times New Roman" w:cs="Times New Roman"/>
          <w:u w:val="single"/>
        </w:rPr>
        <w:t xml:space="preserve"> predaja a služieb</w:t>
      </w:r>
      <w:r w:rsidRPr="003C25C9" w:rsidR="00DE3128">
        <w:rPr>
          <w:rFonts w:ascii="Times New Roman" w:hAnsi="Times New Roman" w:cs="Times New Roman"/>
        </w:rPr>
        <w:t xml:space="preserve"> dosiahli </w:t>
      </w:r>
      <w:r w:rsidR="00DE3128">
        <w:rPr>
          <w:rFonts w:ascii="Times New Roman" w:hAnsi="Times New Roman" w:cs="Times New Roman"/>
        </w:rPr>
        <w:t>1 898,4</w:t>
      </w:r>
      <w:r w:rsidRPr="003C25C9" w:rsidR="00DE3128">
        <w:rPr>
          <w:rFonts w:ascii="Times New Roman" w:hAnsi="Times New Roman" w:cs="Times New Roman"/>
        </w:rPr>
        <w:t xml:space="preserve"> mil. Sk</w:t>
      </w:r>
      <w:r w:rsidR="00DE3128">
        <w:rPr>
          <w:rFonts w:ascii="Times New Roman" w:hAnsi="Times New Roman" w:cs="Times New Roman"/>
        </w:rPr>
        <w:t xml:space="preserve">, z toho </w:t>
      </w:r>
      <w:r w:rsidRPr="003C25C9" w:rsidR="00DE3128">
        <w:rPr>
          <w:rFonts w:ascii="Times New Roman" w:hAnsi="Times New Roman" w:cs="Times New Roman"/>
        </w:rPr>
        <w:t>za predaj výrobkov, tovarov a služi</w:t>
      </w:r>
      <w:r w:rsidRPr="003C25C9" w:rsidR="00DE3128">
        <w:rPr>
          <w:rFonts w:ascii="Times New Roman" w:hAnsi="Times New Roman" w:cs="Times New Roman"/>
        </w:rPr>
        <w:t>eb 1</w:t>
      </w:r>
      <w:r w:rsidR="00DE3128">
        <w:rPr>
          <w:rFonts w:ascii="Times New Roman" w:hAnsi="Times New Roman" w:cs="Times New Roman"/>
        </w:rPr>
        <w:t> 548,5</w:t>
      </w:r>
      <w:r w:rsidRPr="003C25C9" w:rsidR="00DE3128">
        <w:rPr>
          <w:rFonts w:ascii="Times New Roman" w:hAnsi="Times New Roman" w:cs="Times New Roman"/>
        </w:rPr>
        <w:t xml:space="preserve"> mil. Sk, prebytočn</w:t>
      </w:r>
      <w:r w:rsidR="00DE3128">
        <w:rPr>
          <w:rFonts w:ascii="Times New Roman" w:hAnsi="Times New Roman" w:cs="Times New Roman"/>
        </w:rPr>
        <w:t>ého</w:t>
      </w:r>
      <w:r w:rsidRPr="003C25C9" w:rsidR="00DE3128">
        <w:rPr>
          <w:rFonts w:ascii="Times New Roman" w:hAnsi="Times New Roman" w:cs="Times New Roman"/>
        </w:rPr>
        <w:t xml:space="preserve"> hnuteľn</w:t>
      </w:r>
      <w:r w:rsidR="00DE3128">
        <w:rPr>
          <w:rFonts w:ascii="Times New Roman" w:hAnsi="Times New Roman" w:cs="Times New Roman"/>
        </w:rPr>
        <w:t>ého</w:t>
      </w:r>
      <w:r w:rsidRPr="003C25C9" w:rsidR="00DE3128">
        <w:rPr>
          <w:rFonts w:ascii="Times New Roman" w:hAnsi="Times New Roman" w:cs="Times New Roman"/>
        </w:rPr>
        <w:t xml:space="preserve"> majetk</w:t>
      </w:r>
      <w:r w:rsidR="00DE3128">
        <w:rPr>
          <w:rFonts w:ascii="Times New Roman" w:hAnsi="Times New Roman" w:cs="Times New Roman"/>
        </w:rPr>
        <w:t>u</w:t>
      </w:r>
      <w:r w:rsidRPr="003C25C9" w:rsidR="00DE3128">
        <w:rPr>
          <w:rFonts w:ascii="Times New Roman" w:hAnsi="Times New Roman" w:cs="Times New Roman"/>
        </w:rPr>
        <w:t xml:space="preserve"> 1</w:t>
      </w:r>
      <w:r w:rsidR="00DE3128">
        <w:rPr>
          <w:rFonts w:ascii="Times New Roman" w:hAnsi="Times New Roman" w:cs="Times New Roman"/>
        </w:rPr>
        <w:t>7</w:t>
      </w:r>
      <w:r w:rsidRPr="003C25C9" w:rsidR="00DE3128">
        <w:rPr>
          <w:rFonts w:ascii="Times New Roman" w:hAnsi="Times New Roman" w:cs="Times New Roman"/>
        </w:rPr>
        <w:t>7,</w:t>
      </w:r>
      <w:r w:rsidR="00DE3128">
        <w:rPr>
          <w:rFonts w:ascii="Times New Roman" w:hAnsi="Times New Roman" w:cs="Times New Roman"/>
        </w:rPr>
        <w:t>9</w:t>
      </w:r>
      <w:r w:rsidRPr="003C25C9" w:rsidR="00DE3128">
        <w:rPr>
          <w:rFonts w:ascii="Times New Roman" w:hAnsi="Times New Roman" w:cs="Times New Roman"/>
        </w:rPr>
        <w:t xml:space="preserve"> mil. Sk, za stravovacie služby 1</w:t>
      </w:r>
      <w:r w:rsidR="00DE3128">
        <w:rPr>
          <w:rFonts w:ascii="Times New Roman" w:hAnsi="Times New Roman" w:cs="Times New Roman"/>
        </w:rPr>
        <w:t>59,1</w:t>
      </w:r>
      <w:r w:rsidRPr="003C25C9" w:rsidR="00DE3128">
        <w:rPr>
          <w:rFonts w:ascii="Times New Roman" w:hAnsi="Times New Roman" w:cs="Times New Roman"/>
        </w:rPr>
        <w:t xml:space="preserve"> mil. Sk, príspevky fyzických osôb na čiastočnú úhradu prevádzkových nákladov</w:t>
      </w:r>
      <w:r w:rsidR="00DE3128">
        <w:rPr>
          <w:rFonts w:ascii="Times New Roman" w:hAnsi="Times New Roman" w:cs="Times New Roman"/>
        </w:rPr>
        <w:t xml:space="preserve"> jaslí, materských škôl a školských klubov detí</w:t>
      </w:r>
      <w:r w:rsidRPr="003C25C9" w:rsidR="00DE3128">
        <w:rPr>
          <w:rFonts w:ascii="Times New Roman" w:hAnsi="Times New Roman" w:cs="Times New Roman"/>
        </w:rPr>
        <w:t xml:space="preserve"> 1</w:t>
      </w:r>
      <w:r w:rsidR="00DE3128">
        <w:rPr>
          <w:rFonts w:ascii="Times New Roman" w:hAnsi="Times New Roman" w:cs="Times New Roman"/>
        </w:rPr>
        <w:t>2</w:t>
      </w:r>
      <w:r w:rsidRPr="003C25C9" w:rsidR="00DE3128">
        <w:rPr>
          <w:rFonts w:ascii="Times New Roman" w:hAnsi="Times New Roman" w:cs="Times New Roman"/>
        </w:rPr>
        <w:t xml:space="preserve">,2 mil. Sk. </w:t>
      </w:r>
    </w:p>
    <w:p w:rsidR="00935080" w:rsidRPr="003C25C9" w:rsidP="00935080">
      <w:pPr>
        <w:spacing w:line="360" w:lineRule="auto"/>
        <w:ind w:firstLine="737"/>
        <w:jc w:val="both"/>
        <w:rPr>
          <w:rFonts w:ascii="Times New Roman" w:hAnsi="Times New Roman" w:cs="Times New Roman"/>
        </w:rPr>
      </w:pPr>
    </w:p>
    <w:p w:rsidR="00DE3128" w:rsidRPr="0012235F" w:rsidP="00DE3128">
      <w:pPr>
        <w:spacing w:before="240" w:after="240" w:line="360" w:lineRule="auto"/>
        <w:jc w:val="center"/>
        <w:rPr>
          <w:rFonts w:ascii="Times New Roman" w:hAnsi="Times New Roman" w:cs="Times New Roman"/>
          <w:b/>
        </w:rPr>
      </w:pPr>
      <w:r w:rsidRPr="0012235F">
        <w:rPr>
          <w:rFonts w:ascii="Times New Roman" w:hAnsi="Times New Roman" w:cs="Times New Roman"/>
          <w:b/>
        </w:rPr>
        <w:t>2.1.2.3. Kapitálové p</w:t>
      </w:r>
      <w:r w:rsidRPr="0012235F">
        <w:rPr>
          <w:rFonts w:ascii="Times New Roman" w:hAnsi="Times New Roman" w:cs="Times New Roman"/>
          <w:b/>
        </w:rPr>
        <w:t>ríjmy</w:t>
      </w:r>
    </w:p>
    <w:p w:rsidR="00DE3128" w:rsidP="00DE3128">
      <w:pPr>
        <w:spacing w:line="360" w:lineRule="auto"/>
        <w:ind w:firstLine="737"/>
        <w:jc w:val="both"/>
        <w:rPr>
          <w:rFonts w:ascii="Times New Roman" w:hAnsi="Times New Roman" w:cs="Times New Roman"/>
        </w:rPr>
      </w:pPr>
      <w:r>
        <w:rPr>
          <w:rFonts w:ascii="Times New Roman" w:hAnsi="Times New Roman" w:cs="Times New Roman"/>
        </w:rPr>
        <w:t xml:space="preserve">Výška kapitálových príjmov závisí od objemu majetku (pozemky, budovy, finančný majetok, iné nehmotné aktíva) v správe jednotlivých rozpočtových kapitol, ktorý má byť predmetom predaja v príslušnom rozpočtovom roku. Na rok 2006 sa tieto príjmy rozpočtovali sumou 1 264,4 mil. Sk, čo predstavuje medziročné zvýšenie o 1 167,1 mil. Sk. Výrazný nárast </w:t>
      </w:r>
      <w:r w:rsidRPr="0012235F">
        <w:rPr>
          <w:rFonts w:ascii="Times New Roman" w:hAnsi="Times New Roman" w:cs="Times New Roman"/>
        </w:rPr>
        <w:t>súvisel s</w:t>
      </w:r>
      <w:r>
        <w:rPr>
          <w:rFonts w:ascii="Times New Roman" w:hAnsi="Times New Roman" w:cs="Times New Roman"/>
        </w:rPr>
        <w:t> predpokladaným predajom nepotrebného majetku v správe Ministerstva zahraničných vecí SR, Ministerstva financií SR a najmä Ministerstva kultúry SR, kde sa predpokladal príjem 900,0 mil. Sk z predaja nehnuteľnosti budovy Divadla P. O. Hviezdoslava a nezastavaných pozemkov prislúchajúcich k novostavbe SND.</w:t>
      </w:r>
    </w:p>
    <w:p w:rsidR="00DE3128" w:rsidP="00DE3128">
      <w:pPr>
        <w:spacing w:line="360" w:lineRule="auto"/>
        <w:ind w:firstLine="737"/>
        <w:jc w:val="both"/>
        <w:rPr>
          <w:rFonts w:ascii="Times New Roman" w:hAnsi="Times New Roman" w:cs="Times New Roman"/>
        </w:rPr>
      </w:pPr>
      <w:r>
        <w:rPr>
          <w:rFonts w:ascii="Times New Roman" w:hAnsi="Times New Roman" w:cs="Times New Roman"/>
        </w:rPr>
        <w:t xml:space="preserve">Vzhľadom na to, že sa posledne uvádzaný predaj majetku neuskutočnil, pôvodný rozpočet kapitálových príjmov bol znížený o 655,0 mil. Sk (48,2 %) na 609,4 mil. Sk.         </w:t>
      </w:r>
    </w:p>
    <w:p w:rsidR="00DE3128" w:rsidRPr="00DE12CB" w:rsidP="00DE12CB">
      <w:pPr>
        <w:spacing w:line="360" w:lineRule="auto"/>
        <w:ind w:firstLine="737"/>
        <w:jc w:val="both"/>
        <w:rPr>
          <w:rFonts w:ascii="Times New Roman" w:hAnsi="Times New Roman" w:cs="Times New Roman"/>
        </w:rPr>
      </w:pPr>
      <w:r w:rsidRPr="0012235F">
        <w:rPr>
          <w:rFonts w:ascii="Times New Roman" w:hAnsi="Times New Roman" w:cs="Times New Roman"/>
        </w:rPr>
        <w:t xml:space="preserve">Skutočné kapitálové príjmy dosiahli </w:t>
      </w:r>
      <w:r>
        <w:rPr>
          <w:rFonts w:ascii="Times New Roman" w:hAnsi="Times New Roman" w:cs="Times New Roman"/>
        </w:rPr>
        <w:t>639,1</w:t>
      </w:r>
      <w:r w:rsidRPr="0012235F">
        <w:rPr>
          <w:rFonts w:ascii="Times New Roman" w:hAnsi="Times New Roman" w:cs="Times New Roman"/>
        </w:rPr>
        <w:t xml:space="preserve"> mil. Sk a</w:t>
      </w:r>
      <w:r>
        <w:rPr>
          <w:rFonts w:ascii="Times New Roman" w:hAnsi="Times New Roman" w:cs="Times New Roman"/>
        </w:rPr>
        <w:t> v rámci nich p</w:t>
      </w:r>
      <w:r w:rsidRPr="0012235F">
        <w:rPr>
          <w:rFonts w:ascii="Times New Roman" w:hAnsi="Times New Roman" w:cs="Times New Roman"/>
        </w:rPr>
        <w:t xml:space="preserve">ríjmy z predaja kapitálových aktív (budov, bytov a pod.) </w:t>
      </w:r>
      <w:r>
        <w:rPr>
          <w:rFonts w:ascii="Times New Roman" w:hAnsi="Times New Roman" w:cs="Times New Roman"/>
        </w:rPr>
        <w:t>402,8</w:t>
      </w:r>
      <w:r w:rsidRPr="0012235F">
        <w:rPr>
          <w:rFonts w:ascii="Times New Roman" w:hAnsi="Times New Roman" w:cs="Times New Roman"/>
        </w:rPr>
        <w:t xml:space="preserve"> mil. Sk, príjmy z predaja pozemkov, patentov, autorských práv, obchodných značiek a pod. 2</w:t>
      </w:r>
      <w:r>
        <w:rPr>
          <w:rFonts w:ascii="Times New Roman" w:hAnsi="Times New Roman" w:cs="Times New Roman"/>
        </w:rPr>
        <w:t>21,1</w:t>
      </w:r>
      <w:r w:rsidRPr="0012235F">
        <w:rPr>
          <w:rFonts w:ascii="Times New Roman" w:hAnsi="Times New Roman" w:cs="Times New Roman"/>
        </w:rPr>
        <w:t xml:space="preserve"> mil. Sk, a ostatné kapitálové príjmy vrátane príjmov z predaja hmotných a mobilizačných rezerv 1</w:t>
      </w:r>
      <w:r>
        <w:rPr>
          <w:rFonts w:ascii="Times New Roman" w:hAnsi="Times New Roman" w:cs="Times New Roman"/>
        </w:rPr>
        <w:t>5</w:t>
      </w:r>
      <w:r w:rsidRPr="0012235F">
        <w:rPr>
          <w:rFonts w:ascii="Times New Roman" w:hAnsi="Times New Roman" w:cs="Times New Roman"/>
        </w:rPr>
        <w:t>,</w:t>
      </w:r>
      <w:r>
        <w:rPr>
          <w:rFonts w:ascii="Times New Roman" w:hAnsi="Times New Roman" w:cs="Times New Roman"/>
        </w:rPr>
        <w:t>2</w:t>
      </w:r>
      <w:r w:rsidRPr="0012235F">
        <w:rPr>
          <w:rFonts w:ascii="Times New Roman" w:hAnsi="Times New Roman" w:cs="Times New Roman"/>
        </w:rPr>
        <w:t xml:space="preserve"> mil. Sk. </w:t>
      </w:r>
    </w:p>
    <w:p w:rsidR="00DE3128" w:rsidP="00DE3128">
      <w:pPr>
        <w:spacing w:line="360" w:lineRule="auto"/>
        <w:jc w:val="center"/>
        <w:rPr>
          <w:rFonts w:ascii="Times New Roman" w:hAnsi="Times New Roman" w:cs="Times New Roman"/>
          <w:b/>
        </w:rPr>
      </w:pPr>
    </w:p>
    <w:p w:rsidR="00DE3128" w:rsidRPr="003E067A" w:rsidP="00DE3128">
      <w:pPr>
        <w:spacing w:line="360" w:lineRule="auto"/>
        <w:jc w:val="center"/>
        <w:rPr>
          <w:rFonts w:ascii="Times New Roman" w:hAnsi="Times New Roman" w:cs="Times New Roman"/>
          <w:b/>
        </w:rPr>
      </w:pPr>
      <w:r w:rsidRPr="003E067A">
        <w:rPr>
          <w:rFonts w:ascii="Times New Roman" w:hAnsi="Times New Roman" w:cs="Times New Roman"/>
          <w:b/>
        </w:rPr>
        <w:t>2.1.2.4. Úroky z tuzemských úverov, pôžičiek a vkladov</w:t>
      </w:r>
    </w:p>
    <w:p w:rsidR="00DE3128" w:rsidP="00DE3128">
      <w:pPr>
        <w:spacing w:line="360" w:lineRule="auto"/>
        <w:ind w:firstLine="709"/>
        <w:jc w:val="both"/>
        <w:rPr>
          <w:rFonts w:ascii="Times New Roman" w:hAnsi="Times New Roman" w:cs="Times New Roman"/>
          <w:b/>
        </w:rPr>
      </w:pPr>
    </w:p>
    <w:p w:rsidR="00DE3128" w:rsidRPr="003E067A" w:rsidP="00DE3128">
      <w:pPr>
        <w:spacing w:line="360" w:lineRule="auto"/>
        <w:ind w:firstLine="709"/>
        <w:jc w:val="both"/>
        <w:rPr>
          <w:rFonts w:ascii="Times New Roman" w:hAnsi="Times New Roman" w:cs="Times New Roman"/>
        </w:rPr>
      </w:pPr>
      <w:r w:rsidRPr="003E067A">
        <w:rPr>
          <w:rFonts w:ascii="Times New Roman" w:hAnsi="Times New Roman" w:cs="Times New Roman"/>
        </w:rPr>
        <w:t xml:space="preserve">Úroky z tuzemských úverov, pôžičiek a vkladov sa rozpočtovali celkovou sumou </w:t>
      </w:r>
      <w:r>
        <w:rPr>
          <w:rFonts w:ascii="Times New Roman" w:hAnsi="Times New Roman" w:cs="Times New Roman"/>
        </w:rPr>
        <w:t xml:space="preserve">973,9 </w:t>
      </w:r>
      <w:r w:rsidRPr="003E067A">
        <w:rPr>
          <w:rFonts w:ascii="Times New Roman" w:hAnsi="Times New Roman" w:cs="Times New Roman"/>
        </w:rPr>
        <w:t xml:space="preserve">mil. Sk, z toho v kapitole Ministerstvo financií SR </w:t>
      </w:r>
      <w:r>
        <w:rPr>
          <w:rFonts w:ascii="Times New Roman" w:hAnsi="Times New Roman" w:cs="Times New Roman"/>
        </w:rPr>
        <w:t xml:space="preserve"> 703,9</w:t>
      </w:r>
      <w:r w:rsidRPr="003E067A">
        <w:rPr>
          <w:rFonts w:ascii="Times New Roman" w:hAnsi="Times New Roman" w:cs="Times New Roman"/>
        </w:rPr>
        <w:t xml:space="preserve"> mil. Sk, v kapitole Všeobecná pokladničná správa </w:t>
      </w:r>
      <w:r>
        <w:rPr>
          <w:rFonts w:ascii="Times New Roman" w:hAnsi="Times New Roman" w:cs="Times New Roman"/>
        </w:rPr>
        <w:t>203,5</w:t>
      </w:r>
      <w:r w:rsidRPr="003E067A">
        <w:rPr>
          <w:rFonts w:ascii="Times New Roman" w:hAnsi="Times New Roman" w:cs="Times New Roman"/>
        </w:rPr>
        <w:t xml:space="preserve"> mil. Sk a v ostatných rozpočtových kapitolách </w:t>
      </w:r>
      <w:r>
        <w:rPr>
          <w:rFonts w:ascii="Times New Roman" w:hAnsi="Times New Roman" w:cs="Times New Roman"/>
        </w:rPr>
        <w:t>66,5</w:t>
      </w:r>
      <w:r w:rsidRPr="003E067A">
        <w:rPr>
          <w:rFonts w:ascii="Times New Roman" w:hAnsi="Times New Roman" w:cs="Times New Roman"/>
        </w:rPr>
        <w:t xml:space="preserve"> mil. Sk.</w:t>
        <w:tab/>
        <w:t xml:space="preserve">Rozpočtovými opatreniami </w:t>
      </w:r>
      <w:r>
        <w:rPr>
          <w:rFonts w:ascii="Times New Roman" w:hAnsi="Times New Roman" w:cs="Times New Roman"/>
        </w:rPr>
        <w:t>sa tá</w:t>
      </w:r>
      <w:r w:rsidRPr="003E067A">
        <w:rPr>
          <w:rFonts w:ascii="Times New Roman" w:hAnsi="Times New Roman" w:cs="Times New Roman"/>
        </w:rPr>
        <w:t xml:space="preserve">to </w:t>
      </w:r>
      <w:r>
        <w:rPr>
          <w:rFonts w:ascii="Times New Roman" w:hAnsi="Times New Roman" w:cs="Times New Roman"/>
        </w:rPr>
        <w:t>suma</w:t>
      </w:r>
      <w:r w:rsidRPr="003E067A">
        <w:rPr>
          <w:rFonts w:ascii="Times New Roman" w:hAnsi="Times New Roman" w:cs="Times New Roman"/>
        </w:rPr>
        <w:t xml:space="preserve"> zvýš</w:t>
      </w:r>
      <w:r>
        <w:rPr>
          <w:rFonts w:ascii="Times New Roman" w:hAnsi="Times New Roman" w:cs="Times New Roman"/>
        </w:rPr>
        <w:t>ila</w:t>
      </w:r>
      <w:r w:rsidRPr="003E067A">
        <w:rPr>
          <w:rFonts w:ascii="Times New Roman" w:hAnsi="Times New Roman" w:cs="Times New Roman"/>
        </w:rPr>
        <w:t xml:space="preserve"> na</w:t>
      </w:r>
      <w:r w:rsidRPr="003E067A">
        <w:rPr>
          <w:rFonts w:ascii="Times New Roman" w:hAnsi="Times New Roman" w:cs="Times New Roman"/>
        </w:rPr>
        <w:t xml:space="preserve"> </w:t>
      </w:r>
      <w:r>
        <w:rPr>
          <w:rFonts w:ascii="Times New Roman" w:hAnsi="Times New Roman" w:cs="Times New Roman"/>
        </w:rPr>
        <w:t>1 178,5</w:t>
      </w:r>
      <w:r w:rsidRPr="003E067A">
        <w:rPr>
          <w:rFonts w:ascii="Times New Roman" w:hAnsi="Times New Roman" w:cs="Times New Roman"/>
        </w:rPr>
        <w:t xml:space="preserve"> mil. Sk</w:t>
      </w:r>
      <w:r>
        <w:rPr>
          <w:rFonts w:ascii="Times New Roman" w:hAnsi="Times New Roman" w:cs="Times New Roman"/>
        </w:rPr>
        <w:t xml:space="preserve">, pričom najvýraznejšie sa zmenil rozpočet </w:t>
      </w:r>
      <w:r w:rsidRPr="003E067A">
        <w:rPr>
          <w:rFonts w:ascii="Times New Roman" w:hAnsi="Times New Roman" w:cs="Times New Roman"/>
        </w:rPr>
        <w:t>kapitol</w:t>
      </w:r>
      <w:r>
        <w:rPr>
          <w:rFonts w:ascii="Times New Roman" w:hAnsi="Times New Roman" w:cs="Times New Roman"/>
        </w:rPr>
        <w:t xml:space="preserve">y Ministerstva financií SR, ktorý sa zvýšil na 913,9 </w:t>
      </w:r>
      <w:r w:rsidRPr="003E067A">
        <w:rPr>
          <w:rFonts w:ascii="Times New Roman" w:hAnsi="Times New Roman" w:cs="Times New Roman"/>
        </w:rPr>
        <w:t>mil. Sk.</w:t>
      </w:r>
    </w:p>
    <w:p w:rsidR="00DE3128" w:rsidP="00DE3128">
      <w:pPr>
        <w:spacing w:line="360" w:lineRule="auto"/>
        <w:ind w:firstLine="709"/>
        <w:jc w:val="both"/>
        <w:rPr>
          <w:rFonts w:ascii="Times New Roman" w:hAnsi="Times New Roman" w:cs="Times New Roman"/>
        </w:rPr>
      </w:pPr>
      <w:r w:rsidRPr="003E067A">
        <w:rPr>
          <w:rFonts w:ascii="Times New Roman" w:hAnsi="Times New Roman" w:cs="Times New Roman"/>
        </w:rPr>
        <w:t xml:space="preserve">Skutočné úroky z tuzemských úverov, pôžičiek a vkladov dosiahli </w:t>
      </w:r>
      <w:r>
        <w:rPr>
          <w:rFonts w:ascii="Times New Roman" w:hAnsi="Times New Roman" w:cs="Times New Roman"/>
        </w:rPr>
        <w:t xml:space="preserve">4 293,8 mil. Sk, </w:t>
      </w:r>
      <w:r w:rsidRPr="003E067A">
        <w:rPr>
          <w:rFonts w:ascii="Times New Roman" w:hAnsi="Times New Roman" w:cs="Times New Roman"/>
        </w:rPr>
        <w:t xml:space="preserve">čím </w:t>
      </w:r>
      <w:r>
        <w:rPr>
          <w:rFonts w:ascii="Times New Roman" w:hAnsi="Times New Roman" w:cs="Times New Roman"/>
        </w:rPr>
        <w:t>sa vysoko prekročil</w:t>
      </w:r>
      <w:r w:rsidRPr="003E067A">
        <w:rPr>
          <w:rFonts w:ascii="Times New Roman" w:hAnsi="Times New Roman" w:cs="Times New Roman"/>
        </w:rPr>
        <w:t xml:space="preserve"> schválen</w:t>
      </w:r>
      <w:r>
        <w:rPr>
          <w:rFonts w:ascii="Times New Roman" w:hAnsi="Times New Roman" w:cs="Times New Roman"/>
        </w:rPr>
        <w:t>ý</w:t>
      </w:r>
      <w:r w:rsidRPr="003E067A">
        <w:rPr>
          <w:rFonts w:ascii="Times New Roman" w:hAnsi="Times New Roman" w:cs="Times New Roman"/>
        </w:rPr>
        <w:t xml:space="preserve"> i upraven</w:t>
      </w:r>
      <w:r>
        <w:rPr>
          <w:rFonts w:ascii="Times New Roman" w:hAnsi="Times New Roman" w:cs="Times New Roman"/>
        </w:rPr>
        <w:t>ý</w:t>
      </w:r>
      <w:r w:rsidRPr="003E067A">
        <w:rPr>
          <w:rFonts w:ascii="Times New Roman" w:hAnsi="Times New Roman" w:cs="Times New Roman"/>
        </w:rPr>
        <w:t xml:space="preserve"> rozpoč</w:t>
      </w:r>
      <w:r>
        <w:rPr>
          <w:rFonts w:ascii="Times New Roman" w:hAnsi="Times New Roman" w:cs="Times New Roman"/>
        </w:rPr>
        <w:t>e</w:t>
      </w:r>
      <w:r w:rsidRPr="003E067A">
        <w:rPr>
          <w:rFonts w:ascii="Times New Roman" w:hAnsi="Times New Roman" w:cs="Times New Roman"/>
        </w:rPr>
        <w:t>t</w:t>
      </w:r>
      <w:r>
        <w:rPr>
          <w:rFonts w:ascii="Times New Roman" w:hAnsi="Times New Roman" w:cs="Times New Roman"/>
        </w:rPr>
        <w:t xml:space="preserve"> a o 918,5</w:t>
      </w:r>
      <w:r w:rsidRPr="003E067A">
        <w:rPr>
          <w:rFonts w:ascii="Times New Roman" w:hAnsi="Times New Roman" w:cs="Times New Roman"/>
        </w:rPr>
        <w:t xml:space="preserve"> mil. Sk</w:t>
      </w:r>
      <w:r>
        <w:rPr>
          <w:rFonts w:ascii="Times New Roman" w:hAnsi="Times New Roman" w:cs="Times New Roman"/>
        </w:rPr>
        <w:t xml:space="preserve"> aj skutočnosť roku 2005.</w:t>
      </w:r>
    </w:p>
    <w:p w:rsidR="00DE3128" w:rsidRPr="003E067A" w:rsidP="00DE3128">
      <w:pPr>
        <w:spacing w:line="360" w:lineRule="auto"/>
        <w:ind w:firstLine="709"/>
        <w:jc w:val="both"/>
        <w:rPr>
          <w:rFonts w:ascii="Times New Roman" w:hAnsi="Times New Roman" w:cs="Times New Roman"/>
        </w:rPr>
      </w:pPr>
      <w:r w:rsidRPr="003E067A">
        <w:rPr>
          <w:rFonts w:ascii="Times New Roman" w:hAnsi="Times New Roman" w:cs="Times New Roman"/>
        </w:rPr>
        <w:t>P</w:t>
      </w:r>
      <w:r>
        <w:rPr>
          <w:rFonts w:ascii="Times New Roman" w:hAnsi="Times New Roman" w:cs="Times New Roman"/>
        </w:rPr>
        <w:t xml:space="preserve">lnenie </w:t>
      </w:r>
      <w:r w:rsidRPr="003E067A">
        <w:rPr>
          <w:rFonts w:ascii="Times New Roman" w:hAnsi="Times New Roman" w:cs="Times New Roman"/>
        </w:rPr>
        <w:t>v jednotlivých rozpočtových kapitolách bol</w:t>
      </w:r>
      <w:r>
        <w:rPr>
          <w:rFonts w:ascii="Times New Roman" w:hAnsi="Times New Roman" w:cs="Times New Roman"/>
        </w:rPr>
        <w:t>o n</w:t>
      </w:r>
      <w:r w:rsidRPr="003E067A">
        <w:rPr>
          <w:rFonts w:ascii="Times New Roman" w:hAnsi="Times New Roman" w:cs="Times New Roman"/>
        </w:rPr>
        <w:t>asledovné:</w:t>
      </w:r>
    </w:p>
    <w:p w:rsidR="00DE3128" w:rsidP="00DE3128">
      <w:pPr>
        <w:spacing w:line="360" w:lineRule="auto"/>
        <w:jc w:val="both"/>
        <w:rPr>
          <w:rFonts w:ascii="Times New Roman" w:hAnsi="Times New Roman" w:cs="Times New Roman"/>
        </w:rPr>
      </w:pPr>
      <w:r w:rsidR="00935080">
        <w:rPr>
          <w:rFonts w:ascii="Times New Roman" w:hAnsi="Times New Roman" w:cs="Times New Roman"/>
        </w:rPr>
        <w:t xml:space="preserve">     </w:t>
      </w:r>
      <w:r w:rsidRPr="003E067A">
        <w:rPr>
          <w:rFonts w:ascii="Times New Roman" w:hAnsi="Times New Roman" w:cs="Times New Roman"/>
          <w:u w:val="single"/>
        </w:rPr>
        <w:t>v kapitole Všeobecná pokladničná správa</w:t>
      </w:r>
      <w:r w:rsidRPr="003E067A">
        <w:rPr>
          <w:rFonts w:ascii="Times New Roman" w:hAnsi="Times New Roman" w:cs="Times New Roman"/>
        </w:rPr>
        <w:t xml:space="preserve"> úroky dosiahli spolu </w:t>
      </w:r>
      <w:r>
        <w:rPr>
          <w:rFonts w:ascii="Times New Roman" w:hAnsi="Times New Roman" w:cs="Times New Roman"/>
        </w:rPr>
        <w:t>2 796,7</w:t>
      </w:r>
      <w:r w:rsidRPr="003E067A">
        <w:rPr>
          <w:rFonts w:ascii="Times New Roman" w:hAnsi="Times New Roman" w:cs="Times New Roman"/>
        </w:rPr>
        <w:t xml:space="preserve"> mil. Sk. </w:t>
      </w:r>
      <w:r>
        <w:rPr>
          <w:rFonts w:ascii="Times New Roman" w:hAnsi="Times New Roman" w:cs="Times New Roman"/>
        </w:rPr>
        <w:t>Z toho 1 653,0 mil. Sk tvorí príjem z operácií vykonávaných na peňažnom trhu Agentúrou pre riadenie dlhu a likvidity, 937,6 mil. Sk alikvotný úrokový výnos a ážio zo štátnych dlhopisov a 206,1 mil. Sk úroky z návratných finančných výpomocí poskytnutých štátnemu podniku Vodohospodárska výstavba a mestu Košice,</w:t>
      </w:r>
    </w:p>
    <w:p w:rsidR="00DE3128" w:rsidRPr="00665130" w:rsidP="00DE3128">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w:t>
      </w:r>
      <w:r w:rsidR="00935080">
        <w:rPr>
          <w:rFonts w:ascii="Times New Roman" w:hAnsi="Times New Roman" w:cs="Times New Roman"/>
        </w:rPr>
        <w:t xml:space="preserve">  </w:t>
      </w:r>
      <w:r w:rsidRPr="003E067A">
        <w:rPr>
          <w:rFonts w:ascii="Times New Roman" w:hAnsi="Times New Roman" w:cs="Times New Roman"/>
          <w:u w:val="single"/>
        </w:rPr>
        <w:t>v kapitole Ministerstvo financií SR</w:t>
      </w:r>
      <w:r w:rsidRPr="003E067A">
        <w:rPr>
          <w:rFonts w:ascii="Times New Roman" w:hAnsi="Times New Roman" w:cs="Times New Roman"/>
        </w:rPr>
        <w:t xml:space="preserve"> dosiahli úroky 1</w:t>
      </w:r>
      <w:r>
        <w:rPr>
          <w:rFonts w:ascii="Times New Roman" w:hAnsi="Times New Roman" w:cs="Times New Roman"/>
        </w:rPr>
        <w:t> </w:t>
      </w:r>
      <w:r w:rsidRPr="003E067A">
        <w:rPr>
          <w:rFonts w:ascii="Times New Roman" w:hAnsi="Times New Roman" w:cs="Times New Roman"/>
        </w:rPr>
        <w:t>4</w:t>
      </w:r>
      <w:r>
        <w:rPr>
          <w:rFonts w:ascii="Times New Roman" w:hAnsi="Times New Roman" w:cs="Times New Roman"/>
        </w:rPr>
        <w:t>73,2</w:t>
      </w:r>
      <w:r w:rsidRPr="003E067A">
        <w:rPr>
          <w:rFonts w:ascii="Times New Roman" w:hAnsi="Times New Roman" w:cs="Times New Roman"/>
        </w:rPr>
        <w:t xml:space="preserve"> mil. Sk. </w:t>
      </w:r>
      <w:r w:rsidRPr="00665130">
        <w:rPr>
          <w:rFonts w:ascii="Times New Roman" w:hAnsi="Times New Roman" w:cs="Times New Roman"/>
        </w:rPr>
        <w:t>Úrokový výnos v kapitole Ministerstvo financií SR tvorili príjmy z rozdielu prijatých a platených úrokov Štátnou pokladnicou.</w:t>
      </w:r>
      <w:r w:rsidRPr="00C51104">
        <w:rPr>
          <w:rFonts w:ascii="Times New Roman" w:hAnsi="Times New Roman" w:cs="Times New Roman"/>
          <w:color w:val="0000FF"/>
        </w:rPr>
        <w:t xml:space="preserve"> </w:t>
      </w:r>
      <w:r>
        <w:rPr>
          <w:rFonts w:ascii="Times New Roman" w:hAnsi="Times New Roman" w:cs="Times New Roman"/>
        </w:rPr>
        <w:t>Pozitívny vývoj tvorby príjmov ovplyvnilo zvýšenie objemu zdrojov centralizovaných v Štátnej pokladnici a zmena zhodnocovania zdrojov vedených v cudzích menách,</w:t>
      </w:r>
    </w:p>
    <w:p w:rsidR="00DE12CB" w:rsidRPr="00CA54D0" w:rsidP="00CA54D0">
      <w:pPr>
        <w:spacing w:line="360" w:lineRule="auto"/>
        <w:jc w:val="both"/>
        <w:rPr>
          <w:rFonts w:ascii="Times New Roman" w:hAnsi="Times New Roman" w:cs="Times New Roman"/>
        </w:rPr>
      </w:pPr>
      <w:r w:rsidRPr="003E067A" w:rsidR="00DE3128">
        <w:rPr>
          <w:rFonts w:ascii="Times New Roman" w:hAnsi="Times New Roman" w:cs="Times New Roman"/>
        </w:rPr>
        <w:t xml:space="preserve">   </w:t>
      </w:r>
      <w:r w:rsidR="00DE3128">
        <w:rPr>
          <w:rFonts w:ascii="Times New Roman" w:hAnsi="Times New Roman" w:cs="Times New Roman"/>
        </w:rPr>
        <w:t xml:space="preserve">  </w:t>
      </w:r>
      <w:r w:rsidR="00935080">
        <w:rPr>
          <w:rFonts w:ascii="Times New Roman" w:hAnsi="Times New Roman" w:cs="Times New Roman"/>
        </w:rPr>
        <w:t xml:space="preserve">  </w:t>
      </w:r>
      <w:r w:rsidRPr="003E067A" w:rsidR="00DE3128">
        <w:rPr>
          <w:rFonts w:ascii="Times New Roman" w:hAnsi="Times New Roman" w:cs="Times New Roman"/>
          <w:u w:val="single"/>
        </w:rPr>
        <w:t>v ostatných rozpočtových kapitolách</w:t>
      </w:r>
      <w:r w:rsidRPr="003E067A" w:rsidR="00DE3128">
        <w:rPr>
          <w:rFonts w:ascii="Times New Roman" w:hAnsi="Times New Roman" w:cs="Times New Roman"/>
        </w:rPr>
        <w:t xml:space="preserve"> dosiahli úroky </w:t>
      </w:r>
      <w:r w:rsidR="00DE3128">
        <w:rPr>
          <w:rFonts w:ascii="Times New Roman" w:hAnsi="Times New Roman" w:cs="Times New Roman"/>
        </w:rPr>
        <w:t>23,9</w:t>
      </w:r>
      <w:r w:rsidRPr="003E067A" w:rsidR="00DE3128">
        <w:rPr>
          <w:rFonts w:ascii="Times New Roman" w:hAnsi="Times New Roman" w:cs="Times New Roman"/>
        </w:rPr>
        <w:t xml:space="preserve"> mil. Sk z titulu úročenia dočasne voľných prostriedkov na bežných účtoch v Štátnej pokladnici. </w:t>
      </w:r>
    </w:p>
    <w:p w:rsidR="00DE12CB" w:rsidP="00DE3128">
      <w:pPr>
        <w:spacing w:line="360" w:lineRule="auto"/>
        <w:ind w:firstLine="709"/>
        <w:jc w:val="center"/>
        <w:rPr>
          <w:rFonts w:ascii="Times New Roman" w:hAnsi="Times New Roman" w:cs="Times New Roman"/>
          <w:b/>
        </w:rPr>
      </w:pPr>
    </w:p>
    <w:p w:rsidR="00DE3128" w:rsidRPr="00C51104" w:rsidP="00DE3128">
      <w:pPr>
        <w:spacing w:line="360" w:lineRule="auto"/>
        <w:ind w:firstLine="709"/>
        <w:jc w:val="center"/>
        <w:rPr>
          <w:rFonts w:ascii="Times New Roman" w:hAnsi="Times New Roman" w:cs="Times New Roman"/>
          <w:b/>
        </w:rPr>
      </w:pPr>
      <w:r w:rsidR="00437FA0">
        <w:rPr>
          <w:rFonts w:ascii="Times New Roman" w:hAnsi="Times New Roman" w:cs="Times New Roman"/>
          <w:b/>
        </w:rPr>
        <w:br w:type="page"/>
      </w:r>
      <w:r w:rsidRPr="00C51104">
        <w:rPr>
          <w:rFonts w:ascii="Times New Roman" w:hAnsi="Times New Roman" w:cs="Times New Roman"/>
          <w:b/>
        </w:rPr>
        <w:t>2.1.2.5. Úroky z poskytnutých zahraničných úverov, pôžičiek a vkladov</w:t>
      </w:r>
    </w:p>
    <w:p w:rsidR="00DE3128" w:rsidP="00DE3128">
      <w:pPr>
        <w:spacing w:line="360" w:lineRule="auto"/>
        <w:ind w:firstLine="680"/>
        <w:jc w:val="both"/>
        <w:rPr>
          <w:rFonts w:ascii="Times New Roman" w:hAnsi="Times New Roman" w:cs="Times New Roman"/>
        </w:rPr>
      </w:pPr>
    </w:p>
    <w:p w:rsidR="00DE3128" w:rsidRPr="00C51104" w:rsidP="00DE3128">
      <w:pPr>
        <w:spacing w:line="360" w:lineRule="auto"/>
        <w:ind w:firstLine="680"/>
        <w:jc w:val="both"/>
        <w:rPr>
          <w:rFonts w:ascii="Times New Roman" w:hAnsi="Times New Roman" w:cs="Times New Roman"/>
        </w:rPr>
      </w:pPr>
      <w:r w:rsidRPr="00C51104">
        <w:rPr>
          <w:rFonts w:ascii="Times New Roman" w:hAnsi="Times New Roman" w:cs="Times New Roman"/>
        </w:rPr>
        <w:t xml:space="preserve">Úroky z poskytnutých zahraničných úverov, pôžičiek a vkladov sa rozpočtovali sumou </w:t>
      </w:r>
      <w:r>
        <w:rPr>
          <w:rFonts w:ascii="Times New Roman" w:hAnsi="Times New Roman" w:cs="Times New Roman"/>
        </w:rPr>
        <w:t>54,3</w:t>
      </w:r>
      <w:r w:rsidRPr="00C51104">
        <w:rPr>
          <w:rFonts w:ascii="Times New Roman" w:hAnsi="Times New Roman" w:cs="Times New Roman"/>
        </w:rPr>
        <w:t xml:space="preserve"> mil. Sk</w:t>
      </w:r>
      <w:r>
        <w:rPr>
          <w:rFonts w:ascii="Times New Roman" w:hAnsi="Times New Roman" w:cs="Times New Roman"/>
        </w:rPr>
        <w:t>, v </w:t>
      </w:r>
      <w:r w:rsidRPr="00C51104">
        <w:rPr>
          <w:rFonts w:ascii="Times New Roman" w:hAnsi="Times New Roman" w:cs="Times New Roman"/>
        </w:rPr>
        <w:t>skutočn</w:t>
      </w:r>
      <w:r>
        <w:rPr>
          <w:rFonts w:ascii="Times New Roman" w:hAnsi="Times New Roman" w:cs="Times New Roman"/>
        </w:rPr>
        <w:t xml:space="preserve">osti </w:t>
      </w:r>
      <w:r w:rsidRPr="00C51104">
        <w:rPr>
          <w:rFonts w:ascii="Times New Roman" w:hAnsi="Times New Roman" w:cs="Times New Roman"/>
        </w:rPr>
        <w:t>dosiahl</w:t>
      </w:r>
      <w:r>
        <w:rPr>
          <w:rFonts w:ascii="Times New Roman" w:hAnsi="Times New Roman" w:cs="Times New Roman"/>
        </w:rPr>
        <w:t>i len</w:t>
      </w:r>
      <w:r w:rsidRPr="00C51104">
        <w:rPr>
          <w:rFonts w:ascii="Times New Roman" w:hAnsi="Times New Roman" w:cs="Times New Roman"/>
        </w:rPr>
        <w:t xml:space="preserve"> </w:t>
      </w:r>
      <w:r>
        <w:rPr>
          <w:rFonts w:ascii="Times New Roman" w:hAnsi="Times New Roman" w:cs="Times New Roman"/>
        </w:rPr>
        <w:t>9,3</w:t>
      </w:r>
      <w:r w:rsidRPr="00C51104">
        <w:rPr>
          <w:rFonts w:ascii="Times New Roman" w:hAnsi="Times New Roman" w:cs="Times New Roman"/>
        </w:rPr>
        <w:t xml:space="preserve"> mil. Sk, čo znamená splnenie rozpočtu na </w:t>
      </w:r>
      <w:r>
        <w:rPr>
          <w:rFonts w:ascii="Times New Roman" w:hAnsi="Times New Roman" w:cs="Times New Roman"/>
        </w:rPr>
        <w:t>1</w:t>
      </w:r>
      <w:r w:rsidRPr="00C51104">
        <w:rPr>
          <w:rFonts w:ascii="Times New Roman" w:hAnsi="Times New Roman" w:cs="Times New Roman"/>
        </w:rPr>
        <w:t>7,</w:t>
      </w:r>
      <w:r>
        <w:rPr>
          <w:rFonts w:ascii="Times New Roman" w:hAnsi="Times New Roman" w:cs="Times New Roman"/>
        </w:rPr>
        <w:t>1</w:t>
      </w:r>
      <w:r w:rsidRPr="00C51104">
        <w:rPr>
          <w:rFonts w:ascii="Times New Roman" w:hAnsi="Times New Roman" w:cs="Times New Roman"/>
        </w:rPr>
        <w:t xml:space="preserve"> %. </w:t>
      </w:r>
    </w:p>
    <w:p w:rsidR="00DE3128" w:rsidRPr="00C51104" w:rsidP="00DE3128">
      <w:pPr>
        <w:spacing w:line="360" w:lineRule="auto"/>
        <w:ind w:firstLine="680"/>
        <w:jc w:val="both"/>
        <w:rPr>
          <w:rFonts w:ascii="Times New Roman" w:hAnsi="Times New Roman" w:cs="Times New Roman"/>
        </w:rPr>
      </w:pPr>
      <w:r w:rsidRPr="00C51104">
        <w:rPr>
          <w:rFonts w:ascii="Times New Roman" w:hAnsi="Times New Roman" w:cs="Times New Roman"/>
        </w:rPr>
        <w:tab/>
        <w:t>V kapitole Všeobecná pokladničná správa sa pri schválenom rozpočte 5</w:t>
      </w:r>
      <w:r>
        <w:rPr>
          <w:rFonts w:ascii="Times New Roman" w:hAnsi="Times New Roman" w:cs="Times New Roman"/>
        </w:rPr>
        <w:t>0</w:t>
      </w:r>
      <w:r w:rsidRPr="00C51104">
        <w:rPr>
          <w:rFonts w:ascii="Times New Roman" w:hAnsi="Times New Roman" w:cs="Times New Roman"/>
        </w:rPr>
        <w:t>,</w:t>
      </w:r>
      <w:r>
        <w:rPr>
          <w:rFonts w:ascii="Times New Roman" w:hAnsi="Times New Roman" w:cs="Times New Roman"/>
        </w:rPr>
        <w:t>8</w:t>
      </w:r>
      <w:r w:rsidRPr="00C51104">
        <w:rPr>
          <w:rFonts w:ascii="Times New Roman" w:hAnsi="Times New Roman" w:cs="Times New Roman"/>
        </w:rPr>
        <w:t xml:space="preserve"> mil. Sk dosiahli skutočné úroky </w:t>
      </w:r>
      <w:r>
        <w:rPr>
          <w:rFonts w:ascii="Times New Roman" w:hAnsi="Times New Roman" w:cs="Times New Roman"/>
        </w:rPr>
        <w:t>7,9</w:t>
      </w:r>
      <w:r w:rsidRPr="00C51104">
        <w:rPr>
          <w:rFonts w:ascii="Times New Roman" w:hAnsi="Times New Roman" w:cs="Times New Roman"/>
        </w:rPr>
        <w:t xml:space="preserve"> </w:t>
      </w:r>
      <w:r w:rsidRPr="00C51104">
        <w:rPr>
          <w:rFonts w:ascii="Times New Roman" w:hAnsi="Times New Roman" w:cs="Times New Roman"/>
        </w:rPr>
        <w:t>mil. Sk</w:t>
      </w:r>
      <w:r>
        <w:rPr>
          <w:rFonts w:ascii="Times New Roman" w:hAnsi="Times New Roman" w:cs="Times New Roman"/>
        </w:rPr>
        <w:t xml:space="preserve"> a v kapi</w:t>
      </w:r>
      <w:r w:rsidRPr="00C51104">
        <w:rPr>
          <w:rFonts w:ascii="Times New Roman" w:hAnsi="Times New Roman" w:cs="Times New Roman"/>
        </w:rPr>
        <w:t xml:space="preserve">tole Ministerstvo zahraničných vecí SR boli prijaté kreditné úroky vo výške </w:t>
      </w:r>
      <w:r>
        <w:rPr>
          <w:rFonts w:ascii="Times New Roman" w:hAnsi="Times New Roman" w:cs="Times New Roman"/>
        </w:rPr>
        <w:t>1</w:t>
      </w:r>
      <w:r w:rsidRPr="00C51104">
        <w:rPr>
          <w:rFonts w:ascii="Times New Roman" w:hAnsi="Times New Roman" w:cs="Times New Roman"/>
        </w:rPr>
        <w:t xml:space="preserve">,4 mil. Sk z úročenia peňažných prostriedkov zastupiteľských úradov v zahraničí. </w:t>
      </w:r>
    </w:p>
    <w:p w:rsidR="00DE3128" w:rsidP="00DE3128">
      <w:pPr>
        <w:spacing w:line="360" w:lineRule="auto"/>
        <w:jc w:val="center"/>
        <w:rPr>
          <w:rFonts w:ascii="Times New Roman" w:hAnsi="Times New Roman" w:cs="Times New Roman"/>
          <w:b/>
        </w:rPr>
      </w:pPr>
    </w:p>
    <w:p w:rsidR="00DE3128" w:rsidRPr="00FF0D9E" w:rsidP="00DE3128">
      <w:pPr>
        <w:spacing w:line="360" w:lineRule="auto"/>
        <w:jc w:val="center"/>
        <w:rPr>
          <w:rFonts w:ascii="Times New Roman" w:hAnsi="Times New Roman" w:cs="Times New Roman"/>
          <w:b/>
        </w:rPr>
      </w:pPr>
      <w:r w:rsidRPr="00FF0D9E">
        <w:rPr>
          <w:rFonts w:ascii="Times New Roman" w:hAnsi="Times New Roman" w:cs="Times New Roman"/>
          <w:b/>
        </w:rPr>
        <w:t>2.1.2.6. Iné nedaňové príjmy</w:t>
      </w:r>
    </w:p>
    <w:p w:rsidR="00DE3128" w:rsidP="00DE3128">
      <w:pPr>
        <w:spacing w:line="360" w:lineRule="auto"/>
        <w:ind w:firstLine="709"/>
        <w:jc w:val="both"/>
        <w:rPr>
          <w:rFonts w:ascii="Times New Roman" w:hAnsi="Times New Roman" w:cs="Times New Roman"/>
        </w:rPr>
      </w:pPr>
    </w:p>
    <w:p w:rsidR="00DE3128" w:rsidRPr="00FF0D9E" w:rsidP="00DE3128">
      <w:pPr>
        <w:spacing w:line="360" w:lineRule="auto"/>
        <w:ind w:firstLine="709"/>
        <w:jc w:val="both"/>
        <w:rPr>
          <w:rFonts w:ascii="Times New Roman" w:hAnsi="Times New Roman" w:cs="Times New Roman"/>
        </w:rPr>
      </w:pPr>
      <w:r w:rsidRPr="00FF0D9E">
        <w:rPr>
          <w:rFonts w:ascii="Times New Roman" w:hAnsi="Times New Roman" w:cs="Times New Roman"/>
        </w:rPr>
        <w:t>V schválenom rozpočte boli iné nedaňové príjmy urč</w:t>
      </w:r>
      <w:r w:rsidRPr="00FF0D9E">
        <w:rPr>
          <w:rFonts w:ascii="Times New Roman" w:hAnsi="Times New Roman" w:cs="Times New Roman"/>
        </w:rPr>
        <w:t xml:space="preserve">ené sumou </w:t>
      </w:r>
      <w:r>
        <w:rPr>
          <w:rFonts w:ascii="Times New Roman" w:hAnsi="Times New Roman" w:cs="Times New Roman"/>
        </w:rPr>
        <w:t>2 935,8</w:t>
      </w:r>
      <w:r w:rsidRPr="00FF0D9E">
        <w:rPr>
          <w:rFonts w:ascii="Times New Roman" w:hAnsi="Times New Roman" w:cs="Times New Roman"/>
        </w:rPr>
        <w:t xml:space="preserve"> mil. Sk a v upravenom rozpočte sumou </w:t>
      </w:r>
      <w:r>
        <w:rPr>
          <w:rFonts w:ascii="Times New Roman" w:hAnsi="Times New Roman" w:cs="Times New Roman"/>
        </w:rPr>
        <w:t>2 988,6</w:t>
      </w:r>
      <w:r w:rsidRPr="00FF0D9E">
        <w:rPr>
          <w:rFonts w:ascii="Times New Roman" w:hAnsi="Times New Roman" w:cs="Times New Roman"/>
        </w:rPr>
        <w:t xml:space="preserve"> mil. Sk. V skutočnosti dosiahli </w:t>
      </w:r>
      <w:r>
        <w:rPr>
          <w:rFonts w:ascii="Times New Roman" w:hAnsi="Times New Roman" w:cs="Times New Roman"/>
        </w:rPr>
        <w:t>5 867,6</w:t>
      </w:r>
      <w:r w:rsidRPr="00FF0D9E">
        <w:rPr>
          <w:rFonts w:ascii="Times New Roman" w:hAnsi="Times New Roman" w:cs="Times New Roman"/>
        </w:rPr>
        <w:t xml:space="preserve"> mil. Sk, čím sa rozpočet splnil </w:t>
      </w:r>
      <w:r>
        <w:rPr>
          <w:rFonts w:ascii="Times New Roman" w:hAnsi="Times New Roman" w:cs="Times New Roman"/>
        </w:rPr>
        <w:t xml:space="preserve">takmer </w:t>
      </w:r>
      <w:r w:rsidRPr="00FF0D9E">
        <w:rPr>
          <w:rFonts w:ascii="Times New Roman" w:hAnsi="Times New Roman" w:cs="Times New Roman"/>
        </w:rPr>
        <w:t xml:space="preserve">na </w:t>
      </w:r>
      <w:r>
        <w:rPr>
          <w:rFonts w:ascii="Times New Roman" w:hAnsi="Times New Roman" w:cs="Times New Roman"/>
        </w:rPr>
        <w:t>200,0</w:t>
      </w:r>
      <w:r w:rsidRPr="00FF0D9E">
        <w:rPr>
          <w:rFonts w:ascii="Times New Roman" w:hAnsi="Times New Roman" w:cs="Times New Roman"/>
        </w:rPr>
        <w:t xml:space="preserve"> %.</w:t>
      </w:r>
    </w:p>
    <w:p w:rsidR="00DE3128" w:rsidRPr="00FF0D9E" w:rsidP="00DE3128">
      <w:pPr>
        <w:spacing w:line="360" w:lineRule="auto"/>
        <w:ind w:firstLine="709"/>
        <w:jc w:val="both"/>
        <w:rPr>
          <w:rFonts w:ascii="Times New Roman" w:hAnsi="Times New Roman" w:cs="Times New Roman"/>
        </w:rPr>
      </w:pPr>
      <w:r w:rsidRPr="00FF0D9E">
        <w:rPr>
          <w:rFonts w:ascii="Times New Roman" w:hAnsi="Times New Roman" w:cs="Times New Roman"/>
        </w:rPr>
        <w:t xml:space="preserve">Rozhodujúca časť </w:t>
      </w:r>
      <w:r>
        <w:rPr>
          <w:rFonts w:ascii="Times New Roman" w:hAnsi="Times New Roman" w:cs="Times New Roman"/>
        </w:rPr>
        <w:t>t</w:t>
      </w:r>
      <w:r w:rsidRPr="00FF0D9E">
        <w:rPr>
          <w:rFonts w:ascii="Times New Roman" w:hAnsi="Times New Roman" w:cs="Times New Roman"/>
        </w:rPr>
        <w:t>ých</w:t>
      </w:r>
      <w:r>
        <w:rPr>
          <w:rFonts w:ascii="Times New Roman" w:hAnsi="Times New Roman" w:cs="Times New Roman"/>
        </w:rPr>
        <w:t xml:space="preserve">to </w:t>
      </w:r>
      <w:r w:rsidRPr="00FF0D9E">
        <w:rPr>
          <w:rFonts w:ascii="Times New Roman" w:hAnsi="Times New Roman" w:cs="Times New Roman"/>
        </w:rPr>
        <w:t xml:space="preserve">príjmov v sume </w:t>
      </w:r>
      <w:r>
        <w:rPr>
          <w:rFonts w:ascii="Times New Roman" w:hAnsi="Times New Roman" w:cs="Times New Roman"/>
        </w:rPr>
        <w:t>3 020,6</w:t>
      </w:r>
      <w:r w:rsidRPr="00FF0D9E">
        <w:rPr>
          <w:rFonts w:ascii="Times New Roman" w:hAnsi="Times New Roman" w:cs="Times New Roman"/>
        </w:rPr>
        <w:t xml:space="preserve"> mil. Sk sa dosiahla v kapitole Všeobecná pokladničná sp</w:t>
      </w:r>
      <w:r w:rsidRPr="00FF0D9E">
        <w:rPr>
          <w:rFonts w:ascii="Times New Roman" w:hAnsi="Times New Roman" w:cs="Times New Roman"/>
        </w:rPr>
        <w:t>ráva</w:t>
      </w:r>
      <w:r>
        <w:rPr>
          <w:rFonts w:ascii="Times New Roman" w:hAnsi="Times New Roman" w:cs="Times New Roman"/>
        </w:rPr>
        <w:t xml:space="preserve"> a konkrétne išlo o</w:t>
      </w:r>
      <w:r w:rsidRPr="00FF0D9E">
        <w:rPr>
          <w:rFonts w:ascii="Times New Roman" w:hAnsi="Times New Roman" w:cs="Times New Roman"/>
        </w:rPr>
        <w:t>:</w:t>
      </w:r>
    </w:p>
    <w:p w:rsidR="00DE3128" w:rsidRPr="00FF0D9E" w:rsidP="00CA54D0">
      <w:pPr>
        <w:numPr>
          <w:ilvl w:val="0"/>
          <w:numId w:val="85"/>
        </w:numPr>
        <w:tabs>
          <w:tab w:val="left" w:pos="720"/>
        </w:tabs>
        <w:spacing w:line="360" w:lineRule="auto"/>
        <w:jc w:val="both"/>
        <w:rPr>
          <w:rFonts w:ascii="Times New Roman" w:hAnsi="Times New Roman" w:cs="Times New Roman"/>
        </w:rPr>
      </w:pPr>
      <w:r w:rsidRPr="00FF0D9E">
        <w:rPr>
          <w:rFonts w:ascii="Times New Roman" w:hAnsi="Times New Roman" w:cs="Times New Roman"/>
        </w:rPr>
        <w:t xml:space="preserve">príjmy z výťažkov lotérií a iných podobných hier </w:t>
      </w:r>
      <w:r>
        <w:rPr>
          <w:rFonts w:ascii="Times New Roman" w:hAnsi="Times New Roman" w:cs="Times New Roman"/>
        </w:rPr>
        <w:t>2 045,6</w:t>
      </w:r>
      <w:r w:rsidRPr="00FF0D9E">
        <w:rPr>
          <w:rFonts w:ascii="Times New Roman" w:hAnsi="Times New Roman" w:cs="Times New Roman"/>
        </w:rPr>
        <w:t xml:space="preserve"> mil. Sk,</w:t>
      </w:r>
    </w:p>
    <w:p w:rsidR="00DE3128" w:rsidP="00CA54D0">
      <w:pPr>
        <w:numPr>
          <w:ilvl w:val="0"/>
          <w:numId w:val="85"/>
        </w:numPr>
        <w:tabs>
          <w:tab w:val="left" w:pos="720"/>
        </w:tabs>
        <w:spacing w:line="360" w:lineRule="auto"/>
        <w:jc w:val="both"/>
        <w:rPr>
          <w:rFonts w:ascii="Times New Roman" w:hAnsi="Times New Roman" w:cs="Times New Roman"/>
        </w:rPr>
      </w:pPr>
      <w:r w:rsidRPr="00FF0D9E">
        <w:rPr>
          <w:rFonts w:ascii="Times New Roman" w:hAnsi="Times New Roman" w:cs="Times New Roman"/>
        </w:rPr>
        <w:t>príjmy z prevodov nevyčerpaných pro</w:t>
      </w:r>
      <w:r>
        <w:rPr>
          <w:rFonts w:ascii="Times New Roman" w:hAnsi="Times New Roman" w:cs="Times New Roman"/>
        </w:rPr>
        <w:t>striedk</w:t>
      </w:r>
      <w:r w:rsidRPr="00FF0D9E">
        <w:rPr>
          <w:rFonts w:ascii="Times New Roman" w:hAnsi="Times New Roman" w:cs="Times New Roman"/>
        </w:rPr>
        <w:t xml:space="preserve">ov určených na spolufinancovanie spoločných predvstupových programov </w:t>
      </w:r>
      <w:r>
        <w:rPr>
          <w:rFonts w:ascii="Times New Roman" w:hAnsi="Times New Roman" w:cs="Times New Roman"/>
        </w:rPr>
        <w:t>374</w:t>
      </w:r>
      <w:r w:rsidRPr="00FF0D9E">
        <w:rPr>
          <w:rFonts w:ascii="Times New Roman" w:hAnsi="Times New Roman" w:cs="Times New Roman"/>
        </w:rPr>
        <w:t>,</w:t>
      </w:r>
      <w:r>
        <w:rPr>
          <w:rFonts w:ascii="Times New Roman" w:hAnsi="Times New Roman" w:cs="Times New Roman"/>
        </w:rPr>
        <w:t>4</w:t>
      </w:r>
      <w:r w:rsidRPr="00FF0D9E">
        <w:rPr>
          <w:rFonts w:ascii="Times New Roman" w:hAnsi="Times New Roman" w:cs="Times New Roman"/>
        </w:rPr>
        <w:t xml:space="preserve"> mil. Sk,</w:t>
      </w:r>
    </w:p>
    <w:p w:rsidR="00DE3128" w:rsidRPr="00FF0D9E" w:rsidP="00CA54D0">
      <w:pPr>
        <w:numPr>
          <w:ilvl w:val="0"/>
          <w:numId w:val="85"/>
        </w:numPr>
        <w:tabs>
          <w:tab w:val="left" w:pos="720"/>
        </w:tabs>
        <w:spacing w:line="360" w:lineRule="auto"/>
        <w:jc w:val="both"/>
        <w:rPr>
          <w:rFonts w:ascii="Times New Roman" w:hAnsi="Times New Roman" w:cs="Times New Roman"/>
        </w:rPr>
      </w:pPr>
      <w:r w:rsidRPr="00FF0D9E">
        <w:rPr>
          <w:rFonts w:ascii="Times New Roman" w:hAnsi="Times New Roman" w:cs="Times New Roman"/>
        </w:rPr>
        <w:t>príjmy z odvodov vyplývajúcich z finančného zúčtovania 1</w:t>
      </w:r>
      <w:r>
        <w:rPr>
          <w:rFonts w:ascii="Times New Roman" w:hAnsi="Times New Roman" w:cs="Times New Roman"/>
        </w:rPr>
        <w:t>67,</w:t>
      </w:r>
      <w:r w:rsidRPr="00FF0D9E">
        <w:rPr>
          <w:rFonts w:ascii="Times New Roman" w:hAnsi="Times New Roman" w:cs="Times New Roman"/>
        </w:rPr>
        <w:t xml:space="preserve">8 mil. Sk, </w:t>
      </w:r>
    </w:p>
    <w:p w:rsidR="00DE3128" w:rsidRPr="00FF0D9E" w:rsidP="00CA54D0">
      <w:pPr>
        <w:numPr>
          <w:ilvl w:val="0"/>
          <w:numId w:val="85"/>
        </w:numPr>
        <w:tabs>
          <w:tab w:val="left" w:pos="720"/>
        </w:tabs>
        <w:spacing w:line="360" w:lineRule="auto"/>
        <w:jc w:val="both"/>
        <w:rPr>
          <w:rFonts w:ascii="Times New Roman" w:hAnsi="Times New Roman" w:cs="Times New Roman"/>
        </w:rPr>
      </w:pPr>
      <w:r w:rsidRPr="00FF0D9E">
        <w:rPr>
          <w:rFonts w:ascii="Times New Roman" w:hAnsi="Times New Roman" w:cs="Times New Roman"/>
        </w:rPr>
        <w:t xml:space="preserve">vratky nepoužitých prostriedkov z minulých rokov, refundácie a podobné platby </w:t>
      </w:r>
      <w:r>
        <w:rPr>
          <w:rFonts w:ascii="Times New Roman" w:hAnsi="Times New Roman" w:cs="Times New Roman"/>
        </w:rPr>
        <w:t>432</w:t>
      </w:r>
      <w:r w:rsidRPr="00FF0D9E">
        <w:rPr>
          <w:rFonts w:ascii="Times New Roman" w:hAnsi="Times New Roman" w:cs="Times New Roman"/>
        </w:rPr>
        <w:t>,</w:t>
      </w:r>
      <w:r>
        <w:rPr>
          <w:rFonts w:ascii="Times New Roman" w:hAnsi="Times New Roman" w:cs="Times New Roman"/>
        </w:rPr>
        <w:t>8</w:t>
      </w:r>
      <w:r w:rsidRPr="00FF0D9E">
        <w:rPr>
          <w:rFonts w:ascii="Times New Roman" w:hAnsi="Times New Roman" w:cs="Times New Roman"/>
        </w:rPr>
        <w:t xml:space="preserve"> mil. Sk. </w:t>
      </w:r>
    </w:p>
    <w:p w:rsidR="00DE12CB" w:rsidRPr="00CA54D0" w:rsidP="00CA54D0">
      <w:pPr>
        <w:spacing w:line="360" w:lineRule="auto"/>
        <w:ind w:firstLine="624"/>
        <w:jc w:val="both"/>
        <w:rPr>
          <w:rFonts w:ascii="Times New Roman" w:hAnsi="Times New Roman" w:cs="Times New Roman"/>
        </w:rPr>
      </w:pPr>
      <w:r w:rsidRPr="00FF0D9E" w:rsidR="00DE3128">
        <w:rPr>
          <w:rFonts w:ascii="Times New Roman" w:hAnsi="Times New Roman" w:cs="Times New Roman"/>
        </w:rPr>
        <w:t>V ostatných rozpočtových kapitolách dosiahli iné nedaňové príjmy súhrnnú výšku 2 </w:t>
      </w:r>
      <w:r w:rsidR="00DE3128">
        <w:rPr>
          <w:rFonts w:ascii="Times New Roman" w:hAnsi="Times New Roman" w:cs="Times New Roman"/>
        </w:rPr>
        <w:t>847</w:t>
      </w:r>
      <w:r w:rsidRPr="00FF0D9E" w:rsidR="00DE3128">
        <w:rPr>
          <w:rFonts w:ascii="Times New Roman" w:hAnsi="Times New Roman" w:cs="Times New Roman"/>
        </w:rPr>
        <w:t xml:space="preserve">,0 mil. Sk. </w:t>
      </w:r>
      <w:r w:rsidR="00DE3128">
        <w:rPr>
          <w:rFonts w:ascii="Times New Roman" w:hAnsi="Times New Roman" w:cs="Times New Roman"/>
        </w:rPr>
        <w:t xml:space="preserve">Ide </w:t>
      </w:r>
      <w:r w:rsidRPr="00FF0D9E" w:rsidR="00DE3128">
        <w:rPr>
          <w:rFonts w:ascii="Times New Roman" w:hAnsi="Times New Roman" w:cs="Times New Roman"/>
        </w:rPr>
        <w:t>o refundáci</w:t>
      </w:r>
      <w:r w:rsidR="00DE3128">
        <w:rPr>
          <w:rFonts w:ascii="Times New Roman" w:hAnsi="Times New Roman" w:cs="Times New Roman"/>
        </w:rPr>
        <w:t>e</w:t>
      </w:r>
      <w:r w:rsidRPr="00FF0D9E" w:rsidR="00DE3128">
        <w:rPr>
          <w:rFonts w:ascii="Times New Roman" w:hAnsi="Times New Roman" w:cs="Times New Roman"/>
        </w:rPr>
        <w:t>, náhrad</w:t>
      </w:r>
      <w:r w:rsidR="00DE3128">
        <w:rPr>
          <w:rFonts w:ascii="Times New Roman" w:hAnsi="Times New Roman" w:cs="Times New Roman"/>
        </w:rPr>
        <w:t>y z</w:t>
      </w:r>
      <w:r w:rsidRPr="00FF0D9E" w:rsidR="00DE3128">
        <w:rPr>
          <w:rFonts w:ascii="Times New Roman" w:hAnsi="Times New Roman" w:cs="Times New Roman"/>
        </w:rPr>
        <w:t xml:space="preserve"> poistn</w:t>
      </w:r>
      <w:r w:rsidRPr="00FF0D9E" w:rsidR="00DE3128">
        <w:rPr>
          <w:rFonts w:ascii="Times New Roman" w:hAnsi="Times New Roman" w:cs="Times New Roman"/>
        </w:rPr>
        <w:t>ého plnenia, príjm</w:t>
      </w:r>
      <w:r w:rsidR="00DE3128">
        <w:rPr>
          <w:rFonts w:ascii="Times New Roman" w:hAnsi="Times New Roman" w:cs="Times New Roman"/>
        </w:rPr>
        <w:t xml:space="preserve">y </w:t>
      </w:r>
      <w:r w:rsidRPr="00FF0D9E" w:rsidR="00DE3128">
        <w:rPr>
          <w:rFonts w:ascii="Times New Roman" w:hAnsi="Times New Roman" w:cs="Times New Roman"/>
        </w:rPr>
        <w:t>od neziskových organizácií poskytujúcich verejnoprospešné služby a in</w:t>
      </w:r>
      <w:r w:rsidR="00DE3128">
        <w:rPr>
          <w:rFonts w:ascii="Times New Roman" w:hAnsi="Times New Roman" w:cs="Times New Roman"/>
        </w:rPr>
        <w:t>é</w:t>
      </w:r>
      <w:r w:rsidRPr="00FF0D9E" w:rsidR="00DE3128">
        <w:rPr>
          <w:rFonts w:ascii="Times New Roman" w:hAnsi="Times New Roman" w:cs="Times New Roman"/>
        </w:rPr>
        <w:t xml:space="preserve"> nedaňov</w:t>
      </w:r>
      <w:r w:rsidR="00DE3128">
        <w:rPr>
          <w:rFonts w:ascii="Times New Roman" w:hAnsi="Times New Roman" w:cs="Times New Roman"/>
        </w:rPr>
        <w:t>é</w:t>
      </w:r>
      <w:r w:rsidRPr="00FF0D9E" w:rsidR="00DE3128">
        <w:rPr>
          <w:rFonts w:ascii="Times New Roman" w:hAnsi="Times New Roman" w:cs="Times New Roman"/>
        </w:rPr>
        <w:t xml:space="preserve"> príjm</w:t>
      </w:r>
      <w:r w:rsidR="00DE3128">
        <w:rPr>
          <w:rFonts w:ascii="Times New Roman" w:hAnsi="Times New Roman" w:cs="Times New Roman"/>
        </w:rPr>
        <w:t>y</w:t>
      </w:r>
      <w:r w:rsidRPr="00FF0D9E" w:rsidR="00DE3128">
        <w:rPr>
          <w:rFonts w:ascii="Times New Roman" w:hAnsi="Times New Roman" w:cs="Times New Roman"/>
        </w:rPr>
        <w:t xml:space="preserve"> </w:t>
      </w:r>
      <w:r w:rsidR="00665F7A">
        <w:rPr>
          <w:rFonts w:ascii="Times New Roman" w:hAnsi="Times New Roman" w:cs="Times New Roman"/>
        </w:rPr>
        <w:t xml:space="preserve">podľa </w:t>
      </w:r>
      <w:r w:rsidRPr="00FF0D9E" w:rsidR="00DE3128">
        <w:rPr>
          <w:rFonts w:ascii="Times New Roman" w:hAnsi="Times New Roman" w:cs="Times New Roman"/>
        </w:rPr>
        <w:t>platnej rozpočtovej klasifikácie.</w:t>
      </w:r>
      <w:r w:rsidR="00DE3128">
        <w:rPr>
          <w:rFonts w:ascii="Times New Roman" w:hAnsi="Times New Roman" w:cs="Times New Roman"/>
        </w:rPr>
        <w:t xml:space="preserve"> Z hľadiska rozpočtových kapitol sa na nich podieľali najmä Ministerstvo zdravotníctva SR (665,6 mil. Sk), Min</w:t>
      </w:r>
      <w:r w:rsidR="00DE3128">
        <w:rPr>
          <w:rFonts w:ascii="Times New Roman" w:hAnsi="Times New Roman" w:cs="Times New Roman"/>
        </w:rPr>
        <w:t>isterstvo práce, sociálnych vecí a rodiny SR (511,7 mil. Sk), Ministerstvo financií SR (508,7 mil. Sk) a Ministerstvo pôdoh</w:t>
      </w:r>
      <w:r w:rsidR="00CA54D0">
        <w:rPr>
          <w:rFonts w:ascii="Times New Roman" w:hAnsi="Times New Roman" w:cs="Times New Roman"/>
        </w:rPr>
        <w:t>ospodárstva SR (323,0 mil. Sk).</w:t>
      </w:r>
    </w:p>
    <w:p w:rsidR="00DE3128" w:rsidRPr="009D367B" w:rsidP="00DE3128">
      <w:pPr>
        <w:spacing w:before="120" w:after="120" w:line="360" w:lineRule="auto"/>
        <w:ind w:left="709"/>
        <w:jc w:val="center"/>
        <w:rPr>
          <w:rFonts w:ascii="Times New Roman" w:hAnsi="Times New Roman" w:cs="Times New Roman"/>
          <w:b/>
        </w:rPr>
      </w:pPr>
      <w:r w:rsidRPr="009D367B">
        <w:rPr>
          <w:rFonts w:ascii="Times New Roman" w:hAnsi="Times New Roman" w:cs="Times New Roman"/>
          <w:b/>
        </w:rPr>
        <w:t>2.1.3. Granty a transfery</w:t>
      </w:r>
    </w:p>
    <w:p w:rsidR="00DE3128" w:rsidP="00DE3128">
      <w:pPr>
        <w:spacing w:before="120" w:after="120" w:line="360" w:lineRule="auto"/>
        <w:ind w:firstLine="709"/>
        <w:jc w:val="both"/>
        <w:rPr>
          <w:rFonts w:ascii="Times New Roman" w:hAnsi="Times New Roman" w:cs="Times New Roman"/>
        </w:rPr>
      </w:pPr>
      <w:r w:rsidRPr="009D367B">
        <w:rPr>
          <w:rFonts w:ascii="Times New Roman" w:hAnsi="Times New Roman" w:cs="Times New Roman"/>
        </w:rPr>
        <w:t>Granty</w:t>
      </w:r>
      <w:r>
        <w:rPr>
          <w:rFonts w:ascii="Times New Roman" w:hAnsi="Times New Roman" w:cs="Times New Roman"/>
        </w:rPr>
        <w:t xml:space="preserve"> a transfery</w:t>
      </w:r>
      <w:r w:rsidRPr="009D367B">
        <w:rPr>
          <w:rFonts w:ascii="Times New Roman" w:hAnsi="Times New Roman" w:cs="Times New Roman"/>
        </w:rPr>
        <w:t xml:space="preserve"> sa v príjmoch štátneho rozpočtu n</w:t>
      </w:r>
      <w:r>
        <w:rPr>
          <w:rFonts w:ascii="Times New Roman" w:hAnsi="Times New Roman" w:cs="Times New Roman"/>
        </w:rPr>
        <w:t xml:space="preserve">a rok 2006 </w:t>
      </w:r>
      <w:r w:rsidRPr="009D367B">
        <w:rPr>
          <w:rFonts w:ascii="Times New Roman" w:hAnsi="Times New Roman" w:cs="Times New Roman"/>
        </w:rPr>
        <w:t>rozpočtovali</w:t>
      </w:r>
      <w:r>
        <w:rPr>
          <w:rFonts w:ascii="Times New Roman" w:hAnsi="Times New Roman" w:cs="Times New Roman"/>
        </w:rPr>
        <w:t xml:space="preserve"> v úhrnnej výške 42 093,6 mil. Sk</w:t>
      </w:r>
      <w:r w:rsidRPr="009D367B">
        <w:rPr>
          <w:rFonts w:ascii="Times New Roman" w:hAnsi="Times New Roman" w:cs="Times New Roman"/>
        </w:rPr>
        <w:t>, z toho zahraničné 2</w:t>
      </w:r>
      <w:r>
        <w:rPr>
          <w:rFonts w:ascii="Times New Roman" w:hAnsi="Times New Roman" w:cs="Times New Roman"/>
        </w:rPr>
        <w:t>7 880,3</w:t>
      </w:r>
      <w:r w:rsidRPr="009D367B">
        <w:rPr>
          <w:rFonts w:ascii="Times New Roman" w:hAnsi="Times New Roman" w:cs="Times New Roman"/>
        </w:rPr>
        <w:t xml:space="preserve"> mil. Sk  a tuzemské 1</w:t>
      </w:r>
      <w:r>
        <w:rPr>
          <w:rFonts w:ascii="Times New Roman" w:hAnsi="Times New Roman" w:cs="Times New Roman"/>
        </w:rPr>
        <w:t>4</w:t>
      </w:r>
      <w:r w:rsidRPr="009D367B">
        <w:rPr>
          <w:rFonts w:ascii="Times New Roman" w:hAnsi="Times New Roman" w:cs="Times New Roman"/>
        </w:rPr>
        <w:t> </w:t>
      </w:r>
      <w:r>
        <w:rPr>
          <w:rFonts w:ascii="Times New Roman" w:hAnsi="Times New Roman" w:cs="Times New Roman"/>
        </w:rPr>
        <w:t>213</w:t>
      </w:r>
      <w:r w:rsidRPr="009D367B">
        <w:rPr>
          <w:rFonts w:ascii="Times New Roman" w:hAnsi="Times New Roman" w:cs="Times New Roman"/>
        </w:rPr>
        <w:t>,</w:t>
      </w:r>
      <w:r>
        <w:rPr>
          <w:rFonts w:ascii="Times New Roman" w:hAnsi="Times New Roman" w:cs="Times New Roman"/>
        </w:rPr>
        <w:t>3</w:t>
      </w:r>
      <w:r w:rsidRPr="009D367B">
        <w:rPr>
          <w:rFonts w:ascii="Times New Roman" w:hAnsi="Times New Roman" w:cs="Times New Roman"/>
        </w:rPr>
        <w:t xml:space="preserve"> mil. Sk.</w:t>
      </w:r>
      <w:r>
        <w:rPr>
          <w:rFonts w:ascii="Times New Roman" w:hAnsi="Times New Roman" w:cs="Times New Roman"/>
        </w:rPr>
        <w:t xml:space="preserve">      V upravenom štátnom rozpočte sa na základe vykonaných rozpočtových opatrení granty a transfery znížili na 35 108,8 mil. Sk a  ich skutočný objem bol 35 881,7 mil. Sk, čo je plnenie ročného rozpočtu na 102,2 %. </w:t>
      </w:r>
    </w:p>
    <w:p w:rsidR="00DE3128" w:rsidP="00DE3128">
      <w:pPr>
        <w:spacing w:before="120" w:after="240" w:line="360" w:lineRule="auto"/>
        <w:ind w:firstLine="720"/>
        <w:jc w:val="both"/>
        <w:rPr>
          <w:rFonts w:ascii="Times New Roman" w:hAnsi="Times New Roman" w:cs="Times New Roman"/>
        </w:rPr>
      </w:pPr>
      <w:r w:rsidRPr="002C30D3">
        <w:rPr>
          <w:rFonts w:ascii="Times New Roman" w:hAnsi="Times New Roman" w:cs="Times New Roman"/>
        </w:rPr>
        <w:t>Rozpočtované a skutočné výsledky z grantov a transferov v roku</w:t>
      </w:r>
      <w:r w:rsidR="00665F7A">
        <w:rPr>
          <w:rFonts w:ascii="Times New Roman" w:hAnsi="Times New Roman" w:cs="Times New Roman"/>
        </w:rPr>
        <w:t xml:space="preserve"> 2006 boli nasledovné</w:t>
      </w:r>
      <w:r w:rsidRPr="002C30D3">
        <w:rPr>
          <w:rFonts w:ascii="Times New Roman" w:hAnsi="Times New Roman" w:cs="Times New Roman"/>
        </w:rPr>
        <w:t xml:space="preserve"> (v mil. Sk):</w:t>
      </w:r>
    </w:p>
    <w:tbl>
      <w:tblPr>
        <w:tblW w:w="9021" w:type="dxa"/>
        <w:tblInd w:w="53" w:type="dxa"/>
        <w:tblCellMar>
          <w:left w:w="70" w:type="dxa"/>
          <w:right w:w="70" w:type="dxa"/>
        </w:tblCellMar>
      </w:tblPr>
      <w:tblGrid>
        <w:gridCol w:w="2463"/>
        <w:gridCol w:w="1798"/>
        <w:gridCol w:w="1494"/>
        <w:gridCol w:w="1457"/>
        <w:gridCol w:w="1809"/>
      </w:tblGrid>
      <w:tr>
        <w:tblPrEx>
          <w:tblW w:w="9021" w:type="dxa"/>
          <w:tblInd w:w="53" w:type="dxa"/>
          <w:tblCellMar>
            <w:left w:w="70" w:type="dxa"/>
            <w:right w:w="70" w:type="dxa"/>
          </w:tblCellMar>
        </w:tblPrEx>
        <w:trPr>
          <w:trHeight w:val="257"/>
        </w:trPr>
        <w:tc>
          <w:tcPr>
            <w:tcW w:w="2463" w:type="dxa"/>
            <w:vMerge w:val="restart"/>
            <w:tcBorders>
              <w:top w:val="single" w:sz="8" w:space="0" w:color="auto"/>
              <w:left w:val="single" w:sz="8" w:space="0" w:color="auto"/>
              <w:bottom w:val="single" w:sz="4" w:space="0" w:color="000000"/>
              <w:right w:val="single" w:sz="4" w:space="0" w:color="auto"/>
              <w:tl2br w:val="nil"/>
              <w:tr2bl w:val="nil"/>
            </w:tcBorders>
            <w:noWrap/>
            <w:textDirection w:val="lrTb"/>
            <w:vAlign w:val="bottom"/>
          </w:tcPr>
          <w:p w:rsidR="00DE3128" w:rsidRPr="00CA54D0" w:rsidP="00DE3128">
            <w:pPr>
              <w:jc w:val="center"/>
              <w:rPr>
                <w:rFonts w:ascii="Times New Roman" w:hAnsi="Times New Roman" w:cs="Times New Roman"/>
                <w:sz w:val="20"/>
                <w:szCs w:val="20"/>
              </w:rPr>
            </w:pPr>
            <w:r w:rsidRPr="00CA54D0">
              <w:rPr>
                <w:rFonts w:ascii="Times New Roman" w:hAnsi="Times New Roman" w:cs="Times New Roman"/>
                <w:sz w:val="20"/>
                <w:szCs w:val="20"/>
              </w:rPr>
              <w:t> </w:t>
            </w:r>
          </w:p>
        </w:tc>
        <w:tc>
          <w:tcPr>
            <w:tcW w:w="1798" w:type="dxa"/>
            <w:vMerge w:val="restart"/>
            <w:tcBorders>
              <w:top w:val="single" w:sz="8" w:space="0" w:color="auto"/>
              <w:left w:val="single" w:sz="4" w:space="0" w:color="auto"/>
              <w:bottom w:val="single" w:sz="4" w:space="0" w:color="000000"/>
              <w:right w:val="single" w:sz="4" w:space="0" w:color="auto"/>
              <w:tl2br w:val="nil"/>
              <w:tr2bl w:val="nil"/>
            </w:tcBorders>
            <w:noWrap/>
            <w:textDirection w:val="lrTb"/>
            <w:vAlign w:val="center"/>
          </w:tcPr>
          <w:p w:rsidR="00DE3128" w:rsidRPr="00CA54D0" w:rsidP="00DE3128">
            <w:pPr>
              <w:jc w:val="center"/>
              <w:rPr>
                <w:rFonts w:ascii="Times New Roman" w:hAnsi="Times New Roman" w:cs="Times New Roman"/>
                <w:b/>
                <w:bCs/>
                <w:sz w:val="20"/>
                <w:szCs w:val="20"/>
              </w:rPr>
            </w:pPr>
            <w:r w:rsidRPr="00CA54D0">
              <w:rPr>
                <w:rFonts w:ascii="Times New Roman" w:hAnsi="Times New Roman" w:cs="Times New Roman"/>
                <w:b/>
                <w:bCs/>
                <w:sz w:val="20"/>
                <w:szCs w:val="20"/>
              </w:rPr>
              <w:t>Skutočnosť</w:t>
            </w:r>
          </w:p>
          <w:p w:rsidR="00DE3128" w:rsidRPr="00CA54D0" w:rsidP="00DE3128">
            <w:pPr>
              <w:jc w:val="center"/>
              <w:rPr>
                <w:rFonts w:ascii="Times New Roman" w:hAnsi="Times New Roman" w:cs="Times New Roman"/>
                <w:b/>
                <w:bCs/>
                <w:sz w:val="20"/>
                <w:szCs w:val="20"/>
              </w:rPr>
            </w:pPr>
            <w:r w:rsidRPr="00CA54D0">
              <w:rPr>
                <w:rFonts w:ascii="Times New Roman" w:hAnsi="Times New Roman" w:cs="Times New Roman"/>
                <w:b/>
                <w:bCs/>
                <w:sz w:val="20"/>
                <w:szCs w:val="20"/>
              </w:rPr>
              <w:t>2005</w:t>
            </w:r>
          </w:p>
        </w:tc>
        <w:tc>
          <w:tcPr>
            <w:tcW w:w="2951" w:type="dxa"/>
            <w:gridSpan w:val="2"/>
            <w:tcBorders>
              <w:top w:val="single" w:sz="8" w:space="0" w:color="auto"/>
              <w:left w:val="nil"/>
              <w:bottom w:val="single" w:sz="4" w:space="0" w:color="auto"/>
              <w:right w:val="single" w:sz="4" w:space="0" w:color="000000"/>
              <w:tl2br w:val="nil"/>
              <w:tr2bl w:val="nil"/>
            </w:tcBorders>
            <w:noWrap/>
            <w:textDirection w:val="lrTb"/>
            <w:vAlign w:val="center"/>
          </w:tcPr>
          <w:p w:rsidR="00DE3128" w:rsidRPr="00CA54D0" w:rsidP="00F3685E">
            <w:pPr>
              <w:jc w:val="center"/>
              <w:rPr>
                <w:rFonts w:ascii="Times New Roman" w:hAnsi="Times New Roman" w:cs="Times New Roman"/>
                <w:b/>
                <w:bCs/>
                <w:sz w:val="20"/>
                <w:szCs w:val="20"/>
              </w:rPr>
            </w:pPr>
            <w:r w:rsidRPr="00CA54D0">
              <w:rPr>
                <w:rFonts w:ascii="Times New Roman" w:hAnsi="Times New Roman" w:cs="Times New Roman"/>
                <w:b/>
                <w:bCs/>
                <w:sz w:val="20"/>
                <w:szCs w:val="20"/>
              </w:rPr>
              <w:t>Rozpočet 2006</w:t>
            </w:r>
          </w:p>
        </w:tc>
        <w:tc>
          <w:tcPr>
            <w:tcW w:w="1809" w:type="dxa"/>
            <w:vMerge w:val="restart"/>
            <w:tcBorders>
              <w:top w:val="single" w:sz="8" w:space="0" w:color="auto"/>
              <w:left w:val="single" w:sz="4" w:space="0" w:color="auto"/>
              <w:bottom w:val="single" w:sz="4" w:space="0" w:color="000000"/>
              <w:right w:val="single" w:sz="8" w:space="0" w:color="auto"/>
              <w:tl2br w:val="nil"/>
              <w:tr2bl w:val="nil"/>
            </w:tcBorders>
            <w:noWrap/>
            <w:textDirection w:val="lrTb"/>
            <w:vAlign w:val="center"/>
          </w:tcPr>
          <w:p w:rsidR="00DE3128" w:rsidRPr="00CA54D0" w:rsidP="00DE3128">
            <w:pPr>
              <w:jc w:val="center"/>
              <w:rPr>
                <w:rFonts w:ascii="Times New Roman" w:hAnsi="Times New Roman" w:cs="Times New Roman"/>
                <w:b/>
                <w:bCs/>
                <w:sz w:val="20"/>
                <w:szCs w:val="20"/>
              </w:rPr>
            </w:pPr>
            <w:r w:rsidRPr="00CA54D0">
              <w:rPr>
                <w:rFonts w:ascii="Times New Roman" w:hAnsi="Times New Roman" w:cs="Times New Roman"/>
                <w:b/>
                <w:bCs/>
                <w:sz w:val="20"/>
                <w:szCs w:val="20"/>
              </w:rPr>
              <w:t xml:space="preserve">Skutočnosť </w:t>
            </w:r>
          </w:p>
          <w:p w:rsidR="00DE3128" w:rsidRPr="00CA54D0" w:rsidP="00DE3128">
            <w:pPr>
              <w:jc w:val="center"/>
              <w:rPr>
                <w:rFonts w:ascii="Times New Roman" w:hAnsi="Times New Roman" w:cs="Times New Roman"/>
                <w:b/>
                <w:bCs/>
                <w:sz w:val="20"/>
                <w:szCs w:val="20"/>
              </w:rPr>
            </w:pPr>
            <w:r w:rsidRPr="00CA54D0">
              <w:rPr>
                <w:rFonts w:ascii="Times New Roman" w:hAnsi="Times New Roman" w:cs="Times New Roman"/>
                <w:b/>
                <w:bCs/>
                <w:sz w:val="20"/>
                <w:szCs w:val="20"/>
              </w:rPr>
              <w:t>2006</w:t>
            </w:r>
          </w:p>
        </w:tc>
      </w:tr>
      <w:tr>
        <w:tblPrEx>
          <w:tblW w:w="9021" w:type="dxa"/>
          <w:tblInd w:w="53" w:type="dxa"/>
          <w:tblCellMar>
            <w:left w:w="70" w:type="dxa"/>
            <w:right w:w="70" w:type="dxa"/>
          </w:tblCellMar>
        </w:tblPrEx>
        <w:trPr>
          <w:trHeight w:val="102"/>
        </w:trPr>
        <w:tc>
          <w:tcPr>
            <w:tcW w:w="2463" w:type="dxa"/>
            <w:vMerge/>
            <w:tcBorders>
              <w:top w:val="single" w:sz="4" w:space="0" w:color="auto"/>
              <w:left w:val="single" w:sz="8" w:space="0" w:color="auto"/>
              <w:bottom w:val="single" w:sz="4" w:space="0" w:color="000000"/>
              <w:right w:val="single" w:sz="4" w:space="0" w:color="auto"/>
              <w:tl2br w:val="nil"/>
              <w:tr2bl w:val="nil"/>
            </w:tcBorders>
            <w:textDirection w:val="lrTb"/>
            <w:vAlign w:val="center"/>
          </w:tcPr>
          <w:p w:rsidR="00DE3128" w:rsidRPr="00CA54D0" w:rsidP="00DE3128">
            <w:pPr>
              <w:rPr>
                <w:rFonts w:ascii="Times New Roman" w:hAnsi="Times New Roman" w:cs="Times New Roman"/>
                <w:sz w:val="20"/>
                <w:szCs w:val="20"/>
              </w:rPr>
            </w:pPr>
          </w:p>
        </w:tc>
        <w:tc>
          <w:tcPr>
            <w:tcW w:w="1798"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E3128" w:rsidRPr="00CA54D0" w:rsidP="00DE3128">
            <w:pPr>
              <w:rPr>
                <w:rFonts w:ascii="Times New Roman" w:hAnsi="Times New Roman" w:cs="Times New Roman"/>
                <w:b/>
                <w:bCs/>
                <w:sz w:val="20"/>
                <w:szCs w:val="20"/>
              </w:rPr>
            </w:pPr>
          </w:p>
        </w:tc>
        <w:tc>
          <w:tcPr>
            <w:tcW w:w="1494"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center"/>
              <w:rPr>
                <w:rFonts w:ascii="Times New Roman" w:hAnsi="Times New Roman" w:cs="Times New Roman"/>
                <w:b/>
                <w:bCs/>
                <w:sz w:val="20"/>
                <w:szCs w:val="20"/>
              </w:rPr>
            </w:pPr>
            <w:r w:rsidRPr="00CA54D0">
              <w:rPr>
                <w:rFonts w:ascii="Times New Roman" w:hAnsi="Times New Roman" w:cs="Times New Roman"/>
                <w:b/>
                <w:bCs/>
                <w:sz w:val="20"/>
                <w:szCs w:val="20"/>
              </w:rPr>
              <w:t>schválený</w:t>
            </w:r>
          </w:p>
        </w:tc>
        <w:tc>
          <w:tcPr>
            <w:tcW w:w="145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center"/>
              <w:rPr>
                <w:rFonts w:ascii="Times New Roman" w:hAnsi="Times New Roman" w:cs="Times New Roman"/>
                <w:b/>
                <w:bCs/>
                <w:sz w:val="20"/>
                <w:szCs w:val="20"/>
              </w:rPr>
            </w:pPr>
            <w:r w:rsidRPr="00CA54D0">
              <w:rPr>
                <w:rFonts w:ascii="Times New Roman" w:hAnsi="Times New Roman" w:cs="Times New Roman"/>
                <w:b/>
                <w:bCs/>
                <w:sz w:val="20"/>
                <w:szCs w:val="20"/>
              </w:rPr>
              <w:t>upravený</w:t>
            </w:r>
          </w:p>
        </w:tc>
        <w:tc>
          <w:tcPr>
            <w:tcW w:w="1809" w:type="dxa"/>
            <w:vMerge/>
            <w:tcBorders>
              <w:top w:val="single" w:sz="4" w:space="0" w:color="auto"/>
              <w:left w:val="single" w:sz="4" w:space="0" w:color="auto"/>
              <w:bottom w:val="single" w:sz="4" w:space="0" w:color="000000"/>
              <w:right w:val="single" w:sz="8" w:space="0" w:color="auto"/>
              <w:tl2br w:val="nil"/>
              <w:tr2bl w:val="nil"/>
            </w:tcBorders>
            <w:textDirection w:val="lrTb"/>
            <w:vAlign w:val="center"/>
          </w:tcPr>
          <w:p w:rsidR="00DE3128" w:rsidRPr="00CA54D0" w:rsidP="00DE3128">
            <w:pPr>
              <w:rPr>
                <w:rFonts w:ascii="Times New Roman" w:hAnsi="Times New Roman" w:cs="Times New Roman"/>
                <w:b/>
                <w:bCs/>
                <w:sz w:val="20"/>
                <w:szCs w:val="20"/>
              </w:rPr>
            </w:pPr>
          </w:p>
        </w:tc>
      </w:tr>
      <w:tr>
        <w:tblPrEx>
          <w:tblW w:w="9021" w:type="dxa"/>
          <w:tblInd w:w="53" w:type="dxa"/>
          <w:tblCellMar>
            <w:left w:w="70" w:type="dxa"/>
            <w:right w:w="70" w:type="dxa"/>
          </w:tblCellMar>
        </w:tblPrEx>
        <w:trPr>
          <w:trHeight w:val="86"/>
        </w:trPr>
        <w:tc>
          <w:tcPr>
            <w:tcW w:w="2463" w:type="dxa"/>
            <w:tcBorders>
              <w:top w:val="nil"/>
              <w:left w:val="single" w:sz="8" w:space="0" w:color="auto"/>
              <w:bottom w:val="single" w:sz="4"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b/>
                <w:bCs/>
                <w:sz w:val="20"/>
                <w:szCs w:val="20"/>
              </w:rPr>
            </w:pPr>
            <w:r w:rsidRPr="00CA54D0">
              <w:rPr>
                <w:rFonts w:ascii="Times New Roman" w:hAnsi="Times New Roman" w:cs="Times New Roman"/>
                <w:b/>
                <w:bCs/>
                <w:sz w:val="20"/>
                <w:szCs w:val="20"/>
              </w:rPr>
              <w:t>A. Granty spolu</w:t>
            </w:r>
          </w:p>
        </w:tc>
        <w:tc>
          <w:tcPr>
            <w:tcW w:w="1798"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839,0</w:t>
            </w:r>
          </w:p>
        </w:tc>
        <w:tc>
          <w:tcPr>
            <w:tcW w:w="1494"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0,0</w:t>
            </w:r>
          </w:p>
        </w:tc>
        <w:tc>
          <w:tcPr>
            <w:tcW w:w="145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0,0</w:t>
            </w:r>
          </w:p>
        </w:tc>
        <w:tc>
          <w:tcPr>
            <w:tcW w:w="1809" w:type="dxa"/>
            <w:tcBorders>
              <w:top w:val="nil"/>
              <w:left w:val="nil"/>
              <w:bottom w:val="single" w:sz="4"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1 061,3</w:t>
            </w:r>
          </w:p>
        </w:tc>
      </w:tr>
      <w:tr>
        <w:tblPrEx>
          <w:tblW w:w="9021" w:type="dxa"/>
          <w:tblInd w:w="53" w:type="dxa"/>
          <w:tblCellMar>
            <w:left w:w="70" w:type="dxa"/>
            <w:right w:w="70" w:type="dxa"/>
          </w:tblCellMar>
        </w:tblPrEx>
        <w:trPr>
          <w:trHeight w:val="316"/>
        </w:trPr>
        <w:tc>
          <w:tcPr>
            <w:tcW w:w="2463" w:type="dxa"/>
            <w:tcBorders>
              <w:top w:val="nil"/>
              <w:left w:val="single" w:sz="8" w:space="0" w:color="auto"/>
              <w:bottom w:val="single" w:sz="4"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sz w:val="20"/>
                <w:szCs w:val="20"/>
              </w:rPr>
            </w:pPr>
            <w:r w:rsidRPr="00CA54D0">
              <w:rPr>
                <w:rFonts w:ascii="Times New Roman" w:hAnsi="Times New Roman" w:cs="Times New Roman"/>
                <w:sz w:val="20"/>
                <w:szCs w:val="20"/>
              </w:rPr>
              <w:t xml:space="preserve">    v tom: </w:t>
            </w:r>
            <w:r w:rsidRPr="00CA54D0">
              <w:rPr>
                <w:rFonts w:ascii="Times New Roman" w:hAnsi="Times New Roman" w:cs="Times New Roman"/>
                <w:b/>
                <w:bCs/>
                <w:sz w:val="20"/>
                <w:szCs w:val="20"/>
              </w:rPr>
              <w:t>tuzemské</w:t>
            </w:r>
          </w:p>
        </w:tc>
        <w:tc>
          <w:tcPr>
            <w:tcW w:w="1798"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723,6</w:t>
            </w:r>
          </w:p>
        </w:tc>
        <w:tc>
          <w:tcPr>
            <w:tcW w:w="1494"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0,0</w:t>
            </w:r>
          </w:p>
        </w:tc>
        <w:tc>
          <w:tcPr>
            <w:tcW w:w="145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0,0</w:t>
            </w:r>
          </w:p>
        </w:tc>
        <w:tc>
          <w:tcPr>
            <w:tcW w:w="1809" w:type="dxa"/>
            <w:tcBorders>
              <w:top w:val="nil"/>
              <w:left w:val="nil"/>
              <w:bottom w:val="single" w:sz="4"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876,6</w:t>
            </w:r>
          </w:p>
        </w:tc>
      </w:tr>
      <w:tr>
        <w:tblPrEx>
          <w:tblW w:w="9021" w:type="dxa"/>
          <w:tblInd w:w="53" w:type="dxa"/>
          <w:tblCellMar>
            <w:left w:w="70" w:type="dxa"/>
            <w:right w:w="70" w:type="dxa"/>
          </w:tblCellMar>
        </w:tblPrEx>
        <w:trPr>
          <w:trHeight w:val="316"/>
        </w:trPr>
        <w:tc>
          <w:tcPr>
            <w:tcW w:w="2463" w:type="dxa"/>
            <w:tcBorders>
              <w:top w:val="nil"/>
              <w:left w:val="single" w:sz="8" w:space="0" w:color="auto"/>
              <w:bottom w:val="single" w:sz="4"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sz w:val="20"/>
                <w:szCs w:val="20"/>
              </w:rPr>
            </w:pPr>
            <w:r w:rsidRPr="00CA54D0">
              <w:rPr>
                <w:rFonts w:ascii="Times New Roman" w:hAnsi="Times New Roman" w:cs="Times New Roman"/>
                <w:sz w:val="20"/>
                <w:szCs w:val="20"/>
              </w:rPr>
              <w:t xml:space="preserve">                 bežné</w:t>
            </w:r>
          </w:p>
        </w:tc>
        <w:tc>
          <w:tcPr>
            <w:tcW w:w="1798"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116,6</w:t>
            </w:r>
          </w:p>
        </w:tc>
        <w:tc>
          <w:tcPr>
            <w:tcW w:w="1494"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0,0</w:t>
            </w:r>
          </w:p>
        </w:tc>
        <w:tc>
          <w:tcPr>
            <w:tcW w:w="145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0,0</w:t>
            </w:r>
          </w:p>
        </w:tc>
        <w:tc>
          <w:tcPr>
            <w:tcW w:w="1809" w:type="dxa"/>
            <w:tcBorders>
              <w:top w:val="nil"/>
              <w:left w:val="nil"/>
              <w:bottom w:val="single" w:sz="4"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211,2</w:t>
            </w:r>
          </w:p>
        </w:tc>
      </w:tr>
      <w:tr>
        <w:tblPrEx>
          <w:tblW w:w="9021" w:type="dxa"/>
          <w:tblInd w:w="53" w:type="dxa"/>
          <w:tblCellMar>
            <w:left w:w="70" w:type="dxa"/>
            <w:right w:w="70" w:type="dxa"/>
          </w:tblCellMar>
        </w:tblPrEx>
        <w:trPr>
          <w:trHeight w:val="316"/>
        </w:trPr>
        <w:tc>
          <w:tcPr>
            <w:tcW w:w="2463" w:type="dxa"/>
            <w:tcBorders>
              <w:top w:val="nil"/>
              <w:left w:val="single" w:sz="8" w:space="0" w:color="auto"/>
              <w:bottom w:val="single" w:sz="4"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sz w:val="20"/>
                <w:szCs w:val="20"/>
              </w:rPr>
            </w:pPr>
            <w:r w:rsidRPr="00CA54D0">
              <w:rPr>
                <w:rFonts w:ascii="Times New Roman" w:hAnsi="Times New Roman" w:cs="Times New Roman"/>
                <w:sz w:val="20"/>
                <w:szCs w:val="20"/>
              </w:rPr>
              <w:t xml:space="preserve">                 kapitálové</w:t>
            </w:r>
          </w:p>
        </w:tc>
        <w:tc>
          <w:tcPr>
            <w:tcW w:w="1798"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607,0</w:t>
            </w:r>
          </w:p>
        </w:tc>
        <w:tc>
          <w:tcPr>
            <w:tcW w:w="1494"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0,0</w:t>
            </w:r>
          </w:p>
        </w:tc>
        <w:tc>
          <w:tcPr>
            <w:tcW w:w="145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0,0</w:t>
            </w:r>
          </w:p>
        </w:tc>
        <w:tc>
          <w:tcPr>
            <w:tcW w:w="1809" w:type="dxa"/>
            <w:tcBorders>
              <w:top w:val="nil"/>
              <w:left w:val="nil"/>
              <w:bottom w:val="single" w:sz="4"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665,4</w:t>
            </w:r>
          </w:p>
        </w:tc>
      </w:tr>
      <w:tr>
        <w:tblPrEx>
          <w:tblW w:w="9021" w:type="dxa"/>
          <w:tblInd w:w="53" w:type="dxa"/>
          <w:tblCellMar>
            <w:left w:w="70" w:type="dxa"/>
            <w:right w:w="70" w:type="dxa"/>
          </w:tblCellMar>
        </w:tblPrEx>
        <w:trPr>
          <w:trHeight w:val="316"/>
        </w:trPr>
        <w:tc>
          <w:tcPr>
            <w:tcW w:w="2463" w:type="dxa"/>
            <w:tcBorders>
              <w:top w:val="nil"/>
              <w:left w:val="single" w:sz="8" w:space="0" w:color="auto"/>
              <w:bottom w:val="single" w:sz="4"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b/>
                <w:bCs/>
                <w:sz w:val="20"/>
                <w:szCs w:val="20"/>
              </w:rPr>
            </w:pPr>
            <w:r w:rsidRPr="00CA54D0">
              <w:rPr>
                <w:rFonts w:ascii="Times New Roman" w:hAnsi="Times New Roman" w:cs="Times New Roman"/>
                <w:b/>
                <w:bCs/>
                <w:sz w:val="20"/>
                <w:szCs w:val="20"/>
              </w:rPr>
              <w:t xml:space="preserve">              zahraničné</w:t>
            </w:r>
          </w:p>
        </w:tc>
        <w:tc>
          <w:tcPr>
            <w:tcW w:w="1798"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115,4</w:t>
            </w:r>
          </w:p>
        </w:tc>
        <w:tc>
          <w:tcPr>
            <w:tcW w:w="1494"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0,0</w:t>
            </w:r>
          </w:p>
        </w:tc>
        <w:tc>
          <w:tcPr>
            <w:tcW w:w="145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0,0</w:t>
            </w:r>
          </w:p>
        </w:tc>
        <w:tc>
          <w:tcPr>
            <w:tcW w:w="1809" w:type="dxa"/>
            <w:tcBorders>
              <w:top w:val="nil"/>
              <w:left w:val="nil"/>
              <w:bottom w:val="single" w:sz="4"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184,7</w:t>
            </w:r>
          </w:p>
        </w:tc>
      </w:tr>
      <w:tr>
        <w:tblPrEx>
          <w:tblW w:w="9021" w:type="dxa"/>
          <w:tblInd w:w="53" w:type="dxa"/>
          <w:tblCellMar>
            <w:left w:w="70" w:type="dxa"/>
            <w:right w:w="70" w:type="dxa"/>
          </w:tblCellMar>
        </w:tblPrEx>
        <w:trPr>
          <w:trHeight w:val="316"/>
        </w:trPr>
        <w:tc>
          <w:tcPr>
            <w:tcW w:w="2463" w:type="dxa"/>
            <w:tcBorders>
              <w:top w:val="nil"/>
              <w:left w:val="single" w:sz="8" w:space="0" w:color="auto"/>
              <w:bottom w:val="single" w:sz="4"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sz w:val="20"/>
                <w:szCs w:val="20"/>
              </w:rPr>
            </w:pPr>
            <w:r w:rsidRPr="00CA54D0">
              <w:rPr>
                <w:rFonts w:ascii="Times New Roman" w:hAnsi="Times New Roman" w:cs="Times New Roman"/>
                <w:sz w:val="20"/>
                <w:szCs w:val="20"/>
              </w:rPr>
              <w:t xml:space="preserve">                 bežné</w:t>
            </w:r>
          </w:p>
        </w:tc>
        <w:tc>
          <w:tcPr>
            <w:tcW w:w="1798"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110,1</w:t>
            </w:r>
          </w:p>
        </w:tc>
        <w:tc>
          <w:tcPr>
            <w:tcW w:w="1494"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0,0</w:t>
            </w:r>
          </w:p>
        </w:tc>
        <w:tc>
          <w:tcPr>
            <w:tcW w:w="145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0,0</w:t>
            </w:r>
          </w:p>
        </w:tc>
        <w:tc>
          <w:tcPr>
            <w:tcW w:w="1809" w:type="dxa"/>
            <w:tcBorders>
              <w:top w:val="nil"/>
              <w:left w:val="nil"/>
              <w:bottom w:val="single" w:sz="4"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153,2</w:t>
            </w:r>
          </w:p>
        </w:tc>
      </w:tr>
      <w:tr>
        <w:tblPrEx>
          <w:tblW w:w="9021" w:type="dxa"/>
          <w:tblInd w:w="53" w:type="dxa"/>
          <w:tblCellMar>
            <w:left w:w="70" w:type="dxa"/>
            <w:right w:w="70" w:type="dxa"/>
          </w:tblCellMar>
        </w:tblPrEx>
        <w:trPr>
          <w:trHeight w:val="316"/>
        </w:trPr>
        <w:tc>
          <w:tcPr>
            <w:tcW w:w="2463" w:type="dxa"/>
            <w:tcBorders>
              <w:top w:val="nil"/>
              <w:left w:val="single" w:sz="8" w:space="0" w:color="auto"/>
              <w:bottom w:val="single" w:sz="4"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sz w:val="20"/>
                <w:szCs w:val="20"/>
              </w:rPr>
            </w:pPr>
            <w:r w:rsidRPr="00CA54D0">
              <w:rPr>
                <w:rFonts w:ascii="Times New Roman" w:hAnsi="Times New Roman" w:cs="Times New Roman"/>
                <w:sz w:val="20"/>
                <w:szCs w:val="20"/>
              </w:rPr>
              <w:t xml:space="preserve">                 ka</w:t>
            </w:r>
            <w:r w:rsidRPr="00CA54D0">
              <w:rPr>
                <w:rFonts w:ascii="Times New Roman" w:hAnsi="Times New Roman" w:cs="Times New Roman"/>
                <w:sz w:val="20"/>
                <w:szCs w:val="20"/>
              </w:rPr>
              <w:t>pitálové</w:t>
            </w:r>
          </w:p>
        </w:tc>
        <w:tc>
          <w:tcPr>
            <w:tcW w:w="1798"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5,3</w:t>
            </w:r>
          </w:p>
        </w:tc>
        <w:tc>
          <w:tcPr>
            <w:tcW w:w="1494"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0,0</w:t>
            </w:r>
          </w:p>
        </w:tc>
        <w:tc>
          <w:tcPr>
            <w:tcW w:w="145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0,0</w:t>
            </w:r>
          </w:p>
        </w:tc>
        <w:tc>
          <w:tcPr>
            <w:tcW w:w="1809" w:type="dxa"/>
            <w:tcBorders>
              <w:top w:val="nil"/>
              <w:left w:val="nil"/>
              <w:bottom w:val="single" w:sz="4"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31,5</w:t>
            </w:r>
          </w:p>
        </w:tc>
      </w:tr>
      <w:tr>
        <w:tblPrEx>
          <w:tblW w:w="9021" w:type="dxa"/>
          <w:tblInd w:w="53" w:type="dxa"/>
          <w:tblCellMar>
            <w:left w:w="70" w:type="dxa"/>
            <w:right w:w="70" w:type="dxa"/>
          </w:tblCellMar>
        </w:tblPrEx>
        <w:trPr>
          <w:trHeight w:val="116"/>
        </w:trPr>
        <w:tc>
          <w:tcPr>
            <w:tcW w:w="2463" w:type="dxa"/>
            <w:tcBorders>
              <w:top w:val="nil"/>
              <w:left w:val="single" w:sz="8" w:space="0" w:color="auto"/>
              <w:bottom w:val="single" w:sz="4"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b/>
                <w:bCs/>
                <w:sz w:val="20"/>
                <w:szCs w:val="20"/>
              </w:rPr>
            </w:pPr>
            <w:r w:rsidRPr="00CA54D0">
              <w:rPr>
                <w:rFonts w:ascii="Times New Roman" w:hAnsi="Times New Roman" w:cs="Times New Roman"/>
                <w:b/>
                <w:bCs/>
                <w:sz w:val="20"/>
                <w:szCs w:val="20"/>
              </w:rPr>
              <w:t>B. Transfery spolu</w:t>
            </w:r>
          </w:p>
        </w:tc>
        <w:tc>
          <w:tcPr>
            <w:tcW w:w="1798"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14 039,2</w:t>
            </w:r>
          </w:p>
        </w:tc>
        <w:tc>
          <w:tcPr>
            <w:tcW w:w="1494"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42 093,6</w:t>
            </w:r>
          </w:p>
        </w:tc>
        <w:tc>
          <w:tcPr>
            <w:tcW w:w="145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35 108,8</w:t>
            </w:r>
          </w:p>
        </w:tc>
        <w:tc>
          <w:tcPr>
            <w:tcW w:w="1809" w:type="dxa"/>
            <w:tcBorders>
              <w:top w:val="nil"/>
              <w:left w:val="nil"/>
              <w:bottom w:val="single" w:sz="4"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34 820,4</w:t>
            </w:r>
          </w:p>
        </w:tc>
      </w:tr>
      <w:tr>
        <w:tblPrEx>
          <w:tblW w:w="9021" w:type="dxa"/>
          <w:tblInd w:w="53" w:type="dxa"/>
          <w:tblCellMar>
            <w:left w:w="70" w:type="dxa"/>
            <w:right w:w="70" w:type="dxa"/>
          </w:tblCellMar>
        </w:tblPrEx>
        <w:trPr>
          <w:trHeight w:val="316"/>
        </w:trPr>
        <w:tc>
          <w:tcPr>
            <w:tcW w:w="2463" w:type="dxa"/>
            <w:tcBorders>
              <w:top w:val="nil"/>
              <w:left w:val="single" w:sz="8" w:space="0" w:color="auto"/>
              <w:bottom w:val="single" w:sz="4"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sz w:val="20"/>
                <w:szCs w:val="20"/>
              </w:rPr>
            </w:pPr>
            <w:r w:rsidRPr="00CA54D0">
              <w:rPr>
                <w:rFonts w:ascii="Times New Roman" w:hAnsi="Times New Roman" w:cs="Times New Roman"/>
                <w:sz w:val="20"/>
                <w:szCs w:val="20"/>
              </w:rPr>
              <w:t xml:space="preserve">    v tom: </w:t>
            </w:r>
            <w:r w:rsidRPr="00CA54D0">
              <w:rPr>
                <w:rFonts w:ascii="Times New Roman" w:hAnsi="Times New Roman" w:cs="Times New Roman"/>
                <w:b/>
                <w:bCs/>
                <w:sz w:val="20"/>
                <w:szCs w:val="20"/>
              </w:rPr>
              <w:t>tuzemské</w:t>
            </w:r>
          </w:p>
        </w:tc>
        <w:tc>
          <w:tcPr>
            <w:tcW w:w="1798"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169,9</w:t>
            </w:r>
          </w:p>
        </w:tc>
        <w:tc>
          <w:tcPr>
            <w:tcW w:w="1494"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14 213,3</w:t>
            </w:r>
          </w:p>
        </w:tc>
        <w:tc>
          <w:tcPr>
            <w:tcW w:w="145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14 213,3</w:t>
            </w:r>
          </w:p>
        </w:tc>
        <w:tc>
          <w:tcPr>
            <w:tcW w:w="1809" w:type="dxa"/>
            <w:tcBorders>
              <w:top w:val="nil"/>
              <w:left w:val="nil"/>
              <w:bottom w:val="single" w:sz="4"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14 399,7</w:t>
            </w:r>
          </w:p>
        </w:tc>
      </w:tr>
      <w:tr>
        <w:tblPrEx>
          <w:tblW w:w="9021" w:type="dxa"/>
          <w:tblInd w:w="53" w:type="dxa"/>
          <w:tblCellMar>
            <w:left w:w="70" w:type="dxa"/>
            <w:right w:w="70" w:type="dxa"/>
          </w:tblCellMar>
        </w:tblPrEx>
        <w:trPr>
          <w:trHeight w:val="316"/>
        </w:trPr>
        <w:tc>
          <w:tcPr>
            <w:tcW w:w="2463" w:type="dxa"/>
            <w:tcBorders>
              <w:top w:val="nil"/>
              <w:left w:val="single" w:sz="8" w:space="0" w:color="auto"/>
              <w:bottom w:val="single" w:sz="4"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sz w:val="20"/>
                <w:szCs w:val="20"/>
              </w:rPr>
            </w:pPr>
            <w:r w:rsidRPr="00CA54D0">
              <w:rPr>
                <w:rFonts w:ascii="Times New Roman" w:hAnsi="Times New Roman" w:cs="Times New Roman"/>
                <w:sz w:val="20"/>
                <w:szCs w:val="20"/>
              </w:rPr>
              <w:t xml:space="preserve">                 bežné</w:t>
            </w:r>
          </w:p>
        </w:tc>
        <w:tc>
          <w:tcPr>
            <w:tcW w:w="1798"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140,0</w:t>
            </w:r>
          </w:p>
        </w:tc>
        <w:tc>
          <w:tcPr>
            <w:tcW w:w="1494"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14 213,3</w:t>
            </w:r>
          </w:p>
        </w:tc>
        <w:tc>
          <w:tcPr>
            <w:tcW w:w="145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14 213,3</w:t>
            </w:r>
          </w:p>
        </w:tc>
        <w:tc>
          <w:tcPr>
            <w:tcW w:w="1809" w:type="dxa"/>
            <w:tcBorders>
              <w:top w:val="nil"/>
              <w:left w:val="nil"/>
              <w:bottom w:val="single" w:sz="4"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14 389,6</w:t>
            </w:r>
          </w:p>
        </w:tc>
      </w:tr>
      <w:tr>
        <w:tblPrEx>
          <w:tblW w:w="9021" w:type="dxa"/>
          <w:tblInd w:w="53" w:type="dxa"/>
          <w:tblCellMar>
            <w:left w:w="70" w:type="dxa"/>
            <w:right w:w="70" w:type="dxa"/>
          </w:tblCellMar>
        </w:tblPrEx>
        <w:trPr>
          <w:trHeight w:val="316"/>
        </w:trPr>
        <w:tc>
          <w:tcPr>
            <w:tcW w:w="2463" w:type="dxa"/>
            <w:tcBorders>
              <w:top w:val="nil"/>
              <w:left w:val="single" w:sz="8" w:space="0" w:color="auto"/>
              <w:bottom w:val="single" w:sz="4"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sz w:val="20"/>
                <w:szCs w:val="20"/>
              </w:rPr>
            </w:pPr>
            <w:r w:rsidRPr="00CA54D0">
              <w:rPr>
                <w:rFonts w:ascii="Times New Roman" w:hAnsi="Times New Roman" w:cs="Times New Roman"/>
                <w:sz w:val="20"/>
                <w:szCs w:val="20"/>
              </w:rPr>
              <w:t xml:space="preserve">                 kapitálové</w:t>
            </w:r>
          </w:p>
        </w:tc>
        <w:tc>
          <w:tcPr>
            <w:tcW w:w="1798"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29,9</w:t>
            </w:r>
          </w:p>
        </w:tc>
        <w:tc>
          <w:tcPr>
            <w:tcW w:w="1494"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0,0</w:t>
            </w:r>
          </w:p>
        </w:tc>
        <w:tc>
          <w:tcPr>
            <w:tcW w:w="145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0,0</w:t>
            </w:r>
          </w:p>
        </w:tc>
        <w:tc>
          <w:tcPr>
            <w:tcW w:w="1809" w:type="dxa"/>
            <w:tcBorders>
              <w:top w:val="nil"/>
              <w:left w:val="nil"/>
              <w:bottom w:val="single" w:sz="4"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10,1</w:t>
            </w:r>
          </w:p>
        </w:tc>
      </w:tr>
      <w:tr>
        <w:tblPrEx>
          <w:tblW w:w="9021" w:type="dxa"/>
          <w:tblInd w:w="53" w:type="dxa"/>
          <w:tblCellMar>
            <w:left w:w="70" w:type="dxa"/>
            <w:right w:w="70" w:type="dxa"/>
          </w:tblCellMar>
        </w:tblPrEx>
        <w:trPr>
          <w:trHeight w:val="316"/>
        </w:trPr>
        <w:tc>
          <w:tcPr>
            <w:tcW w:w="2463" w:type="dxa"/>
            <w:tcBorders>
              <w:top w:val="nil"/>
              <w:left w:val="single" w:sz="8" w:space="0" w:color="auto"/>
              <w:bottom w:val="single" w:sz="4"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b/>
                <w:bCs/>
                <w:sz w:val="20"/>
                <w:szCs w:val="20"/>
              </w:rPr>
            </w:pPr>
            <w:r w:rsidRPr="00CA54D0">
              <w:rPr>
                <w:rFonts w:ascii="Times New Roman" w:hAnsi="Times New Roman" w:cs="Times New Roman"/>
                <w:b/>
                <w:bCs/>
                <w:sz w:val="20"/>
                <w:szCs w:val="20"/>
              </w:rPr>
              <w:t xml:space="preserve">              zahraničné</w:t>
            </w:r>
          </w:p>
        </w:tc>
        <w:tc>
          <w:tcPr>
            <w:tcW w:w="1798"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13 869,3</w:t>
            </w:r>
          </w:p>
        </w:tc>
        <w:tc>
          <w:tcPr>
            <w:tcW w:w="1494"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27 880,3</w:t>
            </w:r>
          </w:p>
        </w:tc>
        <w:tc>
          <w:tcPr>
            <w:tcW w:w="145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20 895,5</w:t>
            </w:r>
          </w:p>
        </w:tc>
        <w:tc>
          <w:tcPr>
            <w:tcW w:w="1809" w:type="dxa"/>
            <w:tcBorders>
              <w:top w:val="nil"/>
              <w:left w:val="nil"/>
              <w:bottom w:val="single" w:sz="4"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20 420,7</w:t>
            </w:r>
          </w:p>
        </w:tc>
      </w:tr>
      <w:tr>
        <w:tblPrEx>
          <w:tblW w:w="9021" w:type="dxa"/>
          <w:tblInd w:w="53" w:type="dxa"/>
          <w:tblCellMar>
            <w:left w:w="70" w:type="dxa"/>
            <w:right w:w="70" w:type="dxa"/>
          </w:tblCellMar>
        </w:tblPrEx>
        <w:trPr>
          <w:trHeight w:val="205"/>
        </w:trPr>
        <w:tc>
          <w:tcPr>
            <w:tcW w:w="2463" w:type="dxa"/>
            <w:tcBorders>
              <w:top w:val="single" w:sz="4" w:space="0" w:color="auto"/>
              <w:left w:val="single" w:sz="8" w:space="0" w:color="auto"/>
              <w:bottom w:val="double" w:sz="6"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b/>
                <w:bCs/>
                <w:sz w:val="20"/>
                <w:szCs w:val="20"/>
              </w:rPr>
            </w:pPr>
            <w:r w:rsidRPr="00CA54D0">
              <w:rPr>
                <w:rFonts w:ascii="Times New Roman" w:hAnsi="Times New Roman" w:cs="Times New Roman"/>
                <w:b/>
                <w:bCs/>
                <w:sz w:val="20"/>
                <w:szCs w:val="20"/>
              </w:rPr>
              <w:t>Granty a transfery spolu</w:t>
            </w:r>
          </w:p>
        </w:tc>
        <w:tc>
          <w:tcPr>
            <w:tcW w:w="1798" w:type="dxa"/>
            <w:tcBorders>
              <w:top w:val="single" w:sz="4" w:space="0" w:color="auto"/>
              <w:left w:val="nil"/>
              <w:bottom w:val="double" w:sz="6"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14 878,2</w:t>
            </w:r>
          </w:p>
        </w:tc>
        <w:tc>
          <w:tcPr>
            <w:tcW w:w="1494" w:type="dxa"/>
            <w:tcBorders>
              <w:top w:val="single" w:sz="4" w:space="0" w:color="auto"/>
              <w:left w:val="nil"/>
              <w:bottom w:val="double" w:sz="6"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42 093,6</w:t>
            </w:r>
          </w:p>
        </w:tc>
        <w:tc>
          <w:tcPr>
            <w:tcW w:w="1457" w:type="dxa"/>
            <w:tcBorders>
              <w:top w:val="single" w:sz="4" w:space="0" w:color="auto"/>
              <w:left w:val="nil"/>
              <w:bottom w:val="double" w:sz="6"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35 108,8</w:t>
            </w:r>
          </w:p>
        </w:tc>
        <w:tc>
          <w:tcPr>
            <w:tcW w:w="1809" w:type="dxa"/>
            <w:tcBorders>
              <w:top w:val="single" w:sz="4" w:space="0" w:color="auto"/>
              <w:left w:val="nil"/>
              <w:bottom w:val="double" w:sz="6"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35 881,7</w:t>
            </w:r>
          </w:p>
        </w:tc>
      </w:tr>
    </w:tbl>
    <w:p w:rsidR="00DE3128" w:rsidRPr="00E24E2E" w:rsidP="00DE3128">
      <w:pPr>
        <w:spacing w:before="120" w:after="120" w:line="360" w:lineRule="auto"/>
        <w:jc w:val="both"/>
        <w:rPr>
          <w:rFonts w:ascii="Times New Roman" w:hAnsi="Times New Roman" w:cs="Times New Roman"/>
          <w:sz w:val="20"/>
          <w:szCs w:val="20"/>
        </w:rPr>
      </w:pPr>
      <w:r w:rsidRPr="00E24E2E">
        <w:rPr>
          <w:rFonts w:ascii="Times New Roman" w:hAnsi="Times New Roman" w:cs="Times New Roman"/>
          <w:sz w:val="20"/>
          <w:szCs w:val="20"/>
        </w:rPr>
        <w:t xml:space="preserve">  Zdroj: Ministerstvo financií SR</w:t>
      </w:r>
    </w:p>
    <w:p w:rsidR="00DE3128" w:rsidP="00DE3128">
      <w:pPr>
        <w:spacing w:before="120" w:after="120" w:line="360" w:lineRule="auto"/>
        <w:ind w:firstLine="709"/>
        <w:jc w:val="both"/>
        <w:rPr>
          <w:rFonts w:ascii="Times New Roman" w:hAnsi="Times New Roman" w:cs="Times New Roman"/>
        </w:rPr>
      </w:pPr>
      <w:r w:rsidRPr="009D367B">
        <w:rPr>
          <w:rFonts w:ascii="Times New Roman" w:hAnsi="Times New Roman" w:cs="Times New Roman"/>
        </w:rPr>
        <w:t xml:space="preserve"> </w:t>
      </w:r>
      <w:r>
        <w:rPr>
          <w:rFonts w:ascii="Times New Roman" w:hAnsi="Times New Roman" w:cs="Times New Roman"/>
        </w:rPr>
        <w:t xml:space="preserve">Granty sa nerozpočtujú, </w:t>
      </w:r>
      <w:r w:rsidRPr="009D367B">
        <w:rPr>
          <w:rFonts w:ascii="Times New Roman" w:hAnsi="Times New Roman" w:cs="Times New Roman"/>
        </w:rPr>
        <w:t xml:space="preserve">pretože majú charakter príspevkov od dobrovoľných darcov a sponzorov. </w:t>
      </w:r>
      <w:r>
        <w:rPr>
          <w:rFonts w:ascii="Times New Roman" w:hAnsi="Times New Roman" w:cs="Times New Roman"/>
        </w:rPr>
        <w:t xml:space="preserve">K 31.12.2006 dosiahli 1 061,3 mil. Sk, v tom tuzemské 876,6 mil. Sk a zahraničné 184,7 mil. Sk.  </w:t>
      </w:r>
    </w:p>
    <w:p w:rsidR="00DE3128" w:rsidP="00DE3128">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Nerozpočtované tuzemské bežné granty posilnili príjmy rozpočtu v jednotlivých rozpočtových kapitolách. Najvyšší objem týchto prostriedkov bol získaný v kapitolách ministerstva </w:t>
      </w:r>
      <w:r>
        <w:rPr>
          <w:rFonts w:ascii="Times New Roman" w:hAnsi="Times New Roman" w:cs="Times New Roman"/>
        </w:rPr>
        <w:t xml:space="preserve">vnútra, školstva, dopravy, pôšt a telekomunikácií, úradu geodézie a kartografie a Slovenskej akadémii vied. Tuzemské kapitálové granty boli dosiahnuté najmä v kapitolách ministerstva vnútra, zdravotníctva, práce, sociálnych vecí a rodiny a Slovenskej akadémii vied. </w:t>
      </w:r>
    </w:p>
    <w:p w:rsidR="00DE3128" w:rsidRPr="00221E29" w:rsidP="00DE3128">
      <w:pPr>
        <w:spacing w:before="120" w:after="120" w:line="360" w:lineRule="auto"/>
        <w:ind w:firstLine="709"/>
        <w:jc w:val="both"/>
        <w:rPr>
          <w:rFonts w:ascii="Times New Roman" w:hAnsi="Times New Roman" w:cs="Times New Roman"/>
        </w:rPr>
      </w:pPr>
      <w:r>
        <w:rPr>
          <w:rFonts w:ascii="Times New Roman" w:hAnsi="Times New Roman" w:cs="Times New Roman"/>
        </w:rPr>
        <w:t>Kapitoly prijali zahraničné granty v celkovom objeme 184,7 mil. Sk, v tom bežné 153,2 mil. Sk a kapitálové 31,5 mil. Sk. Od zahraničnej vlády prijala bežný grant Slovenská akadémia vied v sume 5,9 mil. Sk. Ostatné bežné granty boli prijaté od medzinárodných organizácií najmä v kapitolách ministerstva životného prostredia, štatistického úradu, Slovenskej akadémii vied a úradu vlády. Najvyšší objem zahraničných kapitálových grantov bol získaný v kapitolách ministerstva dopravy, životného prostredia a Slovensk</w:t>
      </w:r>
      <w:r>
        <w:rPr>
          <w:rFonts w:ascii="Times New Roman" w:hAnsi="Times New Roman" w:cs="Times New Roman"/>
        </w:rPr>
        <w:t>ej akadémii vied.</w:t>
      </w:r>
    </w:p>
    <w:p w:rsidR="00DE3128" w:rsidP="00DE3128">
      <w:pPr>
        <w:spacing w:line="360" w:lineRule="auto"/>
        <w:ind w:firstLine="1"/>
        <w:jc w:val="both"/>
        <w:rPr>
          <w:rFonts w:ascii="Times New Roman" w:hAnsi="Times New Roman" w:cs="Times New Roman"/>
        </w:rPr>
      </w:pPr>
      <w:r>
        <w:rPr>
          <w:rFonts w:ascii="Times New Roman" w:hAnsi="Times New Roman" w:cs="Times New Roman"/>
        </w:rPr>
        <w:t xml:space="preserve">            V štátnom rozpočte boli schválené celkové transfery v čiastke 42 093,6 mil. Sk. Tieto boli neskôr upravené na 35 108,8 mil. Sk, a to znížením zahraničných transferov o takmer 7 000,0 mil. Sk. Celkovo dosiahnuté transfery v sume 34 820,4 mil. Sk predstavujú plnenie rozpočtu na 99,2 %.</w:t>
      </w:r>
    </w:p>
    <w:p w:rsidR="00DE3128" w:rsidP="00DE3128">
      <w:pPr>
        <w:spacing w:line="360" w:lineRule="auto"/>
        <w:ind w:left="2" w:firstLine="1"/>
        <w:jc w:val="both"/>
        <w:rPr>
          <w:rFonts w:ascii="Times New Roman" w:hAnsi="Times New Roman" w:cs="Times New Roman"/>
        </w:rPr>
      </w:pPr>
      <w:r w:rsidR="00972698">
        <w:rPr>
          <w:rFonts w:ascii="Times New Roman" w:hAnsi="Times New Roman" w:cs="Times New Roman"/>
        </w:rPr>
        <w:t xml:space="preserve">            </w:t>
      </w:r>
      <w:r>
        <w:rPr>
          <w:rFonts w:ascii="Times New Roman" w:hAnsi="Times New Roman" w:cs="Times New Roman"/>
        </w:rPr>
        <w:t xml:space="preserve">Tuzemské bežné transfery sa rozpočtovali v objeme 14 213,3 mil. Sk. Išlo o 213,3 mil. Sk, ktoré sa rozpočtovali v kapitole Ministerstva zdravotníctva SR na činnosť operačných stredísk záchrannej zdravotnej služby a suma 14 000,0 mil. Sk bola rozpočtovaná v kapitole Všeobecná pokladničná správa na základe uznesenia č. 790/2005, ktorým vláda SR v bode B.1. schválila použitie sumy 14 000,0 mil. Sk na posilnenie štátnych finančných aktív. </w:t>
      </w:r>
      <w:r w:rsidRPr="00221E29">
        <w:rPr>
          <w:rFonts w:ascii="Times New Roman" w:hAnsi="Times New Roman" w:cs="Times New Roman"/>
        </w:rPr>
        <w:t>Vláda SR však neskôr rozhodla o zmene použitia majetku fondu na základe uznesenia č. 461 zo dňa 17. 5. 2006, kde v bode C.1.</w:t>
      </w:r>
      <w:r w:rsidR="00665F7A">
        <w:rPr>
          <w:rFonts w:ascii="Times New Roman" w:hAnsi="Times New Roman" w:cs="Times New Roman"/>
        </w:rPr>
        <w:t xml:space="preserve"> </w:t>
      </w:r>
      <w:r w:rsidRPr="00221E29">
        <w:rPr>
          <w:rFonts w:ascii="Times New Roman" w:hAnsi="Times New Roman" w:cs="Times New Roman"/>
        </w:rPr>
        <w:t>odsúhlasila zmenu použitia majetku FNM SR tak, že na posilnenie štátnych finančných aktív vyčlenila majetok fondu vo výške 13 872,0 m</w:t>
      </w:r>
      <w:r w:rsidRPr="00221E29">
        <w:rPr>
          <w:rFonts w:ascii="Times New Roman" w:hAnsi="Times New Roman" w:cs="Times New Roman"/>
        </w:rPr>
        <w:t>i</w:t>
      </w:r>
      <w:r w:rsidR="00665F7A">
        <w:rPr>
          <w:rFonts w:ascii="Times New Roman" w:hAnsi="Times New Roman" w:cs="Times New Roman"/>
        </w:rPr>
        <w:t>l. Sk. K 31.12.2006 uhradil FNM</w:t>
      </w:r>
      <w:r w:rsidRPr="00221E29">
        <w:rPr>
          <w:rFonts w:ascii="Times New Roman" w:hAnsi="Times New Roman" w:cs="Times New Roman"/>
        </w:rPr>
        <w:t xml:space="preserve"> na základe Zmlúv o poskytnutí finančných prostriedkov č. 01/2006 a č. 02/2006, uzavretých medzi MF SR a FNM SR, celkovú čiastku 13 746,6 mil. Sk zo zdrojov získaných v roku 2006 v rámci príjmov z podnikania a z vlastníctva </w:t>
      </w:r>
      <w:r w:rsidRPr="00221E29">
        <w:rPr>
          <w:rFonts w:ascii="Times New Roman" w:hAnsi="Times New Roman" w:cs="Times New Roman"/>
        </w:rPr>
        <w:t>majetku formou dividend</w:t>
      </w:r>
      <w:r>
        <w:rPr>
          <w:rFonts w:ascii="Times New Roman" w:hAnsi="Times New Roman" w:cs="Times New Roman"/>
        </w:rPr>
        <w:t xml:space="preserve"> (v tom najmä Slovenský plynárenský priemysel, a.s. 10 127,1 mil. Sk, Západoslovenská energetika, a.s. 1 384,9 mil. Sk, Východoslovenská energetika, a.s.  819,1 mil. Sk)</w:t>
      </w:r>
      <w:r w:rsidRPr="00221E29">
        <w:rPr>
          <w:rFonts w:ascii="Times New Roman" w:hAnsi="Times New Roman" w:cs="Times New Roman"/>
        </w:rPr>
        <w:t>.</w:t>
      </w:r>
      <w:r>
        <w:rPr>
          <w:rFonts w:ascii="Times New Roman" w:hAnsi="Times New Roman" w:cs="Times New Roman"/>
        </w:rPr>
        <w:t xml:space="preserve"> </w:t>
      </w:r>
      <w:r w:rsidRPr="00221E29">
        <w:rPr>
          <w:rFonts w:ascii="Times New Roman" w:hAnsi="Times New Roman" w:cs="Times New Roman"/>
        </w:rPr>
        <w:t>Uznesením č. 461/2006 vláda SR v bode B.1. odsúhlasila taktiež použitie sumy 128,0 mil. Sk na doplatenie kompenzácií nákladov miest a obcí do energetických zariadení, ktoré mestá a obce vynaložili a následne bezodplatne odovzdali rozvodným podnikom.</w:t>
      </w:r>
    </w:p>
    <w:p w:rsidR="00DE3128" w:rsidP="00DE3128">
      <w:pPr>
        <w:spacing w:before="120" w:after="120" w:line="360" w:lineRule="auto"/>
        <w:ind w:firstLine="709"/>
        <w:jc w:val="both"/>
        <w:rPr>
          <w:rFonts w:ascii="Times New Roman" w:hAnsi="Times New Roman" w:cs="Times New Roman"/>
        </w:rPr>
      </w:pPr>
      <w:r>
        <w:rPr>
          <w:rFonts w:ascii="Times New Roman" w:hAnsi="Times New Roman" w:cs="Times New Roman"/>
        </w:rPr>
        <w:t>Tuzemské kapitálové transfery rozpočtované neboli a v skutočnosti do</w:t>
      </w:r>
      <w:r>
        <w:rPr>
          <w:rFonts w:ascii="Times New Roman" w:hAnsi="Times New Roman" w:cs="Times New Roman"/>
        </w:rPr>
        <w:t xml:space="preserve">siahli výšku 10,1 mil. Sk. Tieto boli získané v kapitolách Slovenská akadémia vied 10,0 mil. Sk a ministerstva školstva 0,1 mil. Sk. </w:t>
      </w:r>
    </w:p>
    <w:p w:rsidR="00DE3128" w:rsidP="00DE3128">
      <w:pPr>
        <w:spacing w:before="120" w:after="120" w:line="360" w:lineRule="auto"/>
        <w:ind w:firstLine="709"/>
        <w:jc w:val="both"/>
        <w:rPr>
          <w:rFonts w:ascii="Times New Roman" w:hAnsi="Times New Roman" w:cs="Times New Roman"/>
        </w:rPr>
      </w:pPr>
      <w:r>
        <w:rPr>
          <w:rFonts w:ascii="Times New Roman" w:hAnsi="Times New Roman" w:cs="Times New Roman"/>
        </w:rPr>
        <w:t xml:space="preserve"> V príjmoch štátneho rozpočtu v roku 2006 boli formou zahraničných transferov pôvodne rozpočtované prostriedky zo všeobecného rozpočtu Európskej únie vo výške 27 880,3 mil. Sk vrátane špeciálnej kompenzačnej platby, čo je viac ako 66 % z celkovo rozpočtovaných transferov. Pôvodný rozpočet bol neskôr znížený na 20 895,5 mil. Sk a v skutočnosti boli tieto prostriedky z rozpočtu EÚ čerpané vo výške 20 420,7 mil. Sk v týchto rozpočtových kapitolách (v mil. Sk):</w:t>
      </w:r>
    </w:p>
    <w:tbl>
      <w:tblPr>
        <w:tblW w:w="9060" w:type="dxa"/>
        <w:tblInd w:w="53" w:type="dxa"/>
        <w:tblCellMar>
          <w:left w:w="70" w:type="dxa"/>
          <w:right w:w="70" w:type="dxa"/>
        </w:tblCellMar>
      </w:tblPr>
      <w:tblGrid>
        <w:gridCol w:w="3977"/>
        <w:gridCol w:w="1123"/>
        <w:gridCol w:w="1397"/>
        <w:gridCol w:w="1303"/>
        <w:gridCol w:w="1260"/>
      </w:tblGrid>
      <w:tr>
        <w:tblPrEx>
          <w:tblW w:w="9060" w:type="dxa"/>
          <w:tblInd w:w="53" w:type="dxa"/>
          <w:tblCellMar>
            <w:left w:w="70" w:type="dxa"/>
            <w:right w:w="70" w:type="dxa"/>
          </w:tblCellMar>
        </w:tblPrEx>
        <w:trPr>
          <w:trHeight w:val="327"/>
        </w:trPr>
        <w:tc>
          <w:tcPr>
            <w:tcW w:w="3977" w:type="dxa"/>
            <w:vMerge w:val="restart"/>
            <w:tcBorders>
              <w:top w:val="single" w:sz="8" w:space="0" w:color="auto"/>
              <w:left w:val="single" w:sz="8" w:space="0" w:color="auto"/>
              <w:bottom w:val="single" w:sz="4" w:space="0" w:color="000000"/>
              <w:right w:val="single" w:sz="4" w:space="0" w:color="auto"/>
              <w:tl2br w:val="nil"/>
              <w:tr2bl w:val="nil"/>
            </w:tcBorders>
            <w:noWrap/>
            <w:textDirection w:val="lrTb"/>
            <w:vAlign w:val="bottom"/>
          </w:tcPr>
          <w:p w:rsidR="00DE3128" w:rsidRPr="00CA54D0" w:rsidP="00DE3128">
            <w:pPr>
              <w:jc w:val="center"/>
              <w:rPr>
                <w:rFonts w:ascii="Times New Roman" w:hAnsi="Times New Roman" w:cs="Times New Roman"/>
                <w:sz w:val="20"/>
                <w:szCs w:val="20"/>
              </w:rPr>
            </w:pPr>
            <w:r w:rsidRPr="00CA54D0">
              <w:rPr>
                <w:rFonts w:ascii="Times New Roman" w:hAnsi="Times New Roman" w:cs="Times New Roman"/>
                <w:sz w:val="20"/>
                <w:szCs w:val="20"/>
              </w:rPr>
              <w:t> </w:t>
            </w:r>
          </w:p>
        </w:tc>
        <w:tc>
          <w:tcPr>
            <w:tcW w:w="1123" w:type="dxa"/>
            <w:vMerge w:val="restart"/>
            <w:tcBorders>
              <w:top w:val="single" w:sz="8" w:space="0" w:color="auto"/>
              <w:left w:val="single" w:sz="4" w:space="0" w:color="auto"/>
              <w:bottom w:val="single" w:sz="4" w:space="0" w:color="000000"/>
              <w:right w:val="single" w:sz="4" w:space="0" w:color="auto"/>
              <w:tl2br w:val="nil"/>
              <w:tr2bl w:val="nil"/>
            </w:tcBorders>
            <w:noWrap/>
            <w:textDirection w:val="lrTb"/>
            <w:vAlign w:val="center"/>
          </w:tcPr>
          <w:p w:rsidR="00DE3128" w:rsidRPr="00CA54D0" w:rsidP="00DE3128">
            <w:pPr>
              <w:jc w:val="center"/>
              <w:rPr>
                <w:rFonts w:ascii="Times New Roman" w:hAnsi="Times New Roman" w:cs="Times New Roman"/>
                <w:b/>
                <w:bCs/>
                <w:sz w:val="20"/>
                <w:szCs w:val="20"/>
              </w:rPr>
            </w:pPr>
            <w:r w:rsidRPr="00CA54D0">
              <w:rPr>
                <w:rFonts w:ascii="Times New Roman" w:hAnsi="Times New Roman" w:cs="Times New Roman"/>
                <w:b/>
                <w:bCs/>
                <w:sz w:val="20"/>
                <w:szCs w:val="20"/>
              </w:rPr>
              <w:t xml:space="preserve">Skutočnosť </w:t>
            </w:r>
          </w:p>
          <w:p w:rsidR="00DE3128" w:rsidRPr="00CA54D0" w:rsidP="00DE3128">
            <w:pPr>
              <w:jc w:val="center"/>
              <w:rPr>
                <w:rFonts w:ascii="Times New Roman" w:hAnsi="Times New Roman" w:cs="Times New Roman"/>
                <w:b/>
                <w:bCs/>
                <w:sz w:val="20"/>
                <w:szCs w:val="20"/>
              </w:rPr>
            </w:pPr>
            <w:r w:rsidRPr="00CA54D0">
              <w:rPr>
                <w:rFonts w:ascii="Times New Roman" w:hAnsi="Times New Roman" w:cs="Times New Roman"/>
                <w:b/>
                <w:bCs/>
                <w:sz w:val="20"/>
                <w:szCs w:val="20"/>
              </w:rPr>
              <w:t>2005</w:t>
            </w:r>
          </w:p>
        </w:tc>
        <w:tc>
          <w:tcPr>
            <w:tcW w:w="2700" w:type="dxa"/>
            <w:gridSpan w:val="2"/>
            <w:tcBorders>
              <w:top w:val="single" w:sz="8" w:space="0" w:color="auto"/>
              <w:left w:val="nil"/>
              <w:bottom w:val="single" w:sz="4" w:space="0" w:color="auto"/>
              <w:right w:val="single" w:sz="4" w:space="0" w:color="000000"/>
              <w:tl2br w:val="nil"/>
              <w:tr2bl w:val="nil"/>
            </w:tcBorders>
            <w:noWrap/>
            <w:textDirection w:val="lrTb"/>
            <w:vAlign w:val="center"/>
          </w:tcPr>
          <w:p w:rsidR="00DE3128" w:rsidRPr="00CA54D0" w:rsidP="00F3685E">
            <w:pPr>
              <w:jc w:val="center"/>
              <w:rPr>
                <w:rFonts w:ascii="Times New Roman" w:hAnsi="Times New Roman" w:cs="Times New Roman"/>
                <w:b/>
                <w:bCs/>
                <w:sz w:val="20"/>
                <w:szCs w:val="20"/>
              </w:rPr>
            </w:pPr>
            <w:r w:rsidRPr="00CA54D0">
              <w:rPr>
                <w:rFonts w:ascii="Times New Roman" w:hAnsi="Times New Roman" w:cs="Times New Roman"/>
                <w:b/>
                <w:bCs/>
                <w:sz w:val="20"/>
                <w:szCs w:val="20"/>
              </w:rPr>
              <w:t>Rozpočet 2006</w:t>
            </w:r>
          </w:p>
        </w:tc>
        <w:tc>
          <w:tcPr>
            <w:tcW w:w="1260" w:type="dxa"/>
            <w:vMerge w:val="restart"/>
            <w:tcBorders>
              <w:top w:val="single" w:sz="8" w:space="0" w:color="auto"/>
              <w:left w:val="single" w:sz="4" w:space="0" w:color="auto"/>
              <w:bottom w:val="single" w:sz="4" w:space="0" w:color="000000"/>
              <w:right w:val="single" w:sz="8" w:space="0" w:color="auto"/>
              <w:tl2br w:val="nil"/>
              <w:tr2bl w:val="nil"/>
            </w:tcBorders>
            <w:noWrap/>
            <w:textDirection w:val="lrTb"/>
            <w:vAlign w:val="center"/>
          </w:tcPr>
          <w:p w:rsidR="00DE3128" w:rsidRPr="00CA54D0" w:rsidP="00DE3128">
            <w:pPr>
              <w:jc w:val="center"/>
              <w:rPr>
                <w:rFonts w:ascii="Times New Roman" w:hAnsi="Times New Roman" w:cs="Times New Roman"/>
                <w:b/>
                <w:bCs/>
                <w:sz w:val="20"/>
                <w:szCs w:val="20"/>
              </w:rPr>
            </w:pPr>
            <w:r w:rsidRPr="00CA54D0">
              <w:rPr>
                <w:rFonts w:ascii="Times New Roman" w:hAnsi="Times New Roman" w:cs="Times New Roman"/>
                <w:b/>
                <w:bCs/>
                <w:sz w:val="20"/>
                <w:szCs w:val="20"/>
              </w:rPr>
              <w:t>Skutočnosť 2006</w:t>
            </w:r>
          </w:p>
        </w:tc>
      </w:tr>
      <w:tr>
        <w:tblPrEx>
          <w:tblW w:w="9060" w:type="dxa"/>
          <w:tblInd w:w="53" w:type="dxa"/>
          <w:tblCellMar>
            <w:left w:w="70" w:type="dxa"/>
            <w:right w:w="70" w:type="dxa"/>
          </w:tblCellMar>
        </w:tblPrEx>
        <w:trPr>
          <w:trHeight w:val="253"/>
        </w:trPr>
        <w:tc>
          <w:tcPr>
            <w:tcW w:w="3977" w:type="dxa"/>
            <w:vMerge/>
            <w:tcBorders>
              <w:top w:val="single" w:sz="4" w:space="0" w:color="auto"/>
              <w:left w:val="single" w:sz="8" w:space="0" w:color="auto"/>
              <w:bottom w:val="single" w:sz="4" w:space="0" w:color="000000"/>
              <w:right w:val="single" w:sz="4" w:space="0" w:color="auto"/>
              <w:tl2br w:val="nil"/>
              <w:tr2bl w:val="nil"/>
            </w:tcBorders>
            <w:textDirection w:val="lrTb"/>
            <w:vAlign w:val="center"/>
          </w:tcPr>
          <w:p w:rsidR="00DE3128" w:rsidRPr="00CA54D0" w:rsidP="00DE3128">
            <w:pPr>
              <w:rPr>
                <w:rFonts w:ascii="Times New Roman" w:hAnsi="Times New Roman" w:cs="Times New Roman"/>
                <w:sz w:val="20"/>
                <w:szCs w:val="20"/>
              </w:rPr>
            </w:pPr>
          </w:p>
        </w:tc>
        <w:tc>
          <w:tcPr>
            <w:tcW w:w="1123"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DE3128" w:rsidRPr="00CA54D0" w:rsidP="00DE3128">
            <w:pPr>
              <w:rPr>
                <w:rFonts w:ascii="Times New Roman" w:hAnsi="Times New Roman" w:cs="Times New Roman"/>
                <w:b/>
                <w:bCs/>
                <w:sz w:val="20"/>
                <w:szCs w:val="20"/>
              </w:rPr>
            </w:pPr>
          </w:p>
        </w:tc>
        <w:tc>
          <w:tcPr>
            <w:tcW w:w="139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center"/>
              <w:rPr>
                <w:rFonts w:ascii="Times New Roman" w:hAnsi="Times New Roman" w:cs="Times New Roman"/>
                <w:b/>
                <w:bCs/>
                <w:sz w:val="20"/>
                <w:szCs w:val="20"/>
              </w:rPr>
            </w:pPr>
            <w:r w:rsidRPr="00CA54D0">
              <w:rPr>
                <w:rFonts w:ascii="Times New Roman" w:hAnsi="Times New Roman" w:cs="Times New Roman"/>
                <w:b/>
                <w:bCs/>
                <w:sz w:val="20"/>
                <w:szCs w:val="20"/>
              </w:rPr>
              <w:t>schválený</w:t>
            </w:r>
          </w:p>
        </w:tc>
        <w:tc>
          <w:tcPr>
            <w:tcW w:w="1303"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center"/>
              <w:rPr>
                <w:rFonts w:ascii="Times New Roman" w:hAnsi="Times New Roman" w:cs="Times New Roman"/>
                <w:b/>
                <w:bCs/>
                <w:sz w:val="20"/>
                <w:szCs w:val="20"/>
              </w:rPr>
            </w:pPr>
            <w:r w:rsidRPr="00CA54D0">
              <w:rPr>
                <w:rFonts w:ascii="Times New Roman" w:hAnsi="Times New Roman" w:cs="Times New Roman"/>
                <w:b/>
                <w:bCs/>
                <w:sz w:val="20"/>
                <w:szCs w:val="20"/>
              </w:rPr>
              <w:t>upravený</w:t>
            </w:r>
          </w:p>
        </w:tc>
        <w:tc>
          <w:tcPr>
            <w:tcW w:w="1260" w:type="dxa"/>
            <w:vMerge/>
            <w:tcBorders>
              <w:top w:val="single" w:sz="4" w:space="0" w:color="auto"/>
              <w:left w:val="single" w:sz="4" w:space="0" w:color="auto"/>
              <w:bottom w:val="single" w:sz="4" w:space="0" w:color="000000"/>
              <w:right w:val="single" w:sz="8" w:space="0" w:color="auto"/>
              <w:tl2br w:val="nil"/>
              <w:tr2bl w:val="nil"/>
            </w:tcBorders>
            <w:textDirection w:val="lrTb"/>
            <w:vAlign w:val="center"/>
          </w:tcPr>
          <w:p w:rsidR="00DE3128" w:rsidRPr="00CA54D0" w:rsidP="00DE3128">
            <w:pPr>
              <w:rPr>
                <w:rFonts w:ascii="Times New Roman" w:hAnsi="Times New Roman" w:cs="Times New Roman"/>
                <w:b/>
                <w:bCs/>
                <w:sz w:val="20"/>
                <w:szCs w:val="20"/>
              </w:rPr>
            </w:pPr>
          </w:p>
        </w:tc>
      </w:tr>
      <w:tr>
        <w:tblPrEx>
          <w:tblW w:w="9060" w:type="dxa"/>
          <w:tblInd w:w="53" w:type="dxa"/>
          <w:tblCellMar>
            <w:left w:w="70" w:type="dxa"/>
            <w:right w:w="70" w:type="dxa"/>
          </w:tblCellMar>
        </w:tblPrEx>
        <w:trPr>
          <w:trHeight w:val="327"/>
        </w:trPr>
        <w:tc>
          <w:tcPr>
            <w:tcW w:w="3977" w:type="dxa"/>
            <w:tcBorders>
              <w:top w:val="nil"/>
              <w:left w:val="single" w:sz="8" w:space="0" w:color="auto"/>
              <w:bottom w:val="single" w:sz="4"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sz w:val="20"/>
                <w:szCs w:val="20"/>
              </w:rPr>
            </w:pPr>
            <w:r w:rsidRPr="00CA54D0">
              <w:rPr>
                <w:rFonts w:ascii="Times New Roman" w:hAnsi="Times New Roman" w:cs="Times New Roman"/>
                <w:sz w:val="20"/>
                <w:szCs w:val="20"/>
              </w:rPr>
              <w:t>Ministerstvo spravodlivosti SR</w:t>
            </w:r>
          </w:p>
        </w:tc>
        <w:tc>
          <w:tcPr>
            <w:tcW w:w="1123"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0,0</w:t>
            </w:r>
          </w:p>
        </w:tc>
        <w:tc>
          <w:tcPr>
            <w:tcW w:w="139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0,0</w:t>
            </w:r>
          </w:p>
        </w:tc>
        <w:tc>
          <w:tcPr>
            <w:tcW w:w="1303"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0,0</w:t>
            </w:r>
          </w:p>
        </w:tc>
        <w:tc>
          <w:tcPr>
            <w:tcW w:w="1260" w:type="dxa"/>
            <w:tcBorders>
              <w:top w:val="nil"/>
              <w:left w:val="nil"/>
              <w:bottom w:val="single" w:sz="4"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0,3</w:t>
            </w:r>
          </w:p>
        </w:tc>
      </w:tr>
      <w:tr>
        <w:tblPrEx>
          <w:tblW w:w="9060" w:type="dxa"/>
          <w:tblInd w:w="53" w:type="dxa"/>
          <w:tblCellMar>
            <w:left w:w="70" w:type="dxa"/>
            <w:right w:w="70" w:type="dxa"/>
          </w:tblCellMar>
        </w:tblPrEx>
        <w:trPr>
          <w:trHeight w:val="327"/>
        </w:trPr>
        <w:tc>
          <w:tcPr>
            <w:tcW w:w="3977" w:type="dxa"/>
            <w:tcBorders>
              <w:top w:val="nil"/>
              <w:left w:val="single" w:sz="8" w:space="0" w:color="auto"/>
              <w:bottom w:val="single" w:sz="4"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sz w:val="20"/>
                <w:szCs w:val="20"/>
              </w:rPr>
            </w:pPr>
            <w:r w:rsidRPr="00CA54D0">
              <w:rPr>
                <w:rFonts w:ascii="Times New Roman" w:hAnsi="Times New Roman" w:cs="Times New Roman"/>
                <w:sz w:val="20"/>
                <w:szCs w:val="20"/>
              </w:rPr>
              <w:t>Ministerstvo životného prostredia SR</w:t>
            </w:r>
          </w:p>
        </w:tc>
        <w:tc>
          <w:tcPr>
            <w:tcW w:w="1123"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224,9</w:t>
            </w:r>
          </w:p>
        </w:tc>
        <w:tc>
          <w:tcPr>
            <w:tcW w:w="139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3 870,9</w:t>
            </w:r>
          </w:p>
        </w:tc>
        <w:tc>
          <w:tcPr>
            <w:tcW w:w="1303"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878,8</w:t>
            </w:r>
          </w:p>
        </w:tc>
        <w:tc>
          <w:tcPr>
            <w:tcW w:w="1260" w:type="dxa"/>
            <w:tcBorders>
              <w:top w:val="nil"/>
              <w:left w:val="nil"/>
              <w:bottom w:val="single" w:sz="4"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878,8</w:t>
            </w:r>
          </w:p>
        </w:tc>
      </w:tr>
      <w:tr>
        <w:tblPrEx>
          <w:tblW w:w="9060" w:type="dxa"/>
          <w:tblInd w:w="53" w:type="dxa"/>
          <w:tblCellMar>
            <w:left w:w="70" w:type="dxa"/>
            <w:right w:w="70" w:type="dxa"/>
          </w:tblCellMar>
        </w:tblPrEx>
        <w:trPr>
          <w:trHeight w:val="327"/>
        </w:trPr>
        <w:tc>
          <w:tcPr>
            <w:tcW w:w="3977" w:type="dxa"/>
            <w:tcBorders>
              <w:top w:val="nil"/>
              <w:left w:val="single" w:sz="8" w:space="0" w:color="auto"/>
              <w:bottom w:val="single" w:sz="4"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sz w:val="20"/>
                <w:szCs w:val="20"/>
              </w:rPr>
            </w:pPr>
            <w:r w:rsidRPr="00CA54D0">
              <w:rPr>
                <w:rFonts w:ascii="Times New Roman" w:hAnsi="Times New Roman" w:cs="Times New Roman"/>
                <w:sz w:val="20"/>
                <w:szCs w:val="20"/>
              </w:rPr>
              <w:t>Ministerstvo školstva SR</w:t>
            </w:r>
          </w:p>
        </w:tc>
        <w:tc>
          <w:tcPr>
            <w:tcW w:w="1123"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67,6</w:t>
            </w:r>
          </w:p>
        </w:tc>
        <w:tc>
          <w:tcPr>
            <w:tcW w:w="139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646,1</w:t>
            </w:r>
          </w:p>
        </w:tc>
        <w:tc>
          <w:tcPr>
            <w:tcW w:w="1303"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351,6</w:t>
            </w:r>
          </w:p>
        </w:tc>
        <w:tc>
          <w:tcPr>
            <w:tcW w:w="1260" w:type="dxa"/>
            <w:tcBorders>
              <w:top w:val="nil"/>
              <w:left w:val="nil"/>
              <w:bottom w:val="single" w:sz="4"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158,3</w:t>
            </w:r>
          </w:p>
        </w:tc>
      </w:tr>
      <w:tr>
        <w:tblPrEx>
          <w:tblW w:w="9060" w:type="dxa"/>
          <w:tblInd w:w="53" w:type="dxa"/>
          <w:tblCellMar>
            <w:left w:w="70" w:type="dxa"/>
            <w:right w:w="70" w:type="dxa"/>
          </w:tblCellMar>
        </w:tblPrEx>
        <w:trPr>
          <w:trHeight w:val="327"/>
        </w:trPr>
        <w:tc>
          <w:tcPr>
            <w:tcW w:w="3977" w:type="dxa"/>
            <w:tcBorders>
              <w:top w:val="nil"/>
              <w:left w:val="single" w:sz="8" w:space="0" w:color="auto"/>
              <w:bottom w:val="single" w:sz="4"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sz w:val="20"/>
                <w:szCs w:val="20"/>
              </w:rPr>
            </w:pPr>
            <w:r w:rsidRPr="00CA54D0">
              <w:rPr>
                <w:rFonts w:ascii="Times New Roman" w:hAnsi="Times New Roman" w:cs="Times New Roman"/>
                <w:sz w:val="20"/>
                <w:szCs w:val="20"/>
              </w:rPr>
              <w:t>Ministerstvo práce, soc.</w:t>
            </w:r>
            <w:r w:rsidR="00CA54D0">
              <w:rPr>
                <w:rFonts w:ascii="Times New Roman" w:hAnsi="Times New Roman" w:cs="Times New Roman"/>
                <w:sz w:val="20"/>
                <w:szCs w:val="20"/>
              </w:rPr>
              <w:t xml:space="preserve"> </w:t>
            </w:r>
            <w:r w:rsidRPr="00CA54D0">
              <w:rPr>
                <w:rFonts w:ascii="Times New Roman" w:hAnsi="Times New Roman" w:cs="Times New Roman"/>
                <w:sz w:val="20"/>
                <w:szCs w:val="20"/>
              </w:rPr>
              <w:t>vecí a rodiny SR</w:t>
            </w:r>
          </w:p>
        </w:tc>
        <w:tc>
          <w:tcPr>
            <w:tcW w:w="1123"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1 673,3</w:t>
            </w:r>
          </w:p>
        </w:tc>
        <w:tc>
          <w:tcPr>
            <w:tcW w:w="139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2 391,7</w:t>
            </w:r>
          </w:p>
        </w:tc>
        <w:tc>
          <w:tcPr>
            <w:tcW w:w="1303"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2 343,8</w:t>
            </w:r>
          </w:p>
        </w:tc>
        <w:tc>
          <w:tcPr>
            <w:tcW w:w="1260" w:type="dxa"/>
            <w:tcBorders>
              <w:top w:val="nil"/>
              <w:left w:val="nil"/>
              <w:bottom w:val="single" w:sz="4"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2 587,1</w:t>
            </w:r>
          </w:p>
        </w:tc>
      </w:tr>
      <w:tr>
        <w:tblPrEx>
          <w:tblW w:w="9060" w:type="dxa"/>
          <w:tblInd w:w="53" w:type="dxa"/>
          <w:tblCellMar>
            <w:left w:w="70" w:type="dxa"/>
            <w:right w:w="70" w:type="dxa"/>
          </w:tblCellMar>
        </w:tblPrEx>
        <w:trPr>
          <w:trHeight w:val="327"/>
        </w:trPr>
        <w:tc>
          <w:tcPr>
            <w:tcW w:w="3977" w:type="dxa"/>
            <w:tcBorders>
              <w:top w:val="nil"/>
              <w:left w:val="single" w:sz="8" w:space="0" w:color="auto"/>
              <w:bottom w:val="single" w:sz="4"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sz w:val="20"/>
                <w:szCs w:val="20"/>
              </w:rPr>
            </w:pPr>
            <w:r w:rsidRPr="00CA54D0">
              <w:rPr>
                <w:rFonts w:ascii="Times New Roman" w:hAnsi="Times New Roman" w:cs="Times New Roman"/>
                <w:sz w:val="20"/>
                <w:szCs w:val="20"/>
              </w:rPr>
              <w:t>Ministerstvo hospodárstva SR</w:t>
            </w:r>
          </w:p>
        </w:tc>
        <w:tc>
          <w:tcPr>
            <w:tcW w:w="1123"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246,3</w:t>
            </w:r>
          </w:p>
        </w:tc>
        <w:tc>
          <w:tcPr>
            <w:tcW w:w="139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1 460,9</w:t>
            </w:r>
          </w:p>
        </w:tc>
        <w:tc>
          <w:tcPr>
            <w:tcW w:w="1303"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1 318,1</w:t>
            </w:r>
          </w:p>
        </w:tc>
        <w:tc>
          <w:tcPr>
            <w:tcW w:w="1260" w:type="dxa"/>
            <w:tcBorders>
              <w:top w:val="nil"/>
              <w:left w:val="nil"/>
              <w:bottom w:val="single" w:sz="4"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1 228,2</w:t>
            </w:r>
          </w:p>
        </w:tc>
      </w:tr>
      <w:tr>
        <w:tblPrEx>
          <w:tblW w:w="9060" w:type="dxa"/>
          <w:tblInd w:w="53" w:type="dxa"/>
          <w:tblCellMar>
            <w:left w:w="70" w:type="dxa"/>
            <w:right w:w="70" w:type="dxa"/>
          </w:tblCellMar>
        </w:tblPrEx>
        <w:trPr>
          <w:trHeight w:val="327"/>
        </w:trPr>
        <w:tc>
          <w:tcPr>
            <w:tcW w:w="3977" w:type="dxa"/>
            <w:tcBorders>
              <w:top w:val="nil"/>
              <w:left w:val="single" w:sz="8" w:space="0" w:color="auto"/>
              <w:bottom w:val="single" w:sz="4"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sz w:val="20"/>
                <w:szCs w:val="20"/>
              </w:rPr>
            </w:pPr>
            <w:r w:rsidRPr="00CA54D0">
              <w:rPr>
                <w:rFonts w:ascii="Times New Roman" w:hAnsi="Times New Roman" w:cs="Times New Roman"/>
                <w:sz w:val="20"/>
                <w:szCs w:val="20"/>
              </w:rPr>
              <w:t>Ministerstvo pôdohospodárstva SR</w:t>
            </w:r>
          </w:p>
        </w:tc>
        <w:tc>
          <w:tcPr>
            <w:tcW w:w="1123"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9 834,5</w:t>
            </w:r>
          </w:p>
        </w:tc>
        <w:tc>
          <w:tcPr>
            <w:tcW w:w="139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12 433,6</w:t>
            </w:r>
          </w:p>
        </w:tc>
        <w:tc>
          <w:tcPr>
            <w:tcW w:w="1303"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11 092,5</w:t>
            </w:r>
          </w:p>
        </w:tc>
        <w:tc>
          <w:tcPr>
            <w:tcW w:w="1260" w:type="dxa"/>
            <w:tcBorders>
              <w:top w:val="nil"/>
              <w:left w:val="nil"/>
              <w:bottom w:val="single" w:sz="4"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11 078,1</w:t>
            </w:r>
          </w:p>
        </w:tc>
      </w:tr>
      <w:tr>
        <w:tblPrEx>
          <w:tblW w:w="9060" w:type="dxa"/>
          <w:tblInd w:w="53" w:type="dxa"/>
          <w:tblCellMar>
            <w:left w:w="70" w:type="dxa"/>
            <w:right w:w="70" w:type="dxa"/>
          </w:tblCellMar>
        </w:tblPrEx>
        <w:trPr>
          <w:trHeight w:val="327"/>
        </w:trPr>
        <w:tc>
          <w:tcPr>
            <w:tcW w:w="3977" w:type="dxa"/>
            <w:tcBorders>
              <w:top w:val="nil"/>
              <w:left w:val="single" w:sz="8" w:space="0" w:color="auto"/>
              <w:bottom w:val="single" w:sz="4"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sz w:val="20"/>
                <w:szCs w:val="20"/>
              </w:rPr>
            </w:pPr>
            <w:r w:rsidRPr="00CA54D0">
              <w:rPr>
                <w:rFonts w:ascii="Times New Roman" w:hAnsi="Times New Roman" w:cs="Times New Roman"/>
                <w:sz w:val="20"/>
                <w:szCs w:val="20"/>
              </w:rPr>
              <w:t>Ministerstvo výstavby a reg.</w:t>
            </w:r>
            <w:r w:rsidR="00CA54D0">
              <w:rPr>
                <w:rFonts w:ascii="Times New Roman" w:hAnsi="Times New Roman" w:cs="Times New Roman"/>
                <w:sz w:val="20"/>
                <w:szCs w:val="20"/>
              </w:rPr>
              <w:t xml:space="preserve"> </w:t>
            </w:r>
            <w:r w:rsidRPr="00CA54D0">
              <w:rPr>
                <w:rFonts w:ascii="Times New Roman" w:hAnsi="Times New Roman" w:cs="Times New Roman"/>
                <w:sz w:val="20"/>
                <w:szCs w:val="20"/>
              </w:rPr>
              <w:t xml:space="preserve">rozvoja SR </w:t>
            </w:r>
          </w:p>
        </w:tc>
        <w:tc>
          <w:tcPr>
            <w:tcW w:w="1123"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368,0</w:t>
            </w:r>
          </w:p>
        </w:tc>
        <w:tc>
          <w:tcPr>
            <w:tcW w:w="139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1 610,4</w:t>
            </w:r>
          </w:p>
        </w:tc>
        <w:tc>
          <w:tcPr>
            <w:tcW w:w="1303"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1 388,9</w:t>
            </w:r>
          </w:p>
        </w:tc>
        <w:tc>
          <w:tcPr>
            <w:tcW w:w="1260" w:type="dxa"/>
            <w:tcBorders>
              <w:top w:val="nil"/>
              <w:left w:val="nil"/>
              <w:bottom w:val="single" w:sz="4"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1 311,9</w:t>
            </w:r>
          </w:p>
        </w:tc>
      </w:tr>
      <w:tr>
        <w:tblPrEx>
          <w:tblW w:w="9060" w:type="dxa"/>
          <w:tblInd w:w="53" w:type="dxa"/>
          <w:tblCellMar>
            <w:left w:w="70" w:type="dxa"/>
            <w:right w:w="70" w:type="dxa"/>
          </w:tblCellMar>
        </w:tblPrEx>
        <w:trPr>
          <w:trHeight w:val="327"/>
        </w:trPr>
        <w:tc>
          <w:tcPr>
            <w:tcW w:w="3977" w:type="dxa"/>
            <w:tcBorders>
              <w:top w:val="nil"/>
              <w:left w:val="single" w:sz="8" w:space="0" w:color="auto"/>
              <w:bottom w:val="single" w:sz="4"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sz w:val="20"/>
                <w:szCs w:val="20"/>
              </w:rPr>
            </w:pPr>
            <w:r w:rsidRPr="00CA54D0">
              <w:rPr>
                <w:rFonts w:ascii="Times New Roman" w:hAnsi="Times New Roman" w:cs="Times New Roman"/>
                <w:sz w:val="20"/>
                <w:szCs w:val="20"/>
              </w:rPr>
              <w:t>Ministerstvo dopravy, pôšt a</w:t>
            </w:r>
            <w:r w:rsidR="00CA54D0">
              <w:rPr>
                <w:rFonts w:ascii="Times New Roman" w:hAnsi="Times New Roman" w:cs="Times New Roman"/>
                <w:sz w:val="20"/>
                <w:szCs w:val="20"/>
              </w:rPr>
              <w:t> </w:t>
            </w:r>
            <w:r w:rsidRPr="00CA54D0">
              <w:rPr>
                <w:rFonts w:ascii="Times New Roman" w:hAnsi="Times New Roman" w:cs="Times New Roman"/>
                <w:sz w:val="20"/>
                <w:szCs w:val="20"/>
              </w:rPr>
              <w:t>telekom.</w:t>
            </w:r>
            <w:r w:rsidR="00CA54D0">
              <w:rPr>
                <w:rFonts w:ascii="Times New Roman" w:hAnsi="Times New Roman" w:cs="Times New Roman"/>
                <w:sz w:val="20"/>
                <w:szCs w:val="20"/>
              </w:rPr>
              <w:t xml:space="preserve"> </w:t>
            </w:r>
            <w:r w:rsidRPr="00CA54D0">
              <w:rPr>
                <w:rFonts w:ascii="Times New Roman" w:hAnsi="Times New Roman" w:cs="Times New Roman"/>
                <w:sz w:val="20"/>
                <w:szCs w:val="20"/>
              </w:rPr>
              <w:t>SR</w:t>
            </w:r>
          </w:p>
        </w:tc>
        <w:tc>
          <w:tcPr>
            <w:tcW w:w="1123"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930,6</w:t>
            </w:r>
          </w:p>
        </w:tc>
        <w:tc>
          <w:tcPr>
            <w:tcW w:w="139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4 984,5</w:t>
            </w:r>
          </w:p>
        </w:tc>
        <w:tc>
          <w:tcPr>
            <w:tcW w:w="1303"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3 039,6</w:t>
            </w:r>
          </w:p>
        </w:tc>
        <w:tc>
          <w:tcPr>
            <w:tcW w:w="1260" w:type="dxa"/>
            <w:tcBorders>
              <w:top w:val="nil"/>
              <w:left w:val="nil"/>
              <w:bottom w:val="single" w:sz="4"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2 739,3</w:t>
            </w:r>
          </w:p>
        </w:tc>
      </w:tr>
      <w:tr>
        <w:tblPrEx>
          <w:tblW w:w="9060" w:type="dxa"/>
          <w:tblInd w:w="53" w:type="dxa"/>
          <w:tblCellMar>
            <w:left w:w="70" w:type="dxa"/>
            <w:right w:w="70" w:type="dxa"/>
          </w:tblCellMar>
        </w:tblPrEx>
        <w:trPr>
          <w:trHeight w:val="327"/>
        </w:trPr>
        <w:tc>
          <w:tcPr>
            <w:tcW w:w="3977" w:type="dxa"/>
            <w:tcBorders>
              <w:top w:val="nil"/>
              <w:left w:val="single" w:sz="8" w:space="0" w:color="auto"/>
              <w:bottom w:val="single" w:sz="4"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sz w:val="20"/>
                <w:szCs w:val="20"/>
              </w:rPr>
            </w:pPr>
            <w:r w:rsidRPr="00CA54D0">
              <w:rPr>
                <w:rFonts w:ascii="Times New Roman" w:hAnsi="Times New Roman" w:cs="Times New Roman"/>
                <w:sz w:val="20"/>
                <w:szCs w:val="20"/>
              </w:rPr>
              <w:t>Všeobecná pokladničná správa</w:t>
            </w:r>
          </w:p>
        </w:tc>
        <w:tc>
          <w:tcPr>
            <w:tcW w:w="1123"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524,1</w:t>
            </w:r>
          </w:p>
        </w:tc>
        <w:tc>
          <w:tcPr>
            <w:tcW w:w="1397"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482,2</w:t>
            </w:r>
          </w:p>
        </w:tc>
        <w:tc>
          <w:tcPr>
            <w:tcW w:w="1303" w:type="dxa"/>
            <w:tcBorders>
              <w:top w:val="nil"/>
              <w:left w:val="nil"/>
              <w:bottom w:val="single" w:sz="4"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482,2</w:t>
            </w:r>
          </w:p>
        </w:tc>
        <w:tc>
          <w:tcPr>
            <w:tcW w:w="1260" w:type="dxa"/>
            <w:tcBorders>
              <w:top w:val="nil"/>
              <w:left w:val="nil"/>
              <w:bottom w:val="single" w:sz="4"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sz w:val="20"/>
                <w:szCs w:val="20"/>
              </w:rPr>
            </w:pPr>
            <w:r w:rsidRPr="00CA54D0">
              <w:rPr>
                <w:rFonts w:ascii="Times New Roman" w:hAnsi="Times New Roman" w:cs="Times New Roman"/>
                <w:sz w:val="20"/>
                <w:szCs w:val="20"/>
              </w:rPr>
              <w:t>438,7</w:t>
            </w:r>
          </w:p>
        </w:tc>
      </w:tr>
      <w:tr>
        <w:tblPrEx>
          <w:tblW w:w="9060" w:type="dxa"/>
          <w:tblInd w:w="53" w:type="dxa"/>
          <w:tblCellMar>
            <w:left w:w="70" w:type="dxa"/>
            <w:right w:w="70" w:type="dxa"/>
          </w:tblCellMar>
        </w:tblPrEx>
        <w:trPr>
          <w:trHeight w:val="327"/>
        </w:trPr>
        <w:tc>
          <w:tcPr>
            <w:tcW w:w="3977" w:type="dxa"/>
            <w:tcBorders>
              <w:top w:val="single" w:sz="4" w:space="0" w:color="auto"/>
              <w:left w:val="single" w:sz="8" w:space="0" w:color="auto"/>
              <w:bottom w:val="double" w:sz="6" w:space="0" w:color="auto"/>
              <w:right w:val="single" w:sz="4" w:space="0" w:color="auto"/>
              <w:tl2br w:val="nil"/>
              <w:tr2bl w:val="nil"/>
            </w:tcBorders>
            <w:noWrap/>
            <w:textDirection w:val="lrTb"/>
            <w:vAlign w:val="bottom"/>
          </w:tcPr>
          <w:p w:rsidR="00DE3128" w:rsidRPr="00CA54D0" w:rsidP="00DE3128">
            <w:pPr>
              <w:rPr>
                <w:rFonts w:ascii="Times New Roman" w:hAnsi="Times New Roman" w:cs="Times New Roman"/>
                <w:b/>
                <w:bCs/>
                <w:sz w:val="20"/>
                <w:szCs w:val="20"/>
              </w:rPr>
            </w:pPr>
            <w:r w:rsidRPr="00CA54D0">
              <w:rPr>
                <w:rFonts w:ascii="Times New Roman" w:hAnsi="Times New Roman" w:cs="Times New Roman"/>
                <w:b/>
                <w:bCs/>
                <w:sz w:val="20"/>
                <w:szCs w:val="20"/>
              </w:rPr>
              <w:t>Spolu príjmy z rozpočtu EÚ</w:t>
            </w:r>
          </w:p>
        </w:tc>
        <w:tc>
          <w:tcPr>
            <w:tcW w:w="1123" w:type="dxa"/>
            <w:tcBorders>
              <w:top w:val="single" w:sz="4" w:space="0" w:color="auto"/>
              <w:left w:val="nil"/>
              <w:bottom w:val="double" w:sz="6"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13 869,3</w:t>
            </w:r>
          </w:p>
        </w:tc>
        <w:tc>
          <w:tcPr>
            <w:tcW w:w="1397" w:type="dxa"/>
            <w:tcBorders>
              <w:top w:val="single" w:sz="4" w:space="0" w:color="auto"/>
              <w:left w:val="nil"/>
              <w:bottom w:val="double" w:sz="6"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27 880,3</w:t>
            </w:r>
          </w:p>
        </w:tc>
        <w:tc>
          <w:tcPr>
            <w:tcW w:w="1303" w:type="dxa"/>
            <w:tcBorders>
              <w:top w:val="single" w:sz="4" w:space="0" w:color="auto"/>
              <w:left w:val="nil"/>
              <w:bottom w:val="double" w:sz="6" w:space="0" w:color="auto"/>
              <w:right w:val="single" w:sz="4"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20 895,5</w:t>
            </w:r>
          </w:p>
        </w:tc>
        <w:tc>
          <w:tcPr>
            <w:tcW w:w="1260" w:type="dxa"/>
            <w:tcBorders>
              <w:top w:val="single" w:sz="4" w:space="0" w:color="auto"/>
              <w:left w:val="nil"/>
              <w:bottom w:val="double" w:sz="6" w:space="0" w:color="auto"/>
              <w:right w:val="single" w:sz="8" w:space="0" w:color="auto"/>
              <w:tl2br w:val="nil"/>
              <w:tr2bl w:val="nil"/>
            </w:tcBorders>
            <w:noWrap/>
            <w:textDirection w:val="lrTb"/>
            <w:vAlign w:val="bottom"/>
          </w:tcPr>
          <w:p w:rsidR="00DE3128" w:rsidRPr="00CA54D0" w:rsidP="00DE3128">
            <w:pPr>
              <w:jc w:val="right"/>
              <w:rPr>
                <w:rFonts w:ascii="Times New Roman" w:hAnsi="Times New Roman" w:cs="Times New Roman"/>
                <w:b/>
                <w:bCs/>
                <w:sz w:val="20"/>
                <w:szCs w:val="20"/>
              </w:rPr>
            </w:pPr>
            <w:r w:rsidRPr="00CA54D0">
              <w:rPr>
                <w:rFonts w:ascii="Times New Roman" w:hAnsi="Times New Roman" w:cs="Times New Roman"/>
                <w:b/>
                <w:bCs/>
                <w:sz w:val="20"/>
                <w:szCs w:val="20"/>
              </w:rPr>
              <w:t>20 420,7</w:t>
            </w:r>
          </w:p>
        </w:tc>
      </w:tr>
    </w:tbl>
    <w:p w:rsidR="00DE3128" w:rsidRPr="00972698" w:rsidP="00DE3128">
      <w:pPr>
        <w:spacing w:before="120" w:line="360" w:lineRule="auto"/>
        <w:jc w:val="both"/>
        <w:rPr>
          <w:rFonts w:ascii="Times New Roman" w:hAnsi="Times New Roman" w:cs="Times New Roman"/>
          <w:sz w:val="20"/>
          <w:szCs w:val="20"/>
        </w:rPr>
      </w:pPr>
      <w:r w:rsidRPr="00972698">
        <w:rPr>
          <w:rFonts w:ascii="Times New Roman" w:hAnsi="Times New Roman" w:cs="Times New Roman"/>
          <w:sz w:val="20"/>
          <w:szCs w:val="20"/>
        </w:rPr>
        <w:t>Zdroj: Ministerstvo financií SR</w:t>
      </w:r>
    </w:p>
    <w:p w:rsidR="00DE3128" w:rsidP="00DE3128">
      <w:pPr>
        <w:spacing w:before="120" w:after="120" w:line="360" w:lineRule="auto"/>
        <w:ind w:firstLine="709"/>
        <w:jc w:val="both"/>
        <w:rPr>
          <w:rFonts w:ascii="Times New Roman" w:hAnsi="Times New Roman" w:cs="Times New Roman"/>
        </w:rPr>
      </w:pPr>
    </w:p>
    <w:p w:rsidR="00DE3128" w:rsidP="00DE12CB">
      <w:pPr>
        <w:spacing w:before="120" w:after="120" w:line="360" w:lineRule="auto"/>
        <w:ind w:firstLine="709"/>
        <w:jc w:val="both"/>
        <w:rPr>
          <w:rFonts w:ascii="Times New Roman" w:hAnsi="Times New Roman" w:cs="Times New Roman"/>
        </w:rPr>
      </w:pPr>
      <w:r>
        <w:rPr>
          <w:rFonts w:ascii="Times New Roman" w:hAnsi="Times New Roman" w:cs="Times New Roman"/>
        </w:rPr>
        <w:t>Podrobné hodnotenie príjmov štátneho rozpočtu zo všeobecného rozpočtu EÚ je uvedené v samostatnej časti t</w:t>
      </w:r>
      <w:r>
        <w:rPr>
          <w:rFonts w:ascii="Times New Roman" w:hAnsi="Times New Roman" w:cs="Times New Roman"/>
        </w:rPr>
        <w:t>ohto materiálu v bode 2.3.</w:t>
      </w:r>
    </w:p>
    <w:p w:rsidR="00672D42" w:rsidRPr="00E07075" w:rsidP="00672D42">
      <w:pPr>
        <w:spacing w:before="360"/>
        <w:jc w:val="center"/>
        <w:rPr>
          <w:rFonts w:ascii="Times New Roman" w:hAnsi="Times New Roman" w:cs="Times New Roman"/>
          <w:b/>
        </w:rPr>
      </w:pPr>
      <w:r w:rsidR="00437FA0">
        <w:rPr>
          <w:rFonts w:ascii="Times New Roman" w:hAnsi="Times New Roman" w:cs="Times New Roman"/>
          <w:b/>
        </w:rPr>
        <w:br w:type="page"/>
      </w:r>
      <w:r w:rsidRPr="00E07075">
        <w:rPr>
          <w:rFonts w:ascii="Times New Roman" w:hAnsi="Times New Roman" w:cs="Times New Roman"/>
          <w:b/>
        </w:rPr>
        <w:t>2.2. Výdavky štátneho rozpočtu</w:t>
      </w:r>
    </w:p>
    <w:p w:rsidR="00672D42" w:rsidRPr="00E07075" w:rsidP="00672D42">
      <w:pPr>
        <w:rPr>
          <w:rFonts w:ascii="Times New Roman" w:hAnsi="Times New Roman" w:cs="Times New Roman"/>
          <w:b/>
        </w:rPr>
      </w:pPr>
    </w:p>
    <w:p w:rsidR="00672D42" w:rsidRPr="00E07075" w:rsidP="00672D42">
      <w:pPr>
        <w:spacing w:line="360" w:lineRule="auto"/>
        <w:ind w:firstLine="708"/>
        <w:jc w:val="both"/>
        <w:rPr>
          <w:rFonts w:ascii="Times New Roman" w:hAnsi="Times New Roman" w:cs="Times New Roman"/>
        </w:rPr>
      </w:pPr>
      <w:r w:rsidRPr="00E07075">
        <w:rPr>
          <w:rFonts w:ascii="Times New Roman" w:hAnsi="Times New Roman" w:cs="Times New Roman"/>
        </w:rPr>
        <w:t xml:space="preserve">Štátny rozpočet ako súčasť rozpočtu verejnej správy vychádzal z Rozpočtu verejnej správy na roky 2005-2007 </w:t>
      </w:r>
      <w:r>
        <w:rPr>
          <w:rFonts w:ascii="Times New Roman" w:hAnsi="Times New Roman" w:cs="Times New Roman"/>
        </w:rPr>
        <w:t>schváleného</w:t>
      </w:r>
      <w:r w:rsidRPr="00E07075">
        <w:rPr>
          <w:rFonts w:ascii="Times New Roman" w:hAnsi="Times New Roman" w:cs="Times New Roman"/>
        </w:rPr>
        <w:t xml:space="preserve"> v októbri roku 2004 a z Konvergenčného programu Slovenska pre roky 2004–2010 z novembra 2004. Postavený bol na predpokladoch, ktoré potvrdzujú zdravý stav slovenskej ekonomiky. Hlavným cieľom bolo pokračovať v hospodárskej politike smerujúcej k splneniu cieľov v oblasti verejných financií, podporovať rast ekonomiky, dynamický rast slovenského hospodárstva, čo sa odráža na zlepšovaní životnej úrovne obyvateľstva. Rozhodujúcou otázkou pri tvorbe rozpočtu bola štruktúra výdavkov. Rozdelenie financií medzi jednotlivé oblasti malo reflektovať politické priority vlády, ktoré boli jednoznačne formulované v Stratégii konkurencieschopnosti Slovenska do roku 2010, ktorú vláda schválila vo februári 2005.</w:t>
      </w:r>
    </w:p>
    <w:p w:rsidR="00672D42" w:rsidRPr="00E07075" w:rsidP="00672D42">
      <w:pPr>
        <w:spacing w:line="360" w:lineRule="auto"/>
        <w:ind w:firstLine="708"/>
        <w:jc w:val="both"/>
        <w:rPr>
          <w:rFonts w:ascii="Times New Roman" w:hAnsi="Times New Roman" w:cs="Times New Roman"/>
        </w:rPr>
      </w:pPr>
      <w:r w:rsidRPr="00E07075">
        <w:rPr>
          <w:rFonts w:ascii="Times New Roman" w:hAnsi="Times New Roman" w:cs="Times New Roman"/>
        </w:rPr>
        <w:t>Čoraz väčšiu úlohu v kvalite verejných financií zohrávajú jednotlivé kapitoly, ktorých kompetencie, ale súčasne aj zodpovednosť, v rozpočtovom</w:t>
      </w:r>
      <w:r w:rsidRPr="00E07075">
        <w:rPr>
          <w:rFonts w:ascii="Times New Roman" w:hAnsi="Times New Roman" w:cs="Times New Roman"/>
        </w:rPr>
        <w:t xml:space="preserve"> procese postupne narastajú. </w:t>
      </w:r>
    </w:p>
    <w:p w:rsidR="00672D42" w:rsidP="00672D42">
      <w:pPr>
        <w:spacing w:line="360" w:lineRule="auto"/>
        <w:ind w:firstLine="708"/>
        <w:jc w:val="both"/>
        <w:rPr>
          <w:rFonts w:ascii="Times New Roman" w:hAnsi="Times New Roman" w:cs="Times New Roman"/>
        </w:rPr>
      </w:pPr>
      <w:r w:rsidRPr="00E07075">
        <w:rPr>
          <w:rFonts w:ascii="Times New Roman" w:hAnsi="Times New Roman" w:cs="Times New Roman"/>
        </w:rPr>
        <w:t>Pri príprave návrhu rozpočtu sa významne využívalo programové rozpočtovanie, ktoré by malo byť v nasledujúcich rokoch hlavným nástrojom na zefektívňovanie výdavkov</w:t>
      </w:r>
      <w:r>
        <w:rPr>
          <w:rFonts w:ascii="Times New Roman" w:hAnsi="Times New Roman" w:cs="Times New Roman"/>
        </w:rPr>
        <w:t xml:space="preserve"> a výrazne prispelo k transparentnosti štátneho rozpočtu a k in</w:t>
      </w:r>
      <w:r>
        <w:rPr>
          <w:rFonts w:ascii="Times New Roman" w:hAnsi="Times New Roman" w:cs="Times New Roman"/>
        </w:rPr>
        <w:t>formovanosti o tom, do ktorých oblastí smerujú jeho zdroje.</w:t>
      </w:r>
    </w:p>
    <w:p w:rsidR="00672D42" w:rsidP="00672D42">
      <w:pPr>
        <w:spacing w:line="360" w:lineRule="auto"/>
        <w:ind w:firstLine="708"/>
        <w:jc w:val="both"/>
        <w:rPr>
          <w:rFonts w:ascii="Times New Roman" w:hAnsi="Times New Roman" w:cs="Times New Roman"/>
        </w:rPr>
      </w:pPr>
      <w:r>
        <w:rPr>
          <w:rFonts w:ascii="Times New Roman" w:hAnsi="Times New Roman" w:cs="Times New Roman"/>
        </w:rPr>
        <w:t>V štátnom rozpočte na rok 2006, tak ako v predchádzajúcom roku,</w:t>
      </w:r>
      <w:r w:rsidRPr="00E07075">
        <w:rPr>
          <w:rFonts w:ascii="Times New Roman" w:hAnsi="Times New Roman" w:cs="Times New Roman"/>
        </w:rPr>
        <w:t xml:space="preserve"> </w:t>
      </w:r>
      <w:r>
        <w:rPr>
          <w:rFonts w:ascii="Times New Roman" w:hAnsi="Times New Roman" w:cs="Times New Roman"/>
        </w:rPr>
        <w:t>treba naďalej rešpektovať zákon</w:t>
      </w:r>
      <w:r w:rsidRPr="000229EA">
        <w:rPr>
          <w:rFonts w:ascii="Times New Roman" w:hAnsi="Times New Roman" w:cs="Times New Roman"/>
        </w:rPr>
        <w:t xml:space="preserve"> o rozpočtových pravidlách verejnej správy č. 523/2004 Z. z.</w:t>
      </w:r>
      <w:r>
        <w:rPr>
          <w:rFonts w:ascii="Times New Roman" w:hAnsi="Times New Roman" w:cs="Times New Roman"/>
        </w:rPr>
        <w:t>,</w:t>
      </w:r>
      <w:r w:rsidRPr="000229EA">
        <w:rPr>
          <w:rFonts w:ascii="Times New Roman" w:hAnsi="Times New Roman" w:cs="Times New Roman"/>
        </w:rPr>
        <w:t xml:space="preserve"> a to najmä: </w:t>
      </w:r>
    </w:p>
    <w:p w:rsidR="00672D42" w:rsidRPr="000229EA" w:rsidP="00076B55">
      <w:pPr>
        <w:numPr>
          <w:ilvl w:val="0"/>
          <w:numId w:val="86"/>
        </w:numPr>
        <w:tabs>
          <w:tab w:val="clear" w:pos="1260"/>
        </w:tabs>
        <w:spacing w:line="360" w:lineRule="auto"/>
        <w:ind w:left="360" w:firstLine="0"/>
        <w:jc w:val="both"/>
        <w:rPr>
          <w:rFonts w:ascii="Times New Roman" w:hAnsi="Times New Roman" w:cs="Times New Roman"/>
        </w:rPr>
      </w:pPr>
      <w:r w:rsidRPr="000229EA">
        <w:rPr>
          <w:rFonts w:ascii="Times New Roman" w:hAnsi="Times New Roman" w:cs="Times New Roman"/>
        </w:rPr>
        <w:t>viacročné rozpočtovani</w:t>
      </w:r>
      <w:r>
        <w:rPr>
          <w:rFonts w:ascii="Times New Roman" w:hAnsi="Times New Roman" w:cs="Times New Roman"/>
        </w:rPr>
        <w:t>e</w:t>
      </w:r>
      <w:r w:rsidRPr="000229EA">
        <w:rPr>
          <w:rFonts w:ascii="Times New Roman" w:hAnsi="Times New Roman" w:cs="Times New Roman"/>
        </w:rPr>
        <w:t xml:space="preserve"> v celej verejnej správe na tri rozpočtové roky,</w:t>
      </w:r>
    </w:p>
    <w:p w:rsidR="00672D42" w:rsidP="00076B55">
      <w:pPr>
        <w:numPr>
          <w:ilvl w:val="0"/>
          <w:numId w:val="86"/>
        </w:numPr>
        <w:tabs>
          <w:tab w:val="clear" w:pos="1260"/>
        </w:tabs>
        <w:spacing w:line="360" w:lineRule="auto"/>
        <w:ind w:left="0" w:firstLine="360"/>
        <w:jc w:val="both"/>
        <w:rPr>
          <w:rFonts w:ascii="Times New Roman" w:hAnsi="Times New Roman" w:cs="Times New Roman"/>
        </w:rPr>
      </w:pPr>
      <w:r>
        <w:rPr>
          <w:rFonts w:ascii="Times New Roman" w:hAnsi="Times New Roman" w:cs="Times New Roman"/>
        </w:rPr>
        <w:t>využívanie</w:t>
      </w:r>
      <w:r w:rsidRPr="000229EA">
        <w:rPr>
          <w:rFonts w:ascii="Times New Roman" w:hAnsi="Times New Roman" w:cs="Times New Roman"/>
        </w:rPr>
        <w:t xml:space="preserve"> programového rozpočtovania ako integrálnej súčasti rozpočtového procesu pri zostavovaní a realizácii štátneho rozpočtu,</w:t>
      </w:r>
    </w:p>
    <w:p w:rsidR="00672D42" w:rsidP="00076B55">
      <w:pPr>
        <w:numPr>
          <w:ilvl w:val="0"/>
          <w:numId w:val="86"/>
        </w:numPr>
        <w:tabs>
          <w:tab w:val="clear" w:pos="1260"/>
        </w:tabs>
        <w:spacing w:line="360" w:lineRule="auto"/>
        <w:ind w:left="0" w:firstLine="360"/>
        <w:jc w:val="both"/>
        <w:rPr>
          <w:rFonts w:ascii="Times New Roman" w:hAnsi="Times New Roman" w:cs="Times New Roman"/>
        </w:rPr>
      </w:pPr>
      <w:r w:rsidRPr="000229EA">
        <w:rPr>
          <w:rFonts w:ascii="Times New Roman" w:hAnsi="Times New Roman" w:cs="Times New Roman"/>
        </w:rPr>
        <w:t>čerpani</w:t>
      </w:r>
      <w:r>
        <w:rPr>
          <w:rFonts w:ascii="Times New Roman" w:hAnsi="Times New Roman" w:cs="Times New Roman"/>
        </w:rPr>
        <w:t>e</w:t>
      </w:r>
      <w:r w:rsidRPr="000229EA">
        <w:rPr>
          <w:rFonts w:ascii="Times New Roman" w:hAnsi="Times New Roman" w:cs="Times New Roman"/>
        </w:rPr>
        <w:t xml:space="preserve"> a vykazovani</w:t>
      </w:r>
      <w:r>
        <w:rPr>
          <w:rFonts w:ascii="Times New Roman" w:hAnsi="Times New Roman" w:cs="Times New Roman"/>
        </w:rPr>
        <w:t>e</w:t>
      </w:r>
      <w:r w:rsidRPr="000229EA">
        <w:rPr>
          <w:rFonts w:ascii="Times New Roman" w:hAnsi="Times New Roman" w:cs="Times New Roman"/>
        </w:rPr>
        <w:t xml:space="preserve"> prostriedkov štátneho rozpočtu aj v nasledujúcom rozpočtovom roku; to znamená, že rozpočtované výdavky štátneho rozpočtu na príslušný rok bude možné presunúť do nasledujúceho roku a budú reálnym výdavkom toho rozpočtového roku, v ktorom sa skutočne použijú. Zaviedla sa systémová možnosť čerpania finančných prostriedkov na kapitálové výdavky a prostriedky Európskej únie vrátane spolufinancovania zo štátneho rozpočtu aj nasledujúcich rokoch za podmienok ustanovených zákonom o rozpočtových pravidlách verejnej správy, ako aj možnosť použiť bežné transfery poskytnuté príjemcom v poslednom štvrťroku rozpočtového roka do konca prvého štvrťroka nasledujúceho roka,</w:t>
      </w:r>
    </w:p>
    <w:p w:rsidR="00850A45" w:rsidP="00665F7A">
      <w:pPr>
        <w:numPr>
          <w:ilvl w:val="0"/>
          <w:numId w:val="86"/>
        </w:numPr>
        <w:tabs>
          <w:tab w:val="clear" w:pos="1260"/>
        </w:tabs>
        <w:spacing w:line="360" w:lineRule="auto"/>
        <w:ind w:left="0" w:firstLine="360"/>
        <w:jc w:val="both"/>
        <w:rPr>
          <w:rFonts w:ascii="Times New Roman" w:hAnsi="Times New Roman" w:cs="Times New Roman"/>
        </w:rPr>
      </w:pPr>
      <w:r w:rsidRPr="000229EA" w:rsidR="00672D42">
        <w:rPr>
          <w:rFonts w:ascii="Times New Roman" w:hAnsi="Times New Roman" w:cs="Times New Roman"/>
        </w:rPr>
        <w:t>poskytovanie návratných zdrojov finan</w:t>
      </w:r>
      <w:r w:rsidR="00672D42">
        <w:rPr>
          <w:rFonts w:ascii="Times New Roman" w:hAnsi="Times New Roman" w:cs="Times New Roman"/>
        </w:rPr>
        <w:t>covania iba z finančných aktív.</w:t>
      </w:r>
    </w:p>
    <w:p w:rsidR="00665F7A" w:rsidRPr="00665F7A" w:rsidP="00665F7A">
      <w:pPr>
        <w:spacing w:line="360" w:lineRule="auto"/>
        <w:jc w:val="both"/>
        <w:rPr>
          <w:rFonts w:ascii="Times New Roman" w:hAnsi="Times New Roman" w:cs="Times New Roman"/>
        </w:rPr>
      </w:pPr>
    </w:p>
    <w:p w:rsidR="00672D42" w:rsidRPr="00921AF4" w:rsidP="00672D42">
      <w:pPr>
        <w:spacing w:before="240"/>
        <w:jc w:val="center"/>
        <w:rPr>
          <w:rFonts w:ascii="Times New Roman" w:hAnsi="Times New Roman" w:cs="Times New Roman"/>
          <w:b/>
        </w:rPr>
      </w:pPr>
      <w:r w:rsidRPr="00921AF4">
        <w:rPr>
          <w:rFonts w:ascii="Times New Roman" w:hAnsi="Times New Roman" w:cs="Times New Roman"/>
          <w:b/>
        </w:rPr>
        <w:t>2.2.1.Výdavky štátneho rozpočtu v ekonomickom členení</w:t>
      </w:r>
    </w:p>
    <w:p w:rsidR="00672D42" w:rsidP="00672D42">
      <w:pPr>
        <w:spacing w:before="240" w:line="360" w:lineRule="auto"/>
        <w:ind w:firstLine="709"/>
        <w:jc w:val="both"/>
        <w:rPr>
          <w:rFonts w:ascii="Times New Roman" w:hAnsi="Times New Roman" w:cs="Times New Roman"/>
        </w:rPr>
      </w:pPr>
      <w:r>
        <w:rPr>
          <w:rFonts w:ascii="Times New Roman" w:hAnsi="Times New Roman" w:cs="Times New Roman"/>
        </w:rPr>
        <w:t>Výdavky štátneho rozpočtu na rok 2006 sa rozpočtovali v objeme 330 185,1 mil. Sk. V porovnaní s rozpočtom výdavkov na rok 2005 predstavujú rozpočtované výdavky na rok 2006 nárast o 3,6 %. V priebehu roka sa však rozpočtovými opatreniami upravili na 323 949,7 mil. Sk;  zníženie schváleného rozpočtu celkových výdavkov ovplyvnila možnosť presunúť čerpanie rozpočtových prostriedkov v súlade so zákonom o rozpočtových pravidlách verejnej správy do nasledujúceho roka. Vzhľadom na to, že táto možnosť bola uplatnená už v roku 2005, je potrebné zdôrazniť, že tak ako bol vykonaný presun výdavkov z roku 2006 do roku 2007, súčasne sa v roku 2006 čerpali výdav</w:t>
      </w:r>
      <w:r w:rsidR="00665F7A">
        <w:rPr>
          <w:rFonts w:ascii="Times New Roman" w:hAnsi="Times New Roman" w:cs="Times New Roman"/>
        </w:rPr>
        <w:t xml:space="preserve">ky presunuté z roku 2005. Celkové </w:t>
      </w:r>
      <w:r>
        <w:rPr>
          <w:rFonts w:ascii="Times New Roman" w:hAnsi="Times New Roman" w:cs="Times New Roman"/>
        </w:rPr>
        <w:t xml:space="preserve">čerpané výdavky štátneho rozpočtu dosiahli v roku 2006  </w:t>
      </w:r>
      <w:r w:rsidR="00665F7A">
        <w:rPr>
          <w:rFonts w:ascii="Times New Roman" w:hAnsi="Times New Roman" w:cs="Times New Roman"/>
        </w:rPr>
        <w:t>spolu</w:t>
      </w:r>
      <w:r>
        <w:rPr>
          <w:rFonts w:ascii="Times New Roman" w:hAnsi="Times New Roman" w:cs="Times New Roman"/>
        </w:rPr>
        <w:t xml:space="preserve"> 323 654,9 mil. Sk, čo je medziročne viac o 31 074,6 m</w:t>
      </w:r>
      <w:r>
        <w:rPr>
          <w:rFonts w:ascii="Times New Roman" w:hAnsi="Times New Roman" w:cs="Times New Roman"/>
        </w:rPr>
        <w:t>il</w:t>
      </w:r>
      <w:r w:rsidR="00665F7A">
        <w:rPr>
          <w:rFonts w:ascii="Times New Roman" w:hAnsi="Times New Roman" w:cs="Times New Roman"/>
        </w:rPr>
        <w:t>. Sk</w:t>
      </w:r>
      <w:r>
        <w:rPr>
          <w:rFonts w:ascii="Times New Roman" w:hAnsi="Times New Roman" w:cs="Times New Roman"/>
        </w:rPr>
        <w:t xml:space="preserve">. </w:t>
      </w:r>
    </w:p>
    <w:p w:rsidR="00672D42" w:rsidP="00672D42">
      <w:pPr>
        <w:spacing w:before="120" w:line="360" w:lineRule="auto"/>
        <w:ind w:firstLine="708"/>
        <w:jc w:val="both"/>
        <w:rPr>
          <w:rFonts w:ascii="Times New Roman" w:hAnsi="Times New Roman" w:cs="Times New Roman"/>
        </w:rPr>
      </w:pPr>
      <w:r>
        <w:rPr>
          <w:rFonts w:ascii="Times New Roman" w:hAnsi="Times New Roman" w:cs="Times New Roman"/>
        </w:rPr>
        <w:t>Vo vzťahu k upravenému rozpočtu sa celkové výdavky splnili na 99,9 %, pričom bežné výdavky sa čerpali v rámci ročného limitu na 99,7 % a kapitálové výdavky mierne prekročili svoj ročný plánovaný objem plnením na 101,4 %.</w:t>
      </w:r>
    </w:p>
    <w:p w:rsidR="00672D42" w:rsidP="00672D42">
      <w:pPr>
        <w:spacing w:before="120" w:line="360" w:lineRule="auto"/>
        <w:ind w:firstLine="708"/>
        <w:jc w:val="both"/>
        <w:rPr>
          <w:rFonts w:ascii="Times New Roman" w:hAnsi="Times New Roman" w:cs="Times New Roman"/>
        </w:rPr>
      </w:pPr>
      <w:r>
        <w:rPr>
          <w:rFonts w:ascii="Times New Roman" w:hAnsi="Times New Roman" w:cs="Times New Roman"/>
        </w:rPr>
        <w:t>Prehľad výdavkov v základnej ekonomickej štruktúre poskytuje tento prehľad (v mil. Sk):</w:t>
      </w:r>
    </w:p>
    <w:p w:rsidR="00672D42" w:rsidP="00672D42">
      <w:pPr>
        <w:jc w:val="both"/>
        <w:rPr>
          <w:rFonts w:ascii="Times New Roman" w:hAnsi="Times New Roman" w:cs="Times New Roman"/>
        </w:rPr>
      </w:pPr>
    </w:p>
    <w:tbl>
      <w:tblPr>
        <w:tblW w:w="9197" w:type="dxa"/>
        <w:tblInd w:w="53" w:type="dxa"/>
        <w:tblCellMar>
          <w:left w:w="70" w:type="dxa"/>
          <w:right w:w="70" w:type="dxa"/>
        </w:tblCellMar>
      </w:tblPr>
      <w:tblGrid>
        <w:gridCol w:w="1732"/>
        <w:gridCol w:w="1123"/>
        <w:gridCol w:w="1093"/>
        <w:gridCol w:w="987"/>
        <w:gridCol w:w="1123"/>
        <w:gridCol w:w="1152"/>
        <w:gridCol w:w="924"/>
        <w:gridCol w:w="1063"/>
      </w:tblGrid>
      <w:tr>
        <w:tblPrEx>
          <w:tblW w:w="9197" w:type="dxa"/>
          <w:tblInd w:w="53" w:type="dxa"/>
          <w:tblCellMar>
            <w:left w:w="70" w:type="dxa"/>
            <w:right w:w="70" w:type="dxa"/>
          </w:tblCellMar>
        </w:tblPrEx>
        <w:trPr>
          <w:trHeight w:val="287"/>
        </w:trPr>
        <w:tc>
          <w:tcPr>
            <w:tcW w:w="1860" w:type="dxa"/>
            <w:vMerge w:val="restart"/>
            <w:tcBorders>
              <w:top w:val="single" w:sz="8" w:space="0" w:color="auto"/>
              <w:left w:val="single" w:sz="8" w:space="0" w:color="auto"/>
              <w:bottom w:val="single" w:sz="4" w:space="0" w:color="000000"/>
              <w:right w:val="single" w:sz="4" w:space="0" w:color="auto"/>
              <w:tl2br w:val="nil"/>
              <w:tr2bl w:val="nil"/>
            </w:tcBorders>
            <w:textDirection w:val="lrTb"/>
            <w:vAlign w:val="center"/>
          </w:tcPr>
          <w:p w:rsidR="00672D42" w:rsidRPr="00850A45" w:rsidP="00672D42">
            <w:pPr>
              <w:jc w:val="center"/>
              <w:rPr>
                <w:rFonts w:ascii="Times New Roman" w:hAnsi="Times New Roman" w:cs="Times New Roman"/>
                <w:b/>
                <w:bCs/>
                <w:sz w:val="20"/>
                <w:szCs w:val="20"/>
              </w:rPr>
            </w:pPr>
            <w:r w:rsidRPr="00850A45">
              <w:rPr>
                <w:rFonts w:ascii="Times New Roman" w:hAnsi="Times New Roman" w:cs="Times New Roman"/>
                <w:b/>
                <w:bCs/>
                <w:sz w:val="20"/>
                <w:szCs w:val="20"/>
              </w:rPr>
              <w:t>V ý d a v k y</w:t>
            </w:r>
          </w:p>
        </w:tc>
        <w:tc>
          <w:tcPr>
            <w:tcW w:w="1123" w:type="dxa"/>
            <w:vMerge w:val="restart"/>
            <w:tcBorders>
              <w:top w:val="single" w:sz="8" w:space="0" w:color="auto"/>
              <w:left w:val="single" w:sz="4" w:space="0" w:color="auto"/>
              <w:bottom w:val="single" w:sz="4" w:space="0" w:color="000000"/>
              <w:right w:val="single" w:sz="4" w:space="0" w:color="auto"/>
              <w:tl2br w:val="nil"/>
              <w:tr2bl w:val="nil"/>
            </w:tcBorders>
            <w:textDirection w:val="lrTb"/>
            <w:vAlign w:val="center"/>
          </w:tcPr>
          <w:p w:rsidR="0035174B" w:rsidP="0035174B">
            <w:pPr>
              <w:jc w:val="center"/>
              <w:rPr>
                <w:rFonts w:ascii="Times New Roman" w:hAnsi="Times New Roman" w:cs="Times New Roman"/>
                <w:b/>
                <w:bCs/>
                <w:sz w:val="20"/>
                <w:szCs w:val="20"/>
              </w:rPr>
            </w:pPr>
          </w:p>
          <w:p w:rsidR="00672D42" w:rsidRPr="00850A45" w:rsidP="0035174B">
            <w:pPr>
              <w:jc w:val="center"/>
              <w:rPr>
                <w:rFonts w:ascii="Times New Roman" w:hAnsi="Times New Roman" w:cs="Times New Roman"/>
                <w:b/>
                <w:bCs/>
                <w:sz w:val="20"/>
                <w:szCs w:val="20"/>
              </w:rPr>
            </w:pPr>
            <w:r w:rsidRPr="00850A45">
              <w:rPr>
                <w:rFonts w:ascii="Times New Roman" w:hAnsi="Times New Roman" w:cs="Times New Roman"/>
                <w:b/>
                <w:bCs/>
                <w:sz w:val="20"/>
                <w:szCs w:val="20"/>
              </w:rPr>
              <w:t>Skutočnosť 2005</w:t>
            </w:r>
          </w:p>
          <w:p w:rsidR="00672D42" w:rsidRPr="00850A45" w:rsidP="0035174B">
            <w:pPr>
              <w:jc w:val="center"/>
              <w:rPr>
                <w:rFonts w:ascii="Times New Roman" w:hAnsi="Times New Roman" w:cs="Times New Roman"/>
                <w:sz w:val="20"/>
                <w:szCs w:val="20"/>
              </w:rPr>
            </w:pPr>
          </w:p>
        </w:tc>
        <w:tc>
          <w:tcPr>
            <w:tcW w:w="2102" w:type="dxa"/>
            <w:gridSpan w:val="2"/>
            <w:vMerge w:val="restart"/>
            <w:tcBorders>
              <w:top w:val="single" w:sz="8" w:space="0" w:color="auto"/>
              <w:left w:val="single" w:sz="4" w:space="0" w:color="auto"/>
              <w:bottom w:val="single" w:sz="4" w:space="0" w:color="000000"/>
              <w:right w:val="single" w:sz="4" w:space="0" w:color="000000"/>
              <w:tl2br w:val="nil"/>
              <w:tr2bl w:val="nil"/>
            </w:tcBorders>
            <w:textDirection w:val="lrTb"/>
            <w:vAlign w:val="center"/>
          </w:tcPr>
          <w:p w:rsidR="00672D42" w:rsidRPr="00850A45" w:rsidP="00672D42">
            <w:pPr>
              <w:jc w:val="center"/>
              <w:rPr>
                <w:rFonts w:ascii="Times New Roman" w:hAnsi="Times New Roman" w:cs="Times New Roman"/>
                <w:b/>
                <w:bCs/>
                <w:sz w:val="20"/>
                <w:szCs w:val="20"/>
              </w:rPr>
            </w:pPr>
            <w:r w:rsidRPr="00850A45">
              <w:rPr>
                <w:rFonts w:ascii="Times New Roman" w:hAnsi="Times New Roman" w:cs="Times New Roman"/>
                <w:b/>
                <w:bCs/>
                <w:sz w:val="20"/>
                <w:szCs w:val="20"/>
              </w:rPr>
              <w:t>Rozpočet     2006</w:t>
            </w:r>
          </w:p>
        </w:tc>
        <w:tc>
          <w:tcPr>
            <w:tcW w:w="1123" w:type="dxa"/>
            <w:vMerge w:val="restart"/>
            <w:tcBorders>
              <w:top w:val="single" w:sz="8" w:space="0" w:color="auto"/>
              <w:left w:val="single" w:sz="4" w:space="0" w:color="auto"/>
              <w:bottom w:val="single" w:sz="4" w:space="0" w:color="000000"/>
              <w:right w:val="single" w:sz="4" w:space="0" w:color="auto"/>
              <w:tl2br w:val="nil"/>
              <w:tr2bl w:val="nil"/>
            </w:tcBorders>
            <w:textDirection w:val="lrTb"/>
            <w:vAlign w:val="center"/>
          </w:tcPr>
          <w:p w:rsidR="00672D42" w:rsidRPr="00850A45" w:rsidP="00672D42">
            <w:pPr>
              <w:jc w:val="center"/>
              <w:rPr>
                <w:rFonts w:ascii="Times New Roman" w:hAnsi="Times New Roman" w:cs="Times New Roman"/>
                <w:b/>
                <w:bCs/>
                <w:sz w:val="20"/>
                <w:szCs w:val="20"/>
              </w:rPr>
            </w:pPr>
            <w:r w:rsidRPr="00850A45">
              <w:rPr>
                <w:rFonts w:ascii="Times New Roman" w:hAnsi="Times New Roman" w:cs="Times New Roman"/>
                <w:b/>
                <w:bCs/>
                <w:sz w:val="20"/>
                <w:szCs w:val="20"/>
              </w:rPr>
              <w:t>Skutočnosť 2006</w:t>
            </w:r>
          </w:p>
        </w:tc>
        <w:tc>
          <w:tcPr>
            <w:tcW w:w="949" w:type="dxa"/>
            <w:vMerge w:val="restart"/>
            <w:tcBorders>
              <w:top w:val="single" w:sz="8" w:space="0" w:color="auto"/>
              <w:left w:val="single" w:sz="4" w:space="0" w:color="auto"/>
              <w:bottom w:val="single" w:sz="4" w:space="0" w:color="000000"/>
              <w:right w:val="single" w:sz="4" w:space="0" w:color="auto"/>
              <w:tl2br w:val="nil"/>
              <w:tr2bl w:val="nil"/>
            </w:tcBorders>
            <w:textDirection w:val="lrTb"/>
            <w:vAlign w:val="center"/>
          </w:tcPr>
          <w:p w:rsidR="00672D42" w:rsidRPr="00850A45" w:rsidP="00672D42">
            <w:pPr>
              <w:jc w:val="center"/>
              <w:rPr>
                <w:rFonts w:ascii="Times New Roman" w:hAnsi="Times New Roman" w:cs="Times New Roman"/>
                <w:b/>
                <w:bCs/>
                <w:sz w:val="20"/>
                <w:szCs w:val="20"/>
              </w:rPr>
            </w:pPr>
            <w:r w:rsidR="00E70D54">
              <w:rPr>
                <w:rFonts w:ascii="Times New Roman" w:hAnsi="Times New Roman" w:cs="Times New Roman"/>
                <w:b/>
                <w:bCs/>
                <w:sz w:val="20"/>
                <w:szCs w:val="20"/>
              </w:rPr>
              <w:t>% plnenie upraveného rozpočtu</w:t>
            </w:r>
            <w:r w:rsidRPr="00850A45">
              <w:rPr>
                <w:rFonts w:ascii="Times New Roman" w:hAnsi="Times New Roman" w:cs="Times New Roman"/>
                <w:b/>
                <w:bCs/>
                <w:sz w:val="20"/>
                <w:szCs w:val="20"/>
              </w:rPr>
              <w:t xml:space="preserve">            </w:t>
            </w:r>
          </w:p>
        </w:tc>
        <w:tc>
          <w:tcPr>
            <w:tcW w:w="960" w:type="dxa"/>
            <w:vMerge w:val="restart"/>
            <w:tcBorders>
              <w:top w:val="single" w:sz="8" w:space="0" w:color="auto"/>
              <w:left w:val="single" w:sz="4" w:space="0" w:color="auto"/>
              <w:bottom w:val="single" w:sz="4" w:space="0" w:color="000000"/>
              <w:right w:val="single" w:sz="4" w:space="0" w:color="auto"/>
              <w:tl2br w:val="nil"/>
              <w:tr2bl w:val="nil"/>
            </w:tcBorders>
            <w:textDirection w:val="lrTb"/>
            <w:vAlign w:val="center"/>
          </w:tcPr>
          <w:p w:rsidR="00672D42" w:rsidRPr="00850A45" w:rsidP="00672D42">
            <w:pPr>
              <w:jc w:val="center"/>
              <w:rPr>
                <w:rFonts w:ascii="Times New Roman" w:hAnsi="Times New Roman" w:cs="Times New Roman"/>
                <w:b/>
                <w:bCs/>
                <w:sz w:val="20"/>
                <w:szCs w:val="20"/>
              </w:rPr>
            </w:pPr>
            <w:r w:rsidRPr="00850A45">
              <w:rPr>
                <w:rFonts w:ascii="Times New Roman" w:hAnsi="Times New Roman" w:cs="Times New Roman"/>
                <w:b/>
                <w:bCs/>
                <w:sz w:val="20"/>
                <w:szCs w:val="20"/>
              </w:rPr>
              <w:t xml:space="preserve">Rozdiel              </w:t>
            </w:r>
          </w:p>
        </w:tc>
        <w:tc>
          <w:tcPr>
            <w:tcW w:w="1080" w:type="dxa"/>
            <w:vMerge w:val="restart"/>
            <w:tcBorders>
              <w:top w:val="single" w:sz="8" w:space="0" w:color="auto"/>
              <w:left w:val="single" w:sz="4" w:space="0" w:color="auto"/>
              <w:bottom w:val="single" w:sz="4" w:space="0" w:color="000000"/>
              <w:right w:val="single" w:sz="8" w:space="0" w:color="auto"/>
              <w:tl2br w:val="nil"/>
              <w:tr2bl w:val="nil"/>
            </w:tcBorders>
            <w:textDirection w:val="lrTb"/>
            <w:vAlign w:val="center"/>
          </w:tcPr>
          <w:p w:rsidR="00672D42" w:rsidRPr="00850A45" w:rsidP="00672D42">
            <w:pPr>
              <w:jc w:val="center"/>
              <w:rPr>
                <w:rFonts w:ascii="Times New Roman" w:hAnsi="Times New Roman" w:cs="Times New Roman"/>
                <w:b/>
                <w:bCs/>
                <w:sz w:val="20"/>
                <w:szCs w:val="20"/>
              </w:rPr>
            </w:pPr>
            <w:r w:rsidRPr="00850A45">
              <w:rPr>
                <w:rFonts w:ascii="Times New Roman" w:hAnsi="Times New Roman" w:cs="Times New Roman"/>
                <w:b/>
                <w:bCs/>
                <w:sz w:val="20"/>
                <w:szCs w:val="20"/>
              </w:rPr>
              <w:t xml:space="preserve">Index 2006/2005          </w:t>
            </w:r>
          </w:p>
        </w:tc>
      </w:tr>
      <w:tr>
        <w:tblPrEx>
          <w:tblW w:w="9197" w:type="dxa"/>
          <w:tblInd w:w="53" w:type="dxa"/>
          <w:tblCellMar>
            <w:left w:w="70" w:type="dxa"/>
            <w:right w:w="70" w:type="dxa"/>
          </w:tblCellMar>
        </w:tblPrEx>
        <w:trPr>
          <w:trHeight w:val="287"/>
        </w:trPr>
        <w:tc>
          <w:tcPr>
            <w:tcW w:w="1860" w:type="dxa"/>
            <w:vMerge/>
            <w:tcBorders>
              <w:top w:val="single" w:sz="4" w:space="0" w:color="auto"/>
              <w:left w:val="single" w:sz="8" w:space="0" w:color="auto"/>
              <w:bottom w:val="single" w:sz="4" w:space="0" w:color="000000"/>
              <w:right w:val="single" w:sz="4" w:space="0" w:color="auto"/>
              <w:tl2br w:val="nil"/>
              <w:tr2bl w:val="nil"/>
            </w:tcBorders>
            <w:textDirection w:val="lrTb"/>
            <w:vAlign w:val="center"/>
          </w:tcPr>
          <w:p w:rsidR="00672D42" w:rsidRPr="00850A45" w:rsidP="00672D42">
            <w:pPr>
              <w:rPr>
                <w:rFonts w:ascii="Times New Roman" w:hAnsi="Times New Roman" w:cs="Times New Roman"/>
                <w:b/>
                <w:bCs/>
                <w:sz w:val="20"/>
                <w:szCs w:val="20"/>
              </w:rPr>
            </w:pPr>
          </w:p>
        </w:tc>
        <w:tc>
          <w:tcPr>
            <w:tcW w:w="1123"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672D42" w:rsidRPr="00850A45" w:rsidP="00672D42">
            <w:pPr>
              <w:rPr>
                <w:rFonts w:ascii="Times New Roman" w:hAnsi="Times New Roman" w:cs="Times New Roman"/>
                <w:b/>
                <w:bCs/>
                <w:sz w:val="20"/>
                <w:szCs w:val="20"/>
              </w:rPr>
            </w:pPr>
          </w:p>
        </w:tc>
        <w:tc>
          <w:tcPr>
            <w:tcW w:w="2102" w:type="dxa"/>
            <w:gridSpan w:val="2"/>
            <w:vMerge/>
            <w:tcBorders>
              <w:top w:val="single" w:sz="4" w:space="0" w:color="auto"/>
              <w:left w:val="single" w:sz="4" w:space="0" w:color="auto"/>
              <w:bottom w:val="single" w:sz="4" w:space="0" w:color="000000"/>
              <w:right w:val="single" w:sz="4" w:space="0" w:color="000000"/>
              <w:tl2br w:val="nil"/>
              <w:tr2bl w:val="nil"/>
            </w:tcBorders>
            <w:textDirection w:val="lrTb"/>
            <w:vAlign w:val="center"/>
          </w:tcPr>
          <w:p w:rsidR="00672D42" w:rsidRPr="00850A45" w:rsidP="00672D42">
            <w:pPr>
              <w:rPr>
                <w:rFonts w:ascii="Times New Roman" w:hAnsi="Times New Roman" w:cs="Times New Roman"/>
                <w:b/>
                <w:bCs/>
                <w:sz w:val="20"/>
                <w:szCs w:val="20"/>
              </w:rPr>
            </w:pPr>
          </w:p>
        </w:tc>
        <w:tc>
          <w:tcPr>
            <w:tcW w:w="1123"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672D42" w:rsidRPr="00850A45" w:rsidP="00672D42">
            <w:pPr>
              <w:rPr>
                <w:rFonts w:ascii="Times New Roman" w:hAnsi="Times New Roman" w:cs="Times New Roman"/>
                <w:b/>
                <w:bCs/>
                <w:sz w:val="20"/>
                <w:szCs w:val="20"/>
              </w:rPr>
            </w:pPr>
          </w:p>
        </w:tc>
        <w:tc>
          <w:tcPr>
            <w:tcW w:w="949"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672D42" w:rsidRPr="00850A45" w:rsidP="00672D42">
            <w:pPr>
              <w:rPr>
                <w:rFonts w:ascii="Times New Roman" w:hAnsi="Times New Roman" w:cs="Times New Roman"/>
                <w:b/>
                <w:bCs/>
                <w:sz w:val="20"/>
                <w:szCs w:val="20"/>
              </w:rPr>
            </w:pPr>
          </w:p>
        </w:tc>
        <w:tc>
          <w:tcPr>
            <w:tcW w:w="960"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672D42" w:rsidRPr="00850A45" w:rsidP="00672D42">
            <w:pPr>
              <w:rPr>
                <w:rFonts w:ascii="Times New Roman" w:hAnsi="Times New Roman" w:cs="Times New Roman"/>
                <w:b/>
                <w:bCs/>
                <w:sz w:val="20"/>
                <w:szCs w:val="20"/>
              </w:rPr>
            </w:pPr>
          </w:p>
        </w:tc>
        <w:tc>
          <w:tcPr>
            <w:tcW w:w="1080" w:type="dxa"/>
            <w:vMerge/>
            <w:tcBorders>
              <w:top w:val="single" w:sz="4" w:space="0" w:color="auto"/>
              <w:left w:val="single" w:sz="4" w:space="0" w:color="auto"/>
              <w:bottom w:val="single" w:sz="4" w:space="0" w:color="000000"/>
              <w:right w:val="single" w:sz="8" w:space="0" w:color="auto"/>
              <w:tl2br w:val="nil"/>
              <w:tr2bl w:val="nil"/>
            </w:tcBorders>
            <w:textDirection w:val="lrTb"/>
            <w:vAlign w:val="center"/>
          </w:tcPr>
          <w:p w:rsidR="00672D42" w:rsidRPr="00850A45" w:rsidP="00672D42">
            <w:pPr>
              <w:rPr>
                <w:rFonts w:ascii="Times New Roman" w:hAnsi="Times New Roman" w:cs="Times New Roman"/>
                <w:b/>
                <w:bCs/>
                <w:sz w:val="20"/>
                <w:szCs w:val="20"/>
              </w:rPr>
            </w:pPr>
          </w:p>
        </w:tc>
      </w:tr>
      <w:tr>
        <w:tblPrEx>
          <w:tblW w:w="9197" w:type="dxa"/>
          <w:tblInd w:w="53" w:type="dxa"/>
          <w:tblCellMar>
            <w:left w:w="70" w:type="dxa"/>
            <w:right w:w="70" w:type="dxa"/>
          </w:tblCellMar>
        </w:tblPrEx>
        <w:trPr>
          <w:trHeight w:val="263"/>
        </w:trPr>
        <w:tc>
          <w:tcPr>
            <w:tcW w:w="1860" w:type="dxa"/>
            <w:vMerge/>
            <w:tcBorders>
              <w:top w:val="single" w:sz="4" w:space="0" w:color="auto"/>
              <w:left w:val="single" w:sz="8" w:space="0" w:color="auto"/>
              <w:bottom w:val="single" w:sz="4" w:space="0" w:color="000000"/>
              <w:right w:val="single" w:sz="4" w:space="0" w:color="auto"/>
              <w:tl2br w:val="nil"/>
              <w:tr2bl w:val="nil"/>
            </w:tcBorders>
            <w:textDirection w:val="lrTb"/>
            <w:vAlign w:val="center"/>
          </w:tcPr>
          <w:p w:rsidR="00672D42" w:rsidRPr="00850A45" w:rsidP="00672D42">
            <w:pPr>
              <w:rPr>
                <w:rFonts w:ascii="Times New Roman" w:hAnsi="Times New Roman" w:cs="Times New Roman"/>
                <w:b/>
                <w:bCs/>
                <w:sz w:val="20"/>
                <w:szCs w:val="20"/>
              </w:rPr>
            </w:pPr>
          </w:p>
        </w:tc>
        <w:tc>
          <w:tcPr>
            <w:tcW w:w="1123"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672D42" w:rsidRPr="00850A45" w:rsidP="00672D42">
            <w:pPr>
              <w:rPr>
                <w:rFonts w:ascii="Times New Roman" w:hAnsi="Times New Roman" w:cs="Times New Roman"/>
                <w:b/>
                <w:bCs/>
                <w:sz w:val="20"/>
                <w:szCs w:val="20"/>
              </w:rPr>
            </w:pPr>
          </w:p>
        </w:tc>
        <w:tc>
          <w:tcPr>
            <w:tcW w:w="1115" w:type="dxa"/>
            <w:tcBorders>
              <w:top w:val="nil"/>
              <w:left w:val="nil"/>
              <w:bottom w:val="single" w:sz="4" w:space="0" w:color="auto"/>
              <w:right w:val="single" w:sz="4" w:space="0" w:color="auto"/>
              <w:tl2br w:val="nil"/>
              <w:tr2bl w:val="nil"/>
            </w:tcBorders>
            <w:textDirection w:val="lrTb"/>
            <w:vAlign w:val="center"/>
          </w:tcPr>
          <w:p w:rsidR="00672D42" w:rsidRPr="00850A45" w:rsidP="00672D42">
            <w:pPr>
              <w:jc w:val="center"/>
              <w:rPr>
                <w:rFonts w:ascii="Times New Roman" w:hAnsi="Times New Roman" w:cs="Times New Roman"/>
                <w:b/>
                <w:bCs/>
                <w:sz w:val="20"/>
                <w:szCs w:val="20"/>
              </w:rPr>
            </w:pPr>
            <w:r w:rsidRPr="00850A45">
              <w:rPr>
                <w:rFonts w:ascii="Times New Roman" w:hAnsi="Times New Roman" w:cs="Times New Roman"/>
                <w:b/>
                <w:bCs/>
                <w:sz w:val="20"/>
                <w:szCs w:val="20"/>
              </w:rPr>
              <w:t xml:space="preserve">Schválený </w:t>
            </w:r>
          </w:p>
        </w:tc>
        <w:tc>
          <w:tcPr>
            <w:tcW w:w="987" w:type="dxa"/>
            <w:tcBorders>
              <w:top w:val="nil"/>
              <w:left w:val="nil"/>
              <w:bottom w:val="single" w:sz="4" w:space="0" w:color="auto"/>
              <w:right w:val="single" w:sz="4" w:space="0" w:color="auto"/>
              <w:tl2br w:val="nil"/>
              <w:tr2bl w:val="nil"/>
            </w:tcBorders>
            <w:textDirection w:val="lrTb"/>
            <w:vAlign w:val="center"/>
          </w:tcPr>
          <w:p w:rsidR="00672D42" w:rsidRPr="00850A45" w:rsidP="00672D42">
            <w:pPr>
              <w:jc w:val="center"/>
              <w:rPr>
                <w:rFonts w:ascii="Times New Roman" w:hAnsi="Times New Roman" w:cs="Times New Roman"/>
                <w:b/>
                <w:bCs/>
                <w:sz w:val="20"/>
                <w:szCs w:val="20"/>
              </w:rPr>
            </w:pPr>
            <w:r w:rsidRPr="00850A45">
              <w:rPr>
                <w:rFonts w:ascii="Times New Roman" w:hAnsi="Times New Roman" w:cs="Times New Roman"/>
                <w:b/>
                <w:bCs/>
                <w:sz w:val="20"/>
                <w:szCs w:val="20"/>
              </w:rPr>
              <w:t>Upravený</w:t>
            </w:r>
          </w:p>
        </w:tc>
        <w:tc>
          <w:tcPr>
            <w:tcW w:w="1123"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672D42" w:rsidRPr="00850A45" w:rsidP="00672D42">
            <w:pPr>
              <w:rPr>
                <w:rFonts w:ascii="Times New Roman" w:hAnsi="Times New Roman" w:cs="Times New Roman"/>
                <w:b/>
                <w:bCs/>
                <w:sz w:val="20"/>
                <w:szCs w:val="20"/>
              </w:rPr>
            </w:pPr>
          </w:p>
        </w:tc>
        <w:tc>
          <w:tcPr>
            <w:tcW w:w="949"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672D42" w:rsidRPr="00850A45" w:rsidP="00672D42">
            <w:pPr>
              <w:rPr>
                <w:rFonts w:ascii="Times New Roman" w:hAnsi="Times New Roman" w:cs="Times New Roman"/>
                <w:b/>
                <w:bCs/>
                <w:sz w:val="20"/>
                <w:szCs w:val="20"/>
              </w:rPr>
            </w:pPr>
          </w:p>
        </w:tc>
        <w:tc>
          <w:tcPr>
            <w:tcW w:w="960"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672D42" w:rsidRPr="00850A45" w:rsidP="00672D42">
            <w:pPr>
              <w:rPr>
                <w:rFonts w:ascii="Times New Roman" w:hAnsi="Times New Roman" w:cs="Times New Roman"/>
                <w:b/>
                <w:bCs/>
                <w:sz w:val="20"/>
                <w:szCs w:val="20"/>
              </w:rPr>
            </w:pPr>
          </w:p>
        </w:tc>
        <w:tc>
          <w:tcPr>
            <w:tcW w:w="1080" w:type="dxa"/>
            <w:vMerge/>
            <w:tcBorders>
              <w:top w:val="single" w:sz="4" w:space="0" w:color="auto"/>
              <w:left w:val="single" w:sz="4" w:space="0" w:color="auto"/>
              <w:bottom w:val="single" w:sz="4" w:space="0" w:color="000000"/>
              <w:right w:val="single" w:sz="8" w:space="0" w:color="auto"/>
              <w:tl2br w:val="nil"/>
              <w:tr2bl w:val="nil"/>
            </w:tcBorders>
            <w:textDirection w:val="lrTb"/>
            <w:vAlign w:val="center"/>
          </w:tcPr>
          <w:p w:rsidR="00672D42" w:rsidRPr="00850A45" w:rsidP="00672D42">
            <w:pPr>
              <w:rPr>
                <w:rFonts w:ascii="Times New Roman" w:hAnsi="Times New Roman" w:cs="Times New Roman"/>
                <w:b/>
                <w:bCs/>
                <w:sz w:val="20"/>
                <w:szCs w:val="20"/>
              </w:rPr>
            </w:pPr>
          </w:p>
        </w:tc>
      </w:tr>
      <w:tr>
        <w:tblPrEx>
          <w:tblW w:w="9197" w:type="dxa"/>
          <w:tblInd w:w="53" w:type="dxa"/>
          <w:tblCellMar>
            <w:left w:w="70" w:type="dxa"/>
            <w:right w:w="70" w:type="dxa"/>
          </w:tblCellMar>
        </w:tblPrEx>
        <w:trPr>
          <w:trHeight w:val="105"/>
        </w:trPr>
        <w:tc>
          <w:tcPr>
            <w:tcW w:w="1860" w:type="dxa"/>
            <w:vMerge/>
            <w:tcBorders>
              <w:top w:val="single" w:sz="4" w:space="0" w:color="auto"/>
              <w:left w:val="single" w:sz="8" w:space="0" w:color="auto"/>
              <w:bottom w:val="single" w:sz="4" w:space="0" w:color="000000"/>
              <w:right w:val="single" w:sz="4" w:space="0" w:color="auto"/>
              <w:tl2br w:val="nil"/>
              <w:tr2bl w:val="nil"/>
            </w:tcBorders>
            <w:textDirection w:val="lrTb"/>
            <w:vAlign w:val="center"/>
          </w:tcPr>
          <w:p w:rsidR="00672D42" w:rsidRPr="00850A45" w:rsidP="00672D42">
            <w:pPr>
              <w:rPr>
                <w:rFonts w:ascii="Times New Roman" w:hAnsi="Times New Roman" w:cs="Times New Roman"/>
                <w:b/>
                <w:bCs/>
                <w:sz w:val="20"/>
                <w:szCs w:val="20"/>
              </w:rPr>
            </w:pPr>
          </w:p>
        </w:tc>
        <w:tc>
          <w:tcPr>
            <w:tcW w:w="1123" w:type="dxa"/>
            <w:tcBorders>
              <w:top w:val="nil"/>
              <w:left w:val="nil"/>
              <w:bottom w:val="single" w:sz="4" w:space="0" w:color="auto"/>
              <w:right w:val="single" w:sz="4" w:space="0" w:color="auto"/>
              <w:tl2br w:val="nil"/>
              <w:tr2bl w:val="nil"/>
            </w:tcBorders>
            <w:textDirection w:val="lrTb"/>
            <w:vAlign w:val="center"/>
          </w:tcPr>
          <w:p w:rsidR="00672D42" w:rsidRPr="00F3685E" w:rsidP="00672D42">
            <w:pPr>
              <w:jc w:val="center"/>
              <w:rPr>
                <w:rFonts w:ascii="Times New Roman" w:hAnsi="Times New Roman" w:cs="Times New Roman"/>
                <w:b/>
                <w:bCs/>
                <w:sz w:val="18"/>
                <w:szCs w:val="18"/>
              </w:rPr>
            </w:pPr>
            <w:r w:rsidRPr="00F3685E">
              <w:rPr>
                <w:rFonts w:ascii="Times New Roman" w:hAnsi="Times New Roman" w:cs="Times New Roman"/>
                <w:b/>
                <w:bCs/>
                <w:sz w:val="18"/>
                <w:szCs w:val="18"/>
              </w:rPr>
              <w:t>1</w:t>
            </w:r>
          </w:p>
        </w:tc>
        <w:tc>
          <w:tcPr>
            <w:tcW w:w="1115" w:type="dxa"/>
            <w:tcBorders>
              <w:top w:val="nil"/>
              <w:left w:val="nil"/>
              <w:bottom w:val="single" w:sz="4" w:space="0" w:color="auto"/>
              <w:right w:val="single" w:sz="4" w:space="0" w:color="auto"/>
              <w:tl2br w:val="nil"/>
              <w:tr2bl w:val="nil"/>
            </w:tcBorders>
            <w:textDirection w:val="lrTb"/>
            <w:vAlign w:val="center"/>
          </w:tcPr>
          <w:p w:rsidR="00672D42" w:rsidRPr="00F3685E" w:rsidP="00672D42">
            <w:pPr>
              <w:jc w:val="center"/>
              <w:rPr>
                <w:rFonts w:ascii="Times New Roman" w:hAnsi="Times New Roman" w:cs="Times New Roman"/>
                <w:b/>
                <w:bCs/>
                <w:sz w:val="18"/>
                <w:szCs w:val="18"/>
              </w:rPr>
            </w:pPr>
            <w:r w:rsidRPr="00F3685E">
              <w:rPr>
                <w:rFonts w:ascii="Times New Roman" w:hAnsi="Times New Roman" w:cs="Times New Roman"/>
                <w:b/>
                <w:bCs/>
                <w:sz w:val="18"/>
                <w:szCs w:val="18"/>
              </w:rPr>
              <w:t>2</w:t>
            </w:r>
          </w:p>
        </w:tc>
        <w:tc>
          <w:tcPr>
            <w:tcW w:w="987" w:type="dxa"/>
            <w:tcBorders>
              <w:top w:val="nil"/>
              <w:left w:val="nil"/>
              <w:bottom w:val="single" w:sz="4" w:space="0" w:color="auto"/>
              <w:right w:val="single" w:sz="4" w:space="0" w:color="auto"/>
              <w:tl2br w:val="nil"/>
              <w:tr2bl w:val="nil"/>
            </w:tcBorders>
            <w:textDirection w:val="lrTb"/>
            <w:vAlign w:val="center"/>
          </w:tcPr>
          <w:p w:rsidR="00672D42" w:rsidRPr="00F3685E" w:rsidP="00672D42">
            <w:pPr>
              <w:jc w:val="center"/>
              <w:rPr>
                <w:rFonts w:ascii="Times New Roman" w:hAnsi="Times New Roman" w:cs="Times New Roman"/>
                <w:b/>
                <w:bCs/>
                <w:sz w:val="18"/>
                <w:szCs w:val="18"/>
              </w:rPr>
            </w:pPr>
            <w:r w:rsidRPr="00F3685E">
              <w:rPr>
                <w:rFonts w:ascii="Times New Roman" w:hAnsi="Times New Roman" w:cs="Times New Roman"/>
                <w:b/>
                <w:bCs/>
                <w:sz w:val="18"/>
                <w:szCs w:val="18"/>
              </w:rPr>
              <w:t>3</w:t>
            </w:r>
          </w:p>
        </w:tc>
        <w:tc>
          <w:tcPr>
            <w:tcW w:w="1123" w:type="dxa"/>
            <w:tcBorders>
              <w:top w:val="nil"/>
              <w:left w:val="nil"/>
              <w:bottom w:val="single" w:sz="4" w:space="0" w:color="auto"/>
              <w:right w:val="single" w:sz="4" w:space="0" w:color="auto"/>
              <w:tl2br w:val="nil"/>
              <w:tr2bl w:val="nil"/>
            </w:tcBorders>
            <w:textDirection w:val="lrTb"/>
            <w:vAlign w:val="center"/>
          </w:tcPr>
          <w:p w:rsidR="00672D42" w:rsidRPr="00F3685E" w:rsidP="00672D42">
            <w:pPr>
              <w:jc w:val="center"/>
              <w:rPr>
                <w:rFonts w:ascii="Times New Roman" w:hAnsi="Times New Roman" w:cs="Times New Roman"/>
                <w:b/>
                <w:bCs/>
                <w:sz w:val="18"/>
                <w:szCs w:val="18"/>
              </w:rPr>
            </w:pPr>
            <w:r w:rsidRPr="00F3685E">
              <w:rPr>
                <w:rFonts w:ascii="Times New Roman" w:hAnsi="Times New Roman" w:cs="Times New Roman"/>
                <w:b/>
                <w:bCs/>
                <w:sz w:val="18"/>
                <w:szCs w:val="18"/>
              </w:rPr>
              <w:t>4</w:t>
            </w:r>
          </w:p>
        </w:tc>
        <w:tc>
          <w:tcPr>
            <w:tcW w:w="949" w:type="dxa"/>
            <w:tcBorders>
              <w:top w:val="nil"/>
              <w:left w:val="nil"/>
              <w:bottom w:val="single" w:sz="4" w:space="0" w:color="auto"/>
              <w:right w:val="single" w:sz="4" w:space="0" w:color="auto"/>
              <w:tl2br w:val="nil"/>
              <w:tr2bl w:val="nil"/>
            </w:tcBorders>
            <w:textDirection w:val="lrTb"/>
            <w:vAlign w:val="center"/>
          </w:tcPr>
          <w:p w:rsidR="00672D42" w:rsidRPr="00F3685E" w:rsidP="00672D42">
            <w:pPr>
              <w:jc w:val="center"/>
              <w:rPr>
                <w:rFonts w:ascii="Times New Roman" w:hAnsi="Times New Roman" w:cs="Times New Roman"/>
                <w:b/>
                <w:bCs/>
                <w:sz w:val="18"/>
                <w:szCs w:val="18"/>
              </w:rPr>
            </w:pPr>
            <w:r w:rsidRPr="00F3685E">
              <w:rPr>
                <w:rFonts w:ascii="Times New Roman" w:hAnsi="Times New Roman" w:cs="Times New Roman"/>
                <w:b/>
                <w:bCs/>
                <w:sz w:val="18"/>
                <w:szCs w:val="18"/>
              </w:rPr>
              <w:t>5</w:t>
            </w:r>
            <w:r w:rsidR="00E70D54">
              <w:rPr>
                <w:rFonts w:ascii="Times New Roman" w:hAnsi="Times New Roman" w:cs="Times New Roman"/>
                <w:b/>
                <w:bCs/>
                <w:sz w:val="18"/>
                <w:szCs w:val="18"/>
              </w:rPr>
              <w:t>=4/3*100</w:t>
            </w:r>
          </w:p>
        </w:tc>
        <w:tc>
          <w:tcPr>
            <w:tcW w:w="960" w:type="dxa"/>
            <w:tcBorders>
              <w:top w:val="nil"/>
              <w:left w:val="nil"/>
              <w:bottom w:val="single" w:sz="4" w:space="0" w:color="auto"/>
              <w:right w:val="single" w:sz="4" w:space="0" w:color="auto"/>
              <w:tl2br w:val="nil"/>
              <w:tr2bl w:val="nil"/>
            </w:tcBorders>
            <w:textDirection w:val="lrTb"/>
            <w:vAlign w:val="center"/>
          </w:tcPr>
          <w:p w:rsidR="00672D42" w:rsidRPr="00F3685E" w:rsidP="00672D42">
            <w:pPr>
              <w:jc w:val="center"/>
              <w:rPr>
                <w:rFonts w:ascii="Times New Roman" w:hAnsi="Times New Roman" w:cs="Times New Roman"/>
                <w:b/>
                <w:bCs/>
                <w:sz w:val="18"/>
                <w:szCs w:val="18"/>
              </w:rPr>
            </w:pPr>
            <w:r w:rsidRPr="00F3685E">
              <w:rPr>
                <w:rFonts w:ascii="Times New Roman" w:hAnsi="Times New Roman" w:cs="Times New Roman"/>
                <w:b/>
                <w:bCs/>
                <w:sz w:val="18"/>
                <w:szCs w:val="18"/>
              </w:rPr>
              <w:t>6</w:t>
            </w:r>
            <w:r w:rsidR="00E70D54">
              <w:rPr>
                <w:rFonts w:ascii="Times New Roman" w:hAnsi="Times New Roman" w:cs="Times New Roman"/>
                <w:b/>
                <w:bCs/>
                <w:sz w:val="18"/>
                <w:szCs w:val="18"/>
              </w:rPr>
              <w:t>=4-3</w:t>
            </w:r>
          </w:p>
        </w:tc>
        <w:tc>
          <w:tcPr>
            <w:tcW w:w="1080" w:type="dxa"/>
            <w:tcBorders>
              <w:top w:val="nil"/>
              <w:left w:val="nil"/>
              <w:bottom w:val="single" w:sz="4" w:space="0" w:color="auto"/>
              <w:right w:val="single" w:sz="8" w:space="0" w:color="auto"/>
              <w:tl2br w:val="nil"/>
              <w:tr2bl w:val="nil"/>
            </w:tcBorders>
            <w:textDirection w:val="lrTb"/>
            <w:vAlign w:val="center"/>
          </w:tcPr>
          <w:p w:rsidR="00672D42" w:rsidRPr="00F3685E" w:rsidP="00672D42">
            <w:pPr>
              <w:jc w:val="center"/>
              <w:rPr>
                <w:rFonts w:ascii="Times New Roman" w:hAnsi="Times New Roman" w:cs="Times New Roman"/>
                <w:b/>
                <w:bCs/>
                <w:sz w:val="18"/>
                <w:szCs w:val="18"/>
              </w:rPr>
            </w:pPr>
            <w:r w:rsidRPr="00F3685E">
              <w:rPr>
                <w:rFonts w:ascii="Times New Roman" w:hAnsi="Times New Roman" w:cs="Times New Roman"/>
                <w:b/>
                <w:bCs/>
                <w:sz w:val="18"/>
                <w:szCs w:val="18"/>
              </w:rPr>
              <w:t>7</w:t>
            </w:r>
            <w:r w:rsidR="00E70D54">
              <w:rPr>
                <w:rFonts w:ascii="Times New Roman" w:hAnsi="Times New Roman" w:cs="Times New Roman"/>
                <w:b/>
                <w:bCs/>
                <w:sz w:val="18"/>
                <w:szCs w:val="18"/>
              </w:rPr>
              <w:t>=4/1*100</w:t>
            </w:r>
          </w:p>
        </w:tc>
      </w:tr>
      <w:tr>
        <w:tblPrEx>
          <w:tblW w:w="9197" w:type="dxa"/>
          <w:tblInd w:w="53" w:type="dxa"/>
          <w:tblCellMar>
            <w:left w:w="70" w:type="dxa"/>
            <w:right w:w="70" w:type="dxa"/>
          </w:tblCellMar>
        </w:tblPrEx>
        <w:trPr>
          <w:trHeight w:val="416"/>
        </w:trPr>
        <w:tc>
          <w:tcPr>
            <w:tcW w:w="1860" w:type="dxa"/>
            <w:tcBorders>
              <w:top w:val="nil"/>
              <w:left w:val="single" w:sz="8" w:space="0" w:color="auto"/>
              <w:bottom w:val="single" w:sz="4" w:space="0" w:color="auto"/>
              <w:right w:val="single" w:sz="4" w:space="0" w:color="auto"/>
              <w:tl2br w:val="nil"/>
              <w:tr2bl w:val="nil"/>
            </w:tcBorders>
            <w:textDirection w:val="lrTb"/>
            <w:vAlign w:val="center"/>
          </w:tcPr>
          <w:p w:rsidR="00672D42" w:rsidRPr="00850A45" w:rsidP="00672D42">
            <w:pPr>
              <w:rPr>
                <w:rFonts w:ascii="Times New Roman" w:hAnsi="Times New Roman" w:cs="Times New Roman"/>
                <w:b/>
                <w:bCs/>
                <w:sz w:val="20"/>
                <w:szCs w:val="20"/>
              </w:rPr>
            </w:pPr>
            <w:r w:rsidRPr="00850A45">
              <w:rPr>
                <w:rFonts w:ascii="Times New Roman" w:hAnsi="Times New Roman" w:cs="Times New Roman"/>
                <w:b/>
                <w:bCs/>
                <w:sz w:val="20"/>
                <w:szCs w:val="20"/>
              </w:rPr>
              <w:t>A. Bežné výdavky</w:t>
            </w:r>
          </w:p>
        </w:tc>
        <w:tc>
          <w:tcPr>
            <w:tcW w:w="1123" w:type="dxa"/>
            <w:tcBorders>
              <w:top w:val="nil"/>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b/>
                <w:bCs/>
                <w:sz w:val="20"/>
                <w:szCs w:val="20"/>
              </w:rPr>
            </w:pPr>
            <w:r w:rsidRPr="00850A45">
              <w:rPr>
                <w:rFonts w:ascii="Times New Roman" w:hAnsi="Times New Roman" w:cs="Times New Roman"/>
                <w:b/>
                <w:bCs/>
                <w:sz w:val="20"/>
                <w:szCs w:val="20"/>
              </w:rPr>
              <w:t>261 087,6</w:t>
            </w:r>
          </w:p>
        </w:tc>
        <w:tc>
          <w:tcPr>
            <w:tcW w:w="1115" w:type="dxa"/>
            <w:tcBorders>
              <w:top w:val="nil"/>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b/>
                <w:bCs/>
                <w:sz w:val="20"/>
                <w:szCs w:val="20"/>
              </w:rPr>
            </w:pPr>
            <w:r w:rsidRPr="00850A45">
              <w:rPr>
                <w:rFonts w:ascii="Times New Roman" w:hAnsi="Times New Roman" w:cs="Times New Roman"/>
                <w:b/>
                <w:bCs/>
                <w:sz w:val="20"/>
                <w:szCs w:val="20"/>
              </w:rPr>
              <w:t>283 409,1</w:t>
            </w:r>
          </w:p>
        </w:tc>
        <w:tc>
          <w:tcPr>
            <w:tcW w:w="987" w:type="dxa"/>
            <w:tcBorders>
              <w:top w:val="nil"/>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b/>
                <w:bCs/>
                <w:sz w:val="20"/>
                <w:szCs w:val="20"/>
              </w:rPr>
            </w:pPr>
            <w:r w:rsidRPr="00850A45">
              <w:rPr>
                <w:rFonts w:ascii="Times New Roman" w:hAnsi="Times New Roman" w:cs="Times New Roman"/>
                <w:b/>
                <w:bCs/>
                <w:sz w:val="20"/>
                <w:szCs w:val="20"/>
              </w:rPr>
              <w:t>283 606,3</w:t>
            </w:r>
          </w:p>
        </w:tc>
        <w:tc>
          <w:tcPr>
            <w:tcW w:w="1123" w:type="dxa"/>
            <w:tcBorders>
              <w:top w:val="nil"/>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b/>
                <w:bCs/>
                <w:sz w:val="20"/>
                <w:szCs w:val="20"/>
              </w:rPr>
            </w:pPr>
            <w:r w:rsidRPr="00850A45">
              <w:rPr>
                <w:rFonts w:ascii="Times New Roman" w:hAnsi="Times New Roman" w:cs="Times New Roman"/>
                <w:b/>
                <w:bCs/>
                <w:sz w:val="20"/>
                <w:szCs w:val="20"/>
              </w:rPr>
              <w:t>282 757,3</w:t>
            </w:r>
          </w:p>
        </w:tc>
        <w:tc>
          <w:tcPr>
            <w:tcW w:w="949" w:type="dxa"/>
            <w:tcBorders>
              <w:top w:val="nil"/>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b/>
                <w:bCs/>
                <w:sz w:val="20"/>
                <w:szCs w:val="20"/>
              </w:rPr>
            </w:pPr>
            <w:r w:rsidRPr="00850A45">
              <w:rPr>
                <w:rFonts w:ascii="Times New Roman" w:hAnsi="Times New Roman" w:cs="Times New Roman"/>
                <w:b/>
                <w:bCs/>
                <w:sz w:val="20"/>
                <w:szCs w:val="20"/>
              </w:rPr>
              <w:t>99,7</w:t>
            </w:r>
          </w:p>
        </w:tc>
        <w:tc>
          <w:tcPr>
            <w:tcW w:w="960" w:type="dxa"/>
            <w:tcBorders>
              <w:top w:val="nil"/>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b/>
                <w:bCs/>
                <w:sz w:val="20"/>
                <w:szCs w:val="20"/>
              </w:rPr>
            </w:pPr>
            <w:r w:rsidRPr="00850A45">
              <w:rPr>
                <w:rFonts w:ascii="Times New Roman" w:hAnsi="Times New Roman" w:cs="Times New Roman"/>
                <w:b/>
                <w:bCs/>
                <w:sz w:val="20"/>
                <w:szCs w:val="20"/>
              </w:rPr>
              <w:t>-849,0</w:t>
            </w:r>
          </w:p>
        </w:tc>
        <w:tc>
          <w:tcPr>
            <w:tcW w:w="1080" w:type="dxa"/>
            <w:tcBorders>
              <w:top w:val="nil"/>
              <w:left w:val="nil"/>
              <w:bottom w:val="single" w:sz="4" w:space="0" w:color="auto"/>
              <w:right w:val="single" w:sz="8" w:space="0" w:color="auto"/>
              <w:tl2br w:val="nil"/>
              <w:tr2bl w:val="nil"/>
            </w:tcBorders>
            <w:textDirection w:val="lrTb"/>
            <w:vAlign w:val="center"/>
          </w:tcPr>
          <w:p w:rsidR="00672D42" w:rsidRPr="00850A45" w:rsidP="00672D42">
            <w:pPr>
              <w:jc w:val="right"/>
              <w:rPr>
                <w:rFonts w:ascii="Times New Roman" w:hAnsi="Times New Roman" w:cs="Times New Roman"/>
                <w:b/>
                <w:bCs/>
                <w:sz w:val="20"/>
                <w:szCs w:val="20"/>
              </w:rPr>
            </w:pPr>
            <w:r w:rsidRPr="00850A45">
              <w:rPr>
                <w:rFonts w:ascii="Times New Roman" w:hAnsi="Times New Roman" w:cs="Times New Roman"/>
                <w:b/>
                <w:bCs/>
                <w:sz w:val="20"/>
                <w:szCs w:val="20"/>
              </w:rPr>
              <w:t>108,3</w:t>
            </w:r>
          </w:p>
        </w:tc>
      </w:tr>
      <w:tr>
        <w:tblPrEx>
          <w:tblW w:w="9197" w:type="dxa"/>
          <w:tblInd w:w="53" w:type="dxa"/>
          <w:tblCellMar>
            <w:left w:w="70" w:type="dxa"/>
            <w:right w:w="70" w:type="dxa"/>
          </w:tblCellMar>
        </w:tblPrEx>
        <w:trPr>
          <w:trHeight w:val="558"/>
        </w:trPr>
        <w:tc>
          <w:tcPr>
            <w:tcW w:w="1860" w:type="dxa"/>
            <w:tcBorders>
              <w:top w:val="nil"/>
              <w:left w:val="single" w:sz="8" w:space="0" w:color="auto"/>
              <w:bottom w:val="single" w:sz="4" w:space="0" w:color="auto"/>
              <w:right w:val="single" w:sz="4" w:space="0" w:color="auto"/>
              <w:tl2br w:val="nil"/>
              <w:tr2bl w:val="nil"/>
            </w:tcBorders>
            <w:textDirection w:val="lrTb"/>
            <w:vAlign w:val="center"/>
          </w:tcPr>
          <w:p w:rsidR="00672D42" w:rsidRPr="00850A45" w:rsidP="00672D42">
            <w:pPr>
              <w:rPr>
                <w:rFonts w:ascii="Times New Roman" w:hAnsi="Times New Roman" w:cs="Times New Roman"/>
                <w:sz w:val="20"/>
                <w:szCs w:val="20"/>
              </w:rPr>
            </w:pPr>
            <w:r w:rsidRPr="00850A45">
              <w:rPr>
                <w:rFonts w:ascii="Times New Roman" w:hAnsi="Times New Roman" w:cs="Times New Roman"/>
                <w:sz w:val="20"/>
                <w:szCs w:val="20"/>
              </w:rPr>
              <w:t>1. Mzdy, platy,</w:t>
            </w:r>
            <w:r w:rsidR="0037700B">
              <w:rPr>
                <w:rFonts w:ascii="Times New Roman" w:hAnsi="Times New Roman" w:cs="Times New Roman"/>
                <w:sz w:val="20"/>
                <w:szCs w:val="20"/>
              </w:rPr>
              <w:t xml:space="preserve"> </w:t>
            </w:r>
            <w:r w:rsidRPr="00850A45">
              <w:rPr>
                <w:rFonts w:ascii="Times New Roman" w:hAnsi="Times New Roman" w:cs="Times New Roman"/>
                <w:sz w:val="20"/>
                <w:szCs w:val="20"/>
              </w:rPr>
              <w:t xml:space="preserve">služobné príjmy a ostatné osobné vyrovnania  </w:t>
            </w:r>
          </w:p>
        </w:tc>
        <w:tc>
          <w:tcPr>
            <w:tcW w:w="1123" w:type="dxa"/>
            <w:tcBorders>
              <w:top w:val="nil"/>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35 613,0</w:t>
            </w:r>
          </w:p>
        </w:tc>
        <w:tc>
          <w:tcPr>
            <w:tcW w:w="1115" w:type="dxa"/>
            <w:tcBorders>
              <w:top w:val="nil"/>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38 631,1</w:t>
            </w:r>
          </w:p>
        </w:tc>
        <w:tc>
          <w:tcPr>
            <w:tcW w:w="987" w:type="dxa"/>
            <w:tcBorders>
              <w:top w:val="nil"/>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38 980,0</w:t>
            </w:r>
          </w:p>
        </w:tc>
        <w:tc>
          <w:tcPr>
            <w:tcW w:w="1123" w:type="dxa"/>
            <w:tcBorders>
              <w:top w:val="nil"/>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38 891,5</w:t>
            </w:r>
          </w:p>
        </w:tc>
        <w:tc>
          <w:tcPr>
            <w:tcW w:w="949" w:type="dxa"/>
            <w:tcBorders>
              <w:top w:val="nil"/>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99,8</w:t>
            </w:r>
          </w:p>
        </w:tc>
        <w:tc>
          <w:tcPr>
            <w:tcW w:w="960" w:type="dxa"/>
            <w:tcBorders>
              <w:top w:val="nil"/>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-88,5</w:t>
            </w:r>
          </w:p>
        </w:tc>
        <w:tc>
          <w:tcPr>
            <w:tcW w:w="1080" w:type="dxa"/>
            <w:tcBorders>
              <w:top w:val="nil"/>
              <w:left w:val="nil"/>
              <w:bottom w:val="single" w:sz="4" w:space="0" w:color="auto"/>
              <w:right w:val="single" w:sz="8"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109,2</w:t>
            </w:r>
          </w:p>
        </w:tc>
      </w:tr>
      <w:tr>
        <w:tblPrEx>
          <w:tblW w:w="9197" w:type="dxa"/>
          <w:tblInd w:w="53" w:type="dxa"/>
          <w:tblCellMar>
            <w:left w:w="70" w:type="dxa"/>
            <w:right w:w="70" w:type="dxa"/>
          </w:tblCellMar>
        </w:tblPrEx>
        <w:trPr>
          <w:trHeight w:val="543"/>
        </w:trPr>
        <w:tc>
          <w:tcPr>
            <w:tcW w:w="1860" w:type="dxa"/>
            <w:tcBorders>
              <w:top w:val="nil"/>
              <w:left w:val="single" w:sz="8" w:space="0" w:color="auto"/>
              <w:bottom w:val="single" w:sz="4" w:space="0" w:color="auto"/>
              <w:right w:val="single" w:sz="4" w:space="0" w:color="auto"/>
              <w:tl2br w:val="nil"/>
              <w:tr2bl w:val="nil"/>
            </w:tcBorders>
            <w:textDirection w:val="lrTb"/>
            <w:vAlign w:val="center"/>
          </w:tcPr>
          <w:p w:rsidR="00672D42" w:rsidRPr="00850A45" w:rsidP="00672D42">
            <w:pPr>
              <w:rPr>
                <w:rFonts w:ascii="Times New Roman" w:hAnsi="Times New Roman" w:cs="Times New Roman"/>
                <w:sz w:val="20"/>
                <w:szCs w:val="20"/>
              </w:rPr>
            </w:pPr>
            <w:r w:rsidRPr="00850A45">
              <w:rPr>
                <w:rFonts w:ascii="Times New Roman" w:hAnsi="Times New Roman" w:cs="Times New Roman"/>
                <w:sz w:val="20"/>
                <w:szCs w:val="20"/>
              </w:rPr>
              <w:t>2. Poistné a príspevok do poisťovní</w:t>
            </w:r>
          </w:p>
        </w:tc>
        <w:tc>
          <w:tcPr>
            <w:tcW w:w="1123" w:type="dxa"/>
            <w:tcBorders>
              <w:top w:val="nil"/>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10 848,6</w:t>
            </w:r>
          </w:p>
        </w:tc>
        <w:tc>
          <w:tcPr>
            <w:tcW w:w="1115" w:type="dxa"/>
            <w:tcBorders>
              <w:top w:val="nil"/>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12 613,1</w:t>
            </w:r>
          </w:p>
        </w:tc>
        <w:tc>
          <w:tcPr>
            <w:tcW w:w="987" w:type="dxa"/>
            <w:tcBorders>
              <w:top w:val="nil"/>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12 105,3</w:t>
            </w:r>
          </w:p>
        </w:tc>
        <w:tc>
          <w:tcPr>
            <w:tcW w:w="1123" w:type="dxa"/>
            <w:tcBorders>
              <w:top w:val="nil"/>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12 053,9</w:t>
            </w:r>
          </w:p>
        </w:tc>
        <w:tc>
          <w:tcPr>
            <w:tcW w:w="949" w:type="dxa"/>
            <w:tcBorders>
              <w:top w:val="nil"/>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99,6</w:t>
            </w:r>
          </w:p>
        </w:tc>
        <w:tc>
          <w:tcPr>
            <w:tcW w:w="960" w:type="dxa"/>
            <w:tcBorders>
              <w:top w:val="nil"/>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-51,4</w:t>
            </w:r>
          </w:p>
        </w:tc>
        <w:tc>
          <w:tcPr>
            <w:tcW w:w="1080" w:type="dxa"/>
            <w:tcBorders>
              <w:top w:val="nil"/>
              <w:left w:val="nil"/>
              <w:bottom w:val="single" w:sz="4" w:space="0" w:color="auto"/>
              <w:right w:val="single" w:sz="8"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111,1</w:t>
            </w:r>
          </w:p>
        </w:tc>
      </w:tr>
      <w:tr>
        <w:tblPrEx>
          <w:tblW w:w="9197" w:type="dxa"/>
          <w:tblInd w:w="53" w:type="dxa"/>
          <w:tblCellMar>
            <w:left w:w="70" w:type="dxa"/>
            <w:right w:w="70" w:type="dxa"/>
          </w:tblCellMar>
        </w:tblPrEx>
        <w:trPr>
          <w:trHeight w:val="283"/>
        </w:trPr>
        <w:tc>
          <w:tcPr>
            <w:tcW w:w="1860" w:type="dxa"/>
            <w:tcBorders>
              <w:top w:val="nil"/>
              <w:left w:val="single" w:sz="8" w:space="0" w:color="auto"/>
              <w:bottom w:val="single" w:sz="8" w:space="0" w:color="auto"/>
              <w:right w:val="single" w:sz="4" w:space="0" w:color="auto"/>
              <w:tl2br w:val="nil"/>
              <w:tr2bl w:val="nil"/>
            </w:tcBorders>
            <w:textDirection w:val="lrTb"/>
            <w:vAlign w:val="center"/>
          </w:tcPr>
          <w:p w:rsidR="00672D42" w:rsidRPr="00850A45" w:rsidP="00672D42">
            <w:pPr>
              <w:rPr>
                <w:rFonts w:ascii="Times New Roman" w:hAnsi="Times New Roman" w:cs="Times New Roman"/>
                <w:sz w:val="20"/>
                <w:szCs w:val="20"/>
              </w:rPr>
            </w:pPr>
            <w:r w:rsidRPr="00850A45">
              <w:rPr>
                <w:rFonts w:ascii="Times New Roman" w:hAnsi="Times New Roman" w:cs="Times New Roman"/>
                <w:sz w:val="20"/>
                <w:szCs w:val="20"/>
              </w:rPr>
              <w:t>3. Tovary a služby</w:t>
            </w:r>
          </w:p>
        </w:tc>
        <w:tc>
          <w:tcPr>
            <w:tcW w:w="1123" w:type="dxa"/>
            <w:tcBorders>
              <w:top w:val="nil"/>
              <w:left w:val="nil"/>
              <w:bottom w:val="single" w:sz="8"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38 456,9</w:t>
            </w:r>
          </w:p>
        </w:tc>
        <w:tc>
          <w:tcPr>
            <w:tcW w:w="1115" w:type="dxa"/>
            <w:tcBorders>
              <w:top w:val="nil"/>
              <w:left w:val="nil"/>
              <w:bottom w:val="single" w:sz="8"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43 811,3</w:t>
            </w:r>
          </w:p>
        </w:tc>
        <w:tc>
          <w:tcPr>
            <w:tcW w:w="987" w:type="dxa"/>
            <w:tcBorders>
              <w:top w:val="nil"/>
              <w:left w:val="nil"/>
              <w:bottom w:val="single" w:sz="8"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41 095,6</w:t>
            </w:r>
          </w:p>
        </w:tc>
        <w:tc>
          <w:tcPr>
            <w:tcW w:w="1123" w:type="dxa"/>
            <w:tcBorders>
              <w:top w:val="nil"/>
              <w:left w:val="nil"/>
              <w:bottom w:val="single" w:sz="8"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41 291,3</w:t>
            </w:r>
          </w:p>
        </w:tc>
        <w:tc>
          <w:tcPr>
            <w:tcW w:w="949" w:type="dxa"/>
            <w:tcBorders>
              <w:top w:val="nil"/>
              <w:left w:val="nil"/>
              <w:bottom w:val="single" w:sz="8"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100,5</w:t>
            </w:r>
          </w:p>
        </w:tc>
        <w:tc>
          <w:tcPr>
            <w:tcW w:w="960" w:type="dxa"/>
            <w:tcBorders>
              <w:top w:val="nil"/>
              <w:left w:val="nil"/>
              <w:bottom w:val="single" w:sz="8"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195,7</w:t>
            </w:r>
          </w:p>
        </w:tc>
        <w:tc>
          <w:tcPr>
            <w:tcW w:w="1080" w:type="dxa"/>
            <w:tcBorders>
              <w:top w:val="nil"/>
              <w:left w:val="nil"/>
              <w:bottom w:val="single" w:sz="8" w:space="0" w:color="auto"/>
              <w:right w:val="single" w:sz="8"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107,4</w:t>
            </w:r>
          </w:p>
        </w:tc>
      </w:tr>
      <w:tr>
        <w:tblPrEx>
          <w:tblW w:w="9197" w:type="dxa"/>
          <w:tblInd w:w="53" w:type="dxa"/>
          <w:tblCellMar>
            <w:left w:w="70" w:type="dxa"/>
            <w:right w:w="70" w:type="dxa"/>
          </w:tblCellMar>
        </w:tblPrEx>
        <w:trPr>
          <w:trHeight w:val="349"/>
        </w:trPr>
        <w:tc>
          <w:tcPr>
            <w:tcW w:w="1860"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672D42" w:rsidRPr="00850A45" w:rsidP="00672D42">
            <w:pPr>
              <w:rPr>
                <w:rFonts w:ascii="Times New Roman" w:hAnsi="Times New Roman" w:cs="Times New Roman"/>
                <w:sz w:val="20"/>
                <w:szCs w:val="20"/>
              </w:rPr>
            </w:pPr>
            <w:r w:rsidRPr="00850A45">
              <w:rPr>
                <w:rFonts w:ascii="Times New Roman" w:hAnsi="Times New Roman" w:cs="Times New Roman"/>
                <w:sz w:val="20"/>
                <w:szCs w:val="20"/>
              </w:rPr>
              <w:t>4. Bežné transfery</w:t>
            </w:r>
          </w:p>
        </w:tc>
        <w:tc>
          <w:tcPr>
            <w:tcW w:w="1123" w:type="dxa"/>
            <w:tcBorders>
              <w:top w:val="single" w:sz="8"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152 451,7</w:t>
            </w:r>
          </w:p>
        </w:tc>
        <w:tc>
          <w:tcPr>
            <w:tcW w:w="1115" w:type="dxa"/>
            <w:tcBorders>
              <w:top w:val="single" w:sz="8"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164 325,7</w:t>
            </w:r>
          </w:p>
        </w:tc>
        <w:tc>
          <w:tcPr>
            <w:tcW w:w="987" w:type="dxa"/>
            <w:tcBorders>
              <w:top w:val="single" w:sz="8"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164 828,3</w:t>
            </w:r>
          </w:p>
        </w:tc>
        <w:tc>
          <w:tcPr>
            <w:tcW w:w="1123" w:type="dxa"/>
            <w:tcBorders>
              <w:top w:val="single" w:sz="8"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164 150,6</w:t>
            </w:r>
          </w:p>
        </w:tc>
        <w:tc>
          <w:tcPr>
            <w:tcW w:w="949" w:type="dxa"/>
            <w:tcBorders>
              <w:top w:val="single" w:sz="8"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99,6</w:t>
            </w:r>
          </w:p>
        </w:tc>
        <w:tc>
          <w:tcPr>
            <w:tcW w:w="960" w:type="dxa"/>
            <w:tcBorders>
              <w:top w:val="single" w:sz="8"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-677,7</w:t>
            </w:r>
          </w:p>
        </w:tc>
        <w:tc>
          <w:tcPr>
            <w:tcW w:w="1080" w:type="dxa"/>
            <w:tcBorders>
              <w:top w:val="single" w:sz="8" w:space="0" w:color="auto"/>
              <w:left w:val="nil"/>
              <w:bottom w:val="single" w:sz="4" w:space="0" w:color="auto"/>
              <w:right w:val="single" w:sz="8"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107,7</w:t>
            </w:r>
          </w:p>
        </w:tc>
      </w:tr>
      <w:tr>
        <w:tblPrEx>
          <w:tblW w:w="9197" w:type="dxa"/>
          <w:tblInd w:w="53" w:type="dxa"/>
          <w:tblCellMar>
            <w:left w:w="70" w:type="dxa"/>
            <w:right w:w="70" w:type="dxa"/>
          </w:tblCellMar>
        </w:tblPrEx>
        <w:trPr>
          <w:trHeight w:val="416"/>
        </w:trPr>
        <w:tc>
          <w:tcPr>
            <w:tcW w:w="1860"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672D42" w:rsidRPr="00850A45" w:rsidP="00672D42">
            <w:pPr>
              <w:rPr>
                <w:rFonts w:ascii="Times New Roman" w:hAnsi="Times New Roman" w:cs="Times New Roman"/>
                <w:sz w:val="20"/>
                <w:szCs w:val="20"/>
              </w:rPr>
            </w:pPr>
            <w:r w:rsidRPr="00850A45">
              <w:rPr>
                <w:rFonts w:ascii="Times New Roman" w:hAnsi="Times New Roman" w:cs="Times New Roman"/>
                <w:sz w:val="20"/>
                <w:szCs w:val="20"/>
              </w:rPr>
              <w:t>4.1. v rámci verejnej správy</w:t>
            </w:r>
          </w:p>
        </w:tc>
        <w:tc>
          <w:tcPr>
            <w:tcW w:w="1123"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46 240,9</w:t>
            </w:r>
          </w:p>
        </w:tc>
        <w:tc>
          <w:tcPr>
            <w:tcW w:w="1115"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47 75</w:t>
            </w:r>
            <w:r w:rsidRPr="00850A45">
              <w:rPr>
                <w:rFonts w:ascii="Times New Roman" w:hAnsi="Times New Roman" w:cs="Times New Roman"/>
                <w:sz w:val="20"/>
                <w:szCs w:val="20"/>
              </w:rPr>
              <w:t>9,4</w:t>
            </w:r>
          </w:p>
        </w:tc>
        <w:tc>
          <w:tcPr>
            <w:tcW w:w="987"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48 719,8</w:t>
            </w:r>
          </w:p>
        </w:tc>
        <w:tc>
          <w:tcPr>
            <w:tcW w:w="1123"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48 686,0</w:t>
            </w:r>
          </w:p>
        </w:tc>
        <w:tc>
          <w:tcPr>
            <w:tcW w:w="949"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99,9</w:t>
            </w:r>
          </w:p>
        </w:tc>
        <w:tc>
          <w:tcPr>
            <w:tcW w:w="960"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-33,8</w:t>
            </w:r>
          </w:p>
        </w:tc>
        <w:tc>
          <w:tcPr>
            <w:tcW w:w="1080" w:type="dxa"/>
            <w:tcBorders>
              <w:top w:val="single" w:sz="4" w:space="0" w:color="auto"/>
              <w:left w:val="nil"/>
              <w:bottom w:val="single" w:sz="4" w:space="0" w:color="auto"/>
              <w:right w:val="single" w:sz="8"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105,3</w:t>
            </w:r>
          </w:p>
        </w:tc>
      </w:tr>
      <w:tr>
        <w:tblPrEx>
          <w:tblW w:w="9197" w:type="dxa"/>
          <w:tblInd w:w="53" w:type="dxa"/>
          <w:tblCellMar>
            <w:left w:w="70" w:type="dxa"/>
            <w:right w:w="70" w:type="dxa"/>
          </w:tblCellMar>
        </w:tblPrEx>
        <w:trPr>
          <w:trHeight w:val="496"/>
        </w:trPr>
        <w:tc>
          <w:tcPr>
            <w:tcW w:w="1860"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672D42" w:rsidRPr="00850A45" w:rsidP="00672D42">
            <w:pPr>
              <w:rPr>
                <w:rFonts w:ascii="Times New Roman" w:hAnsi="Times New Roman" w:cs="Times New Roman"/>
                <w:sz w:val="20"/>
                <w:szCs w:val="20"/>
              </w:rPr>
            </w:pPr>
            <w:r w:rsidRPr="00850A45">
              <w:rPr>
                <w:rFonts w:ascii="Times New Roman" w:hAnsi="Times New Roman" w:cs="Times New Roman"/>
                <w:sz w:val="20"/>
                <w:szCs w:val="20"/>
              </w:rPr>
              <w:t>4.2. jednotlivcom a neziskovým právnickým osobám</w:t>
            </w:r>
          </w:p>
        </w:tc>
        <w:tc>
          <w:tcPr>
            <w:tcW w:w="1123"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69 330,8</w:t>
            </w:r>
          </w:p>
        </w:tc>
        <w:tc>
          <w:tcPr>
            <w:tcW w:w="1115"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76 729,9</w:t>
            </w:r>
          </w:p>
        </w:tc>
        <w:tc>
          <w:tcPr>
            <w:tcW w:w="987"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76 503,1</w:t>
            </w:r>
          </w:p>
        </w:tc>
        <w:tc>
          <w:tcPr>
            <w:tcW w:w="1123"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75 878,9</w:t>
            </w:r>
          </w:p>
        </w:tc>
        <w:tc>
          <w:tcPr>
            <w:tcW w:w="949"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99,2</w:t>
            </w:r>
          </w:p>
        </w:tc>
        <w:tc>
          <w:tcPr>
            <w:tcW w:w="960"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-624,2</w:t>
            </w:r>
          </w:p>
        </w:tc>
        <w:tc>
          <w:tcPr>
            <w:tcW w:w="1080" w:type="dxa"/>
            <w:tcBorders>
              <w:top w:val="single" w:sz="4" w:space="0" w:color="auto"/>
              <w:left w:val="nil"/>
              <w:bottom w:val="single" w:sz="4" w:space="0" w:color="auto"/>
              <w:right w:val="single" w:sz="8"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109,4</w:t>
            </w:r>
          </w:p>
        </w:tc>
      </w:tr>
      <w:tr>
        <w:tblPrEx>
          <w:tblW w:w="9197" w:type="dxa"/>
          <w:tblInd w:w="53" w:type="dxa"/>
          <w:tblCellMar>
            <w:left w:w="70" w:type="dxa"/>
            <w:right w:w="70" w:type="dxa"/>
          </w:tblCellMar>
        </w:tblPrEx>
        <w:trPr>
          <w:trHeight w:val="590"/>
        </w:trPr>
        <w:tc>
          <w:tcPr>
            <w:tcW w:w="1860"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672D42" w:rsidRPr="00850A45" w:rsidP="00672D42">
            <w:pPr>
              <w:rPr>
                <w:rFonts w:ascii="Times New Roman" w:hAnsi="Times New Roman" w:cs="Times New Roman"/>
                <w:sz w:val="20"/>
                <w:szCs w:val="20"/>
              </w:rPr>
            </w:pPr>
            <w:r w:rsidRPr="00850A45">
              <w:rPr>
                <w:rFonts w:ascii="Times New Roman" w:hAnsi="Times New Roman" w:cs="Times New Roman"/>
                <w:sz w:val="20"/>
                <w:szCs w:val="20"/>
              </w:rPr>
              <w:t>4.3. nefinanč.</w:t>
            </w:r>
            <w:r w:rsidR="0037700B">
              <w:rPr>
                <w:rFonts w:ascii="Times New Roman" w:hAnsi="Times New Roman" w:cs="Times New Roman"/>
                <w:sz w:val="20"/>
                <w:szCs w:val="20"/>
              </w:rPr>
              <w:t xml:space="preserve"> </w:t>
            </w:r>
            <w:r w:rsidRPr="00850A45">
              <w:rPr>
                <w:rFonts w:ascii="Times New Roman" w:hAnsi="Times New Roman" w:cs="Times New Roman"/>
                <w:sz w:val="20"/>
                <w:szCs w:val="20"/>
              </w:rPr>
              <w:t>subjektom a PO nezaradeným vo verejnej správe</w:t>
            </w:r>
          </w:p>
        </w:tc>
        <w:tc>
          <w:tcPr>
            <w:tcW w:w="1123"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22 894,3</w:t>
            </w:r>
          </w:p>
        </w:tc>
        <w:tc>
          <w:tcPr>
            <w:tcW w:w="1115"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24 220,2</w:t>
            </w:r>
          </w:p>
        </w:tc>
        <w:tc>
          <w:tcPr>
            <w:tcW w:w="987"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24 709,5</w:t>
            </w:r>
          </w:p>
        </w:tc>
        <w:tc>
          <w:tcPr>
            <w:tcW w:w="1123"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24 710,1</w:t>
            </w:r>
          </w:p>
        </w:tc>
        <w:tc>
          <w:tcPr>
            <w:tcW w:w="949"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100,0</w:t>
            </w:r>
          </w:p>
        </w:tc>
        <w:tc>
          <w:tcPr>
            <w:tcW w:w="960"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0,6</w:t>
            </w:r>
          </w:p>
        </w:tc>
        <w:tc>
          <w:tcPr>
            <w:tcW w:w="1080" w:type="dxa"/>
            <w:tcBorders>
              <w:top w:val="single" w:sz="4" w:space="0" w:color="auto"/>
              <w:left w:val="nil"/>
              <w:bottom w:val="single" w:sz="4" w:space="0" w:color="auto"/>
              <w:right w:val="single" w:sz="8"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107,9</w:t>
            </w:r>
          </w:p>
        </w:tc>
      </w:tr>
      <w:tr>
        <w:tblPrEx>
          <w:tblW w:w="9197" w:type="dxa"/>
          <w:tblInd w:w="53" w:type="dxa"/>
          <w:tblCellMar>
            <w:left w:w="70" w:type="dxa"/>
            <w:right w:w="70" w:type="dxa"/>
          </w:tblCellMar>
        </w:tblPrEx>
        <w:trPr>
          <w:trHeight w:val="558"/>
        </w:trPr>
        <w:tc>
          <w:tcPr>
            <w:tcW w:w="1860"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672D42" w:rsidRPr="00850A45" w:rsidP="00672D42">
            <w:pPr>
              <w:rPr>
                <w:rFonts w:ascii="Times New Roman" w:hAnsi="Times New Roman" w:cs="Times New Roman"/>
                <w:sz w:val="20"/>
                <w:szCs w:val="20"/>
              </w:rPr>
            </w:pPr>
            <w:r w:rsidRPr="00850A45">
              <w:rPr>
                <w:rFonts w:ascii="Times New Roman" w:hAnsi="Times New Roman" w:cs="Times New Roman"/>
                <w:sz w:val="20"/>
                <w:szCs w:val="20"/>
              </w:rPr>
              <w:t>4.4. do tuzemských finančných inštitúcií</w:t>
            </w:r>
          </w:p>
        </w:tc>
        <w:tc>
          <w:tcPr>
            <w:tcW w:w="1123"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214,1</w:t>
            </w:r>
          </w:p>
        </w:tc>
        <w:tc>
          <w:tcPr>
            <w:tcW w:w="1115"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309,4</w:t>
            </w:r>
          </w:p>
        </w:tc>
        <w:tc>
          <w:tcPr>
            <w:tcW w:w="987"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219,4</w:t>
            </w:r>
          </w:p>
        </w:tc>
        <w:tc>
          <w:tcPr>
            <w:tcW w:w="1123"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209,1</w:t>
            </w:r>
          </w:p>
        </w:tc>
        <w:tc>
          <w:tcPr>
            <w:tcW w:w="949"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95,3</w:t>
            </w:r>
          </w:p>
        </w:tc>
        <w:tc>
          <w:tcPr>
            <w:tcW w:w="960"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-10,3</w:t>
            </w:r>
          </w:p>
        </w:tc>
        <w:tc>
          <w:tcPr>
            <w:tcW w:w="1080" w:type="dxa"/>
            <w:tcBorders>
              <w:top w:val="single" w:sz="4" w:space="0" w:color="auto"/>
              <w:left w:val="nil"/>
              <w:bottom w:val="single" w:sz="4" w:space="0" w:color="auto"/>
              <w:right w:val="single" w:sz="8"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97,7</w:t>
            </w:r>
          </w:p>
        </w:tc>
      </w:tr>
      <w:tr>
        <w:tblPrEx>
          <w:tblW w:w="9197" w:type="dxa"/>
          <w:tblInd w:w="53" w:type="dxa"/>
          <w:tblCellMar>
            <w:left w:w="70" w:type="dxa"/>
            <w:right w:w="70" w:type="dxa"/>
          </w:tblCellMar>
        </w:tblPrEx>
        <w:trPr>
          <w:trHeight w:val="251"/>
        </w:trPr>
        <w:tc>
          <w:tcPr>
            <w:tcW w:w="1860"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672D42" w:rsidRPr="00850A45" w:rsidP="00672D42">
            <w:pPr>
              <w:rPr>
                <w:rFonts w:ascii="Times New Roman" w:hAnsi="Times New Roman" w:cs="Times New Roman"/>
                <w:sz w:val="20"/>
                <w:szCs w:val="20"/>
              </w:rPr>
            </w:pPr>
            <w:r w:rsidRPr="00850A45">
              <w:rPr>
                <w:rFonts w:ascii="Times New Roman" w:hAnsi="Times New Roman" w:cs="Times New Roman"/>
                <w:sz w:val="20"/>
                <w:szCs w:val="20"/>
              </w:rPr>
              <w:t>4.5. do zahraničia</w:t>
            </w:r>
          </w:p>
        </w:tc>
        <w:tc>
          <w:tcPr>
            <w:tcW w:w="1123"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13 771,6</w:t>
            </w:r>
          </w:p>
        </w:tc>
        <w:tc>
          <w:tcPr>
            <w:tcW w:w="1115"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15 306,8</w:t>
            </w:r>
          </w:p>
        </w:tc>
        <w:tc>
          <w:tcPr>
            <w:tcW w:w="987"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14 676,5</w:t>
            </w:r>
          </w:p>
        </w:tc>
        <w:tc>
          <w:tcPr>
            <w:tcW w:w="1123"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14 666,5</w:t>
            </w:r>
          </w:p>
        </w:tc>
        <w:tc>
          <w:tcPr>
            <w:tcW w:w="949"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99,9</w:t>
            </w:r>
          </w:p>
        </w:tc>
        <w:tc>
          <w:tcPr>
            <w:tcW w:w="960"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-10,0</w:t>
            </w:r>
          </w:p>
        </w:tc>
        <w:tc>
          <w:tcPr>
            <w:tcW w:w="1080" w:type="dxa"/>
            <w:tcBorders>
              <w:top w:val="single" w:sz="4" w:space="0" w:color="auto"/>
              <w:left w:val="nil"/>
              <w:bottom w:val="single" w:sz="4" w:space="0" w:color="auto"/>
              <w:right w:val="single" w:sz="8"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106,5</w:t>
            </w:r>
          </w:p>
        </w:tc>
      </w:tr>
      <w:tr>
        <w:tblPrEx>
          <w:tblW w:w="9197" w:type="dxa"/>
          <w:tblInd w:w="53" w:type="dxa"/>
          <w:tblCellMar>
            <w:left w:w="70" w:type="dxa"/>
            <w:right w:w="70" w:type="dxa"/>
          </w:tblCellMar>
        </w:tblPrEx>
        <w:trPr>
          <w:trHeight w:val="543"/>
        </w:trPr>
        <w:tc>
          <w:tcPr>
            <w:tcW w:w="1860"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672D42" w:rsidRPr="00850A45" w:rsidP="00672D42">
            <w:pPr>
              <w:rPr>
                <w:rFonts w:ascii="Times New Roman" w:hAnsi="Times New Roman" w:cs="Times New Roman"/>
                <w:sz w:val="20"/>
                <w:szCs w:val="20"/>
              </w:rPr>
            </w:pPr>
            <w:r w:rsidRPr="00850A45">
              <w:rPr>
                <w:rFonts w:ascii="Times New Roman" w:hAnsi="Times New Roman" w:cs="Times New Roman"/>
                <w:sz w:val="20"/>
                <w:szCs w:val="20"/>
              </w:rPr>
              <w:t>5. Splácanie úrokov a ostatné platby súvisiace s úvermi</w:t>
            </w:r>
          </w:p>
        </w:tc>
        <w:tc>
          <w:tcPr>
            <w:tcW w:w="1123"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23 717,4</w:t>
            </w:r>
          </w:p>
        </w:tc>
        <w:tc>
          <w:tcPr>
            <w:tcW w:w="1115"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24 027,9</w:t>
            </w:r>
          </w:p>
        </w:tc>
        <w:tc>
          <w:tcPr>
            <w:tcW w:w="987"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26 597,1</w:t>
            </w:r>
          </w:p>
        </w:tc>
        <w:tc>
          <w:tcPr>
            <w:tcW w:w="1123"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26 370,0</w:t>
            </w:r>
          </w:p>
        </w:tc>
        <w:tc>
          <w:tcPr>
            <w:tcW w:w="949"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99,1</w:t>
            </w:r>
          </w:p>
        </w:tc>
        <w:tc>
          <w:tcPr>
            <w:tcW w:w="960"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-2</w:t>
            </w:r>
            <w:r w:rsidRPr="00850A45">
              <w:rPr>
                <w:rFonts w:ascii="Times New Roman" w:hAnsi="Times New Roman" w:cs="Times New Roman"/>
                <w:sz w:val="20"/>
                <w:szCs w:val="20"/>
              </w:rPr>
              <w:t>27,1</w:t>
            </w:r>
          </w:p>
        </w:tc>
        <w:tc>
          <w:tcPr>
            <w:tcW w:w="1080" w:type="dxa"/>
            <w:tcBorders>
              <w:top w:val="single" w:sz="4" w:space="0" w:color="auto"/>
              <w:left w:val="nil"/>
              <w:bottom w:val="single" w:sz="4" w:space="0" w:color="auto"/>
              <w:right w:val="single" w:sz="8"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111,2</w:t>
            </w:r>
          </w:p>
        </w:tc>
      </w:tr>
      <w:tr>
        <w:tblPrEx>
          <w:tblW w:w="9197" w:type="dxa"/>
          <w:tblInd w:w="53" w:type="dxa"/>
          <w:tblCellMar>
            <w:left w:w="70" w:type="dxa"/>
            <w:right w:w="70" w:type="dxa"/>
          </w:tblCellMar>
        </w:tblPrEx>
        <w:trPr>
          <w:trHeight w:val="416"/>
        </w:trPr>
        <w:tc>
          <w:tcPr>
            <w:tcW w:w="1860"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672D42" w:rsidRPr="00850A45" w:rsidP="00672D42">
            <w:pPr>
              <w:rPr>
                <w:rFonts w:ascii="Times New Roman" w:hAnsi="Times New Roman" w:cs="Times New Roman"/>
                <w:b/>
                <w:bCs/>
                <w:sz w:val="20"/>
                <w:szCs w:val="20"/>
              </w:rPr>
            </w:pPr>
            <w:r w:rsidRPr="00850A45">
              <w:rPr>
                <w:rFonts w:ascii="Times New Roman" w:hAnsi="Times New Roman" w:cs="Times New Roman"/>
                <w:b/>
                <w:bCs/>
                <w:sz w:val="20"/>
                <w:szCs w:val="20"/>
              </w:rPr>
              <w:t>B.  Kapitálové výdavky</w:t>
            </w:r>
          </w:p>
        </w:tc>
        <w:tc>
          <w:tcPr>
            <w:tcW w:w="1123"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b/>
                <w:bCs/>
                <w:sz w:val="20"/>
                <w:szCs w:val="20"/>
              </w:rPr>
            </w:pPr>
            <w:r w:rsidRPr="00850A45">
              <w:rPr>
                <w:rFonts w:ascii="Times New Roman" w:hAnsi="Times New Roman" w:cs="Times New Roman"/>
                <w:b/>
                <w:bCs/>
                <w:sz w:val="20"/>
                <w:szCs w:val="20"/>
              </w:rPr>
              <w:t>31 492,7</w:t>
            </w:r>
          </w:p>
        </w:tc>
        <w:tc>
          <w:tcPr>
            <w:tcW w:w="1115"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b/>
                <w:bCs/>
                <w:sz w:val="20"/>
                <w:szCs w:val="20"/>
              </w:rPr>
            </w:pPr>
            <w:r w:rsidRPr="00850A45">
              <w:rPr>
                <w:rFonts w:ascii="Times New Roman" w:hAnsi="Times New Roman" w:cs="Times New Roman"/>
                <w:b/>
                <w:bCs/>
                <w:sz w:val="20"/>
                <w:szCs w:val="20"/>
              </w:rPr>
              <w:t>46 776,0</w:t>
            </w:r>
          </w:p>
        </w:tc>
        <w:tc>
          <w:tcPr>
            <w:tcW w:w="987"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b/>
                <w:bCs/>
                <w:sz w:val="20"/>
                <w:szCs w:val="20"/>
              </w:rPr>
            </w:pPr>
            <w:r w:rsidRPr="00850A45">
              <w:rPr>
                <w:rFonts w:ascii="Times New Roman" w:hAnsi="Times New Roman" w:cs="Times New Roman"/>
                <w:b/>
                <w:bCs/>
                <w:sz w:val="20"/>
                <w:szCs w:val="20"/>
              </w:rPr>
              <w:t>40 343,4</w:t>
            </w:r>
          </w:p>
        </w:tc>
        <w:tc>
          <w:tcPr>
            <w:tcW w:w="1123"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b/>
                <w:bCs/>
                <w:sz w:val="20"/>
                <w:szCs w:val="20"/>
              </w:rPr>
            </w:pPr>
            <w:r w:rsidRPr="00850A45">
              <w:rPr>
                <w:rFonts w:ascii="Times New Roman" w:hAnsi="Times New Roman" w:cs="Times New Roman"/>
                <w:b/>
                <w:bCs/>
                <w:sz w:val="20"/>
                <w:szCs w:val="20"/>
              </w:rPr>
              <w:t>40 897,6</w:t>
            </w:r>
          </w:p>
        </w:tc>
        <w:tc>
          <w:tcPr>
            <w:tcW w:w="949"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b/>
                <w:bCs/>
                <w:sz w:val="20"/>
                <w:szCs w:val="20"/>
              </w:rPr>
            </w:pPr>
            <w:r w:rsidRPr="00850A45">
              <w:rPr>
                <w:rFonts w:ascii="Times New Roman" w:hAnsi="Times New Roman" w:cs="Times New Roman"/>
                <w:b/>
                <w:bCs/>
                <w:sz w:val="20"/>
                <w:szCs w:val="20"/>
              </w:rPr>
              <w:t>101,4</w:t>
            </w:r>
          </w:p>
        </w:tc>
        <w:tc>
          <w:tcPr>
            <w:tcW w:w="960"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b/>
                <w:bCs/>
                <w:sz w:val="20"/>
                <w:szCs w:val="20"/>
              </w:rPr>
            </w:pPr>
            <w:r w:rsidRPr="00850A45">
              <w:rPr>
                <w:rFonts w:ascii="Times New Roman" w:hAnsi="Times New Roman" w:cs="Times New Roman"/>
                <w:b/>
                <w:bCs/>
                <w:sz w:val="20"/>
                <w:szCs w:val="20"/>
              </w:rPr>
              <w:t>554,2</w:t>
            </w:r>
          </w:p>
        </w:tc>
        <w:tc>
          <w:tcPr>
            <w:tcW w:w="1080" w:type="dxa"/>
            <w:tcBorders>
              <w:top w:val="single" w:sz="4" w:space="0" w:color="auto"/>
              <w:left w:val="nil"/>
              <w:bottom w:val="single" w:sz="4" w:space="0" w:color="auto"/>
              <w:right w:val="single" w:sz="8" w:space="0" w:color="auto"/>
              <w:tl2br w:val="nil"/>
              <w:tr2bl w:val="nil"/>
            </w:tcBorders>
            <w:textDirection w:val="lrTb"/>
            <w:vAlign w:val="center"/>
          </w:tcPr>
          <w:p w:rsidR="00672D42" w:rsidRPr="00850A45" w:rsidP="00672D42">
            <w:pPr>
              <w:jc w:val="right"/>
              <w:rPr>
                <w:rFonts w:ascii="Times New Roman" w:hAnsi="Times New Roman" w:cs="Times New Roman"/>
                <w:b/>
                <w:bCs/>
                <w:sz w:val="20"/>
                <w:szCs w:val="20"/>
              </w:rPr>
            </w:pPr>
            <w:r w:rsidRPr="00850A45">
              <w:rPr>
                <w:rFonts w:ascii="Times New Roman" w:hAnsi="Times New Roman" w:cs="Times New Roman"/>
                <w:b/>
                <w:bCs/>
                <w:sz w:val="20"/>
                <w:szCs w:val="20"/>
              </w:rPr>
              <w:t>129,9</w:t>
            </w:r>
          </w:p>
        </w:tc>
      </w:tr>
      <w:tr>
        <w:tblPrEx>
          <w:tblW w:w="9197" w:type="dxa"/>
          <w:tblInd w:w="53" w:type="dxa"/>
          <w:tblCellMar>
            <w:left w:w="70" w:type="dxa"/>
            <w:right w:w="70" w:type="dxa"/>
          </w:tblCellMar>
        </w:tblPrEx>
        <w:trPr>
          <w:trHeight w:val="416"/>
        </w:trPr>
        <w:tc>
          <w:tcPr>
            <w:tcW w:w="1860"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672D42" w:rsidRPr="00850A45" w:rsidP="00672D42">
            <w:pPr>
              <w:rPr>
                <w:rFonts w:ascii="Times New Roman" w:hAnsi="Times New Roman" w:cs="Times New Roman"/>
                <w:sz w:val="20"/>
                <w:szCs w:val="20"/>
              </w:rPr>
            </w:pPr>
            <w:r w:rsidRPr="00850A45">
              <w:rPr>
                <w:rFonts w:ascii="Times New Roman" w:hAnsi="Times New Roman" w:cs="Times New Roman"/>
                <w:sz w:val="20"/>
                <w:szCs w:val="20"/>
              </w:rPr>
              <w:t>1. Obstarávanie kapitálových aktív</w:t>
            </w:r>
          </w:p>
        </w:tc>
        <w:tc>
          <w:tcPr>
            <w:tcW w:w="1123"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10 785,6</w:t>
            </w:r>
          </w:p>
        </w:tc>
        <w:tc>
          <w:tcPr>
            <w:tcW w:w="1115"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12 165,1</w:t>
            </w:r>
          </w:p>
        </w:tc>
        <w:tc>
          <w:tcPr>
            <w:tcW w:w="987"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9 720,9</w:t>
            </w:r>
          </w:p>
        </w:tc>
        <w:tc>
          <w:tcPr>
            <w:tcW w:w="1123"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10 174,1</w:t>
            </w:r>
          </w:p>
        </w:tc>
        <w:tc>
          <w:tcPr>
            <w:tcW w:w="949"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104,7</w:t>
            </w:r>
          </w:p>
        </w:tc>
        <w:tc>
          <w:tcPr>
            <w:tcW w:w="960"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453,2</w:t>
            </w:r>
          </w:p>
        </w:tc>
        <w:tc>
          <w:tcPr>
            <w:tcW w:w="1080" w:type="dxa"/>
            <w:tcBorders>
              <w:top w:val="single" w:sz="4" w:space="0" w:color="auto"/>
              <w:left w:val="nil"/>
              <w:bottom w:val="single" w:sz="4" w:space="0" w:color="auto"/>
              <w:right w:val="single" w:sz="8"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94,3</w:t>
            </w:r>
          </w:p>
        </w:tc>
      </w:tr>
      <w:tr>
        <w:tblPrEx>
          <w:tblW w:w="9197" w:type="dxa"/>
          <w:tblInd w:w="53" w:type="dxa"/>
          <w:tblCellMar>
            <w:left w:w="70" w:type="dxa"/>
            <w:right w:w="70" w:type="dxa"/>
          </w:tblCellMar>
        </w:tblPrEx>
        <w:trPr>
          <w:trHeight w:val="155"/>
        </w:trPr>
        <w:tc>
          <w:tcPr>
            <w:tcW w:w="1860"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672D42" w:rsidRPr="00850A45" w:rsidP="00672D42">
            <w:pPr>
              <w:rPr>
                <w:rFonts w:ascii="Times New Roman" w:hAnsi="Times New Roman" w:cs="Times New Roman"/>
                <w:sz w:val="20"/>
                <w:szCs w:val="20"/>
              </w:rPr>
            </w:pPr>
            <w:r w:rsidRPr="00850A45">
              <w:rPr>
                <w:rFonts w:ascii="Times New Roman" w:hAnsi="Times New Roman" w:cs="Times New Roman"/>
                <w:sz w:val="20"/>
                <w:szCs w:val="20"/>
              </w:rPr>
              <w:t>2. Kapitálové transfery</w:t>
            </w:r>
          </w:p>
        </w:tc>
        <w:tc>
          <w:tcPr>
            <w:tcW w:w="1123"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20 707,1</w:t>
            </w:r>
          </w:p>
        </w:tc>
        <w:tc>
          <w:tcPr>
            <w:tcW w:w="1115"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34 610,9</w:t>
            </w:r>
          </w:p>
        </w:tc>
        <w:tc>
          <w:tcPr>
            <w:tcW w:w="987"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30 622,5</w:t>
            </w:r>
          </w:p>
        </w:tc>
        <w:tc>
          <w:tcPr>
            <w:tcW w:w="1123"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30 723,5</w:t>
            </w:r>
          </w:p>
        </w:tc>
        <w:tc>
          <w:tcPr>
            <w:tcW w:w="949"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100,3</w:t>
            </w:r>
          </w:p>
        </w:tc>
        <w:tc>
          <w:tcPr>
            <w:tcW w:w="960" w:type="dxa"/>
            <w:tcBorders>
              <w:top w:val="single" w:sz="4" w:space="0" w:color="auto"/>
              <w:left w:val="nil"/>
              <w:bottom w:val="single" w:sz="4"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101,0</w:t>
            </w:r>
          </w:p>
        </w:tc>
        <w:tc>
          <w:tcPr>
            <w:tcW w:w="1080" w:type="dxa"/>
            <w:tcBorders>
              <w:top w:val="single" w:sz="4" w:space="0" w:color="auto"/>
              <w:left w:val="nil"/>
              <w:bottom w:val="single" w:sz="4" w:space="0" w:color="auto"/>
              <w:right w:val="single" w:sz="8" w:space="0" w:color="auto"/>
              <w:tl2br w:val="nil"/>
              <w:tr2bl w:val="nil"/>
            </w:tcBorders>
            <w:textDirection w:val="lrTb"/>
            <w:vAlign w:val="center"/>
          </w:tcPr>
          <w:p w:rsidR="00672D42" w:rsidRPr="00850A45" w:rsidP="00672D42">
            <w:pPr>
              <w:jc w:val="right"/>
              <w:rPr>
                <w:rFonts w:ascii="Times New Roman" w:hAnsi="Times New Roman" w:cs="Times New Roman"/>
                <w:sz w:val="20"/>
                <w:szCs w:val="20"/>
              </w:rPr>
            </w:pPr>
            <w:r w:rsidRPr="00850A45">
              <w:rPr>
                <w:rFonts w:ascii="Times New Roman" w:hAnsi="Times New Roman" w:cs="Times New Roman"/>
                <w:sz w:val="20"/>
                <w:szCs w:val="20"/>
              </w:rPr>
              <w:t>148,4</w:t>
            </w:r>
          </w:p>
        </w:tc>
      </w:tr>
      <w:tr>
        <w:tblPrEx>
          <w:tblW w:w="9197" w:type="dxa"/>
          <w:tblInd w:w="53" w:type="dxa"/>
          <w:tblCellMar>
            <w:left w:w="70" w:type="dxa"/>
            <w:right w:w="70" w:type="dxa"/>
          </w:tblCellMar>
        </w:tblPrEx>
        <w:trPr>
          <w:trHeight w:val="279"/>
        </w:trPr>
        <w:tc>
          <w:tcPr>
            <w:tcW w:w="1860" w:type="dxa"/>
            <w:tcBorders>
              <w:top w:val="single" w:sz="4" w:space="0" w:color="auto"/>
              <w:left w:val="single" w:sz="8" w:space="0" w:color="auto"/>
              <w:bottom w:val="double" w:sz="6" w:space="0" w:color="auto"/>
              <w:right w:val="single" w:sz="4" w:space="0" w:color="auto"/>
              <w:tl2br w:val="nil"/>
              <w:tr2bl w:val="nil"/>
            </w:tcBorders>
            <w:textDirection w:val="lrTb"/>
            <w:vAlign w:val="center"/>
          </w:tcPr>
          <w:p w:rsidR="00672D42" w:rsidRPr="00850A45" w:rsidP="00672D42">
            <w:pPr>
              <w:rPr>
                <w:rFonts w:ascii="Times New Roman" w:hAnsi="Times New Roman" w:cs="Times New Roman"/>
                <w:b/>
                <w:bCs/>
                <w:sz w:val="20"/>
                <w:szCs w:val="20"/>
              </w:rPr>
            </w:pPr>
            <w:r w:rsidRPr="00850A45">
              <w:rPr>
                <w:rFonts w:ascii="Times New Roman" w:hAnsi="Times New Roman" w:cs="Times New Roman"/>
                <w:b/>
                <w:bCs/>
                <w:sz w:val="20"/>
                <w:szCs w:val="20"/>
              </w:rPr>
              <w:t>Výdavky spolu</w:t>
            </w:r>
          </w:p>
        </w:tc>
        <w:tc>
          <w:tcPr>
            <w:tcW w:w="1123" w:type="dxa"/>
            <w:tcBorders>
              <w:top w:val="single" w:sz="4" w:space="0" w:color="auto"/>
              <w:left w:val="nil"/>
              <w:bottom w:val="double" w:sz="6"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b/>
                <w:bCs/>
                <w:sz w:val="20"/>
                <w:szCs w:val="20"/>
              </w:rPr>
            </w:pPr>
            <w:r w:rsidRPr="00850A45">
              <w:rPr>
                <w:rFonts w:ascii="Times New Roman" w:hAnsi="Times New Roman" w:cs="Times New Roman"/>
                <w:b/>
                <w:bCs/>
                <w:sz w:val="20"/>
                <w:szCs w:val="20"/>
              </w:rPr>
              <w:t>292 580,3</w:t>
            </w:r>
          </w:p>
        </w:tc>
        <w:tc>
          <w:tcPr>
            <w:tcW w:w="1115" w:type="dxa"/>
            <w:tcBorders>
              <w:top w:val="single" w:sz="4" w:space="0" w:color="auto"/>
              <w:left w:val="nil"/>
              <w:bottom w:val="double" w:sz="6"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b/>
                <w:bCs/>
                <w:sz w:val="20"/>
                <w:szCs w:val="20"/>
              </w:rPr>
            </w:pPr>
            <w:r w:rsidRPr="00850A45">
              <w:rPr>
                <w:rFonts w:ascii="Times New Roman" w:hAnsi="Times New Roman" w:cs="Times New Roman"/>
                <w:b/>
                <w:bCs/>
                <w:sz w:val="20"/>
                <w:szCs w:val="20"/>
              </w:rPr>
              <w:t>330 185,1</w:t>
            </w:r>
          </w:p>
        </w:tc>
        <w:tc>
          <w:tcPr>
            <w:tcW w:w="987" w:type="dxa"/>
            <w:tcBorders>
              <w:top w:val="single" w:sz="4" w:space="0" w:color="auto"/>
              <w:left w:val="nil"/>
              <w:bottom w:val="double" w:sz="6"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b/>
                <w:bCs/>
                <w:sz w:val="20"/>
                <w:szCs w:val="20"/>
              </w:rPr>
            </w:pPr>
            <w:r w:rsidRPr="00850A45">
              <w:rPr>
                <w:rFonts w:ascii="Times New Roman" w:hAnsi="Times New Roman" w:cs="Times New Roman"/>
                <w:b/>
                <w:bCs/>
                <w:sz w:val="20"/>
                <w:szCs w:val="20"/>
              </w:rPr>
              <w:t>323 949,7</w:t>
            </w:r>
          </w:p>
        </w:tc>
        <w:tc>
          <w:tcPr>
            <w:tcW w:w="1123" w:type="dxa"/>
            <w:tcBorders>
              <w:top w:val="single" w:sz="4" w:space="0" w:color="auto"/>
              <w:left w:val="nil"/>
              <w:bottom w:val="double" w:sz="6"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b/>
                <w:bCs/>
                <w:sz w:val="20"/>
                <w:szCs w:val="20"/>
              </w:rPr>
            </w:pPr>
            <w:r w:rsidRPr="00850A45">
              <w:rPr>
                <w:rFonts w:ascii="Times New Roman" w:hAnsi="Times New Roman" w:cs="Times New Roman"/>
                <w:b/>
                <w:bCs/>
                <w:sz w:val="20"/>
                <w:szCs w:val="20"/>
              </w:rPr>
              <w:t>323 654,9</w:t>
            </w:r>
          </w:p>
        </w:tc>
        <w:tc>
          <w:tcPr>
            <w:tcW w:w="949" w:type="dxa"/>
            <w:tcBorders>
              <w:top w:val="single" w:sz="4" w:space="0" w:color="auto"/>
              <w:left w:val="nil"/>
              <w:bottom w:val="double" w:sz="6"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b/>
                <w:bCs/>
                <w:sz w:val="20"/>
                <w:szCs w:val="20"/>
              </w:rPr>
            </w:pPr>
            <w:r w:rsidRPr="00850A45">
              <w:rPr>
                <w:rFonts w:ascii="Times New Roman" w:hAnsi="Times New Roman" w:cs="Times New Roman"/>
                <w:b/>
                <w:bCs/>
                <w:sz w:val="20"/>
                <w:szCs w:val="20"/>
              </w:rPr>
              <w:t>99,9</w:t>
            </w:r>
          </w:p>
        </w:tc>
        <w:tc>
          <w:tcPr>
            <w:tcW w:w="960" w:type="dxa"/>
            <w:tcBorders>
              <w:top w:val="single" w:sz="4" w:space="0" w:color="auto"/>
              <w:left w:val="nil"/>
              <w:bottom w:val="double" w:sz="6" w:space="0" w:color="auto"/>
              <w:right w:val="single" w:sz="4" w:space="0" w:color="auto"/>
              <w:tl2br w:val="nil"/>
              <w:tr2bl w:val="nil"/>
            </w:tcBorders>
            <w:textDirection w:val="lrTb"/>
            <w:vAlign w:val="center"/>
          </w:tcPr>
          <w:p w:rsidR="00672D42" w:rsidRPr="00850A45" w:rsidP="00672D42">
            <w:pPr>
              <w:jc w:val="right"/>
              <w:rPr>
                <w:rFonts w:ascii="Times New Roman" w:hAnsi="Times New Roman" w:cs="Times New Roman"/>
                <w:b/>
                <w:bCs/>
                <w:sz w:val="20"/>
                <w:szCs w:val="20"/>
              </w:rPr>
            </w:pPr>
            <w:r w:rsidRPr="00850A45">
              <w:rPr>
                <w:rFonts w:ascii="Times New Roman" w:hAnsi="Times New Roman" w:cs="Times New Roman"/>
                <w:b/>
                <w:bCs/>
                <w:sz w:val="20"/>
                <w:szCs w:val="20"/>
              </w:rPr>
              <w:t>-294,8</w:t>
            </w:r>
          </w:p>
        </w:tc>
        <w:tc>
          <w:tcPr>
            <w:tcW w:w="1080" w:type="dxa"/>
            <w:tcBorders>
              <w:top w:val="single" w:sz="4" w:space="0" w:color="auto"/>
              <w:left w:val="nil"/>
              <w:bottom w:val="double" w:sz="6" w:space="0" w:color="auto"/>
              <w:right w:val="single" w:sz="8" w:space="0" w:color="auto"/>
              <w:tl2br w:val="nil"/>
              <w:tr2bl w:val="nil"/>
            </w:tcBorders>
            <w:textDirection w:val="lrTb"/>
            <w:vAlign w:val="center"/>
          </w:tcPr>
          <w:p w:rsidR="00672D42" w:rsidRPr="00850A45" w:rsidP="00672D42">
            <w:pPr>
              <w:jc w:val="right"/>
              <w:rPr>
                <w:rFonts w:ascii="Times New Roman" w:hAnsi="Times New Roman" w:cs="Times New Roman"/>
                <w:b/>
                <w:bCs/>
                <w:sz w:val="20"/>
                <w:szCs w:val="20"/>
              </w:rPr>
            </w:pPr>
            <w:r w:rsidRPr="00850A45">
              <w:rPr>
                <w:rFonts w:ascii="Times New Roman" w:hAnsi="Times New Roman" w:cs="Times New Roman"/>
                <w:b/>
                <w:bCs/>
                <w:sz w:val="20"/>
                <w:szCs w:val="20"/>
              </w:rPr>
              <w:t>238,2</w:t>
            </w:r>
          </w:p>
        </w:tc>
      </w:tr>
    </w:tbl>
    <w:p w:rsidR="00672D42" w:rsidRPr="00850A45" w:rsidP="00672D42">
      <w:pPr>
        <w:spacing w:before="120"/>
        <w:jc w:val="both"/>
        <w:rPr>
          <w:rFonts w:ascii="Times New Roman" w:hAnsi="Times New Roman" w:cs="Times New Roman"/>
          <w:sz w:val="20"/>
          <w:szCs w:val="20"/>
        </w:rPr>
      </w:pPr>
      <w:r w:rsidRPr="00850A45">
        <w:rPr>
          <w:rFonts w:ascii="Times New Roman" w:hAnsi="Times New Roman" w:cs="Times New Roman"/>
          <w:sz w:val="20"/>
          <w:szCs w:val="20"/>
        </w:rPr>
        <w:t>Zdroj: Ministerstvo financií SR</w:t>
      </w:r>
    </w:p>
    <w:p w:rsidR="00672D42" w:rsidRPr="00843F62" w:rsidP="00672D42">
      <w:pPr>
        <w:spacing w:before="360" w:after="240"/>
        <w:jc w:val="center"/>
        <w:rPr>
          <w:rFonts w:ascii="Times New Roman" w:hAnsi="Times New Roman" w:cs="Times New Roman"/>
          <w:b/>
        </w:rPr>
      </w:pPr>
      <w:r w:rsidRPr="00843F62">
        <w:rPr>
          <w:rFonts w:ascii="Times New Roman" w:hAnsi="Times New Roman" w:cs="Times New Roman"/>
          <w:b/>
        </w:rPr>
        <w:t>2.2.1.1. Bežné výdavky</w:t>
      </w:r>
    </w:p>
    <w:p w:rsidR="00672D42" w:rsidP="00672D42">
      <w:pPr>
        <w:spacing w:before="120" w:line="360" w:lineRule="auto"/>
        <w:ind w:firstLine="709"/>
        <w:jc w:val="both"/>
        <w:rPr>
          <w:rFonts w:ascii="Times New Roman" w:hAnsi="Times New Roman" w:cs="Times New Roman"/>
        </w:rPr>
      </w:pPr>
      <w:r>
        <w:rPr>
          <w:rFonts w:ascii="Times New Roman" w:hAnsi="Times New Roman" w:cs="Times New Roman"/>
        </w:rPr>
        <w:t>Bežné výdavky štátneho rozpočtu zahŕňajú výdavky na mzdy, platy, služobné príjmy a ostatné osobné vyrovnania, poistné a príspevok do poisťovní, výdavky na tovary a služby, ako aj bežné transfery realizované zo štátneho rozpočtu. Bežné výdavky boli rozpočtované sumou 283 409,1 mil. Sk, avšak v priebehu rozpočtového roku došlo k úprave schváleného rozpočtu na 283 606,3 mil. Sk. Skutočne sa čerpali bežné výdavky v sume 282 757,3 mil. Sk, čo je vo vzťahu k ročnému upravenému rozpočtu mene</w:t>
      </w:r>
      <w:r>
        <w:rPr>
          <w:rFonts w:ascii="Times New Roman" w:hAnsi="Times New Roman" w:cs="Times New Roman"/>
        </w:rPr>
        <w:t xml:space="preserve">j o 849,0 mil. Sk, resp. o 0,3 %.  </w:t>
      </w:r>
    </w:p>
    <w:p w:rsidR="00672D42" w:rsidP="00672D42">
      <w:pPr>
        <w:spacing w:before="120" w:line="360" w:lineRule="auto"/>
        <w:ind w:firstLine="709"/>
        <w:jc w:val="both"/>
        <w:rPr>
          <w:rFonts w:ascii="Times New Roman" w:hAnsi="Times New Roman" w:cs="Times New Roman"/>
        </w:rPr>
      </w:pPr>
      <w:r>
        <w:rPr>
          <w:rFonts w:ascii="Times New Roman" w:hAnsi="Times New Roman" w:cs="Times New Roman"/>
        </w:rPr>
        <w:t>V podrobnejšom členení podľa platnej rozpočtovej klasifikácie boli bežné výdavky v čerpané takto:</w:t>
      </w:r>
    </w:p>
    <w:p w:rsidR="00672D42" w:rsidRPr="00843F62" w:rsidP="00672D42">
      <w:pPr>
        <w:spacing w:before="120" w:after="240"/>
        <w:ind w:firstLine="709"/>
        <w:jc w:val="both"/>
        <w:rPr>
          <w:rFonts w:ascii="Times New Roman" w:hAnsi="Times New Roman" w:cs="Times New Roman"/>
          <w:u w:val="single"/>
        </w:rPr>
      </w:pPr>
      <w:r w:rsidRPr="00843F62">
        <w:rPr>
          <w:rFonts w:ascii="Times New Roman" w:hAnsi="Times New Roman" w:cs="Times New Roman"/>
          <w:u w:val="single"/>
        </w:rPr>
        <w:t>a) Výdavky na mzdy, platy, služobné príjmy a ostatné osobné vyrovnania</w:t>
      </w:r>
    </w:p>
    <w:p w:rsidR="00672D42" w:rsidP="00672D42">
      <w:pPr>
        <w:spacing w:before="120" w:line="360" w:lineRule="auto"/>
        <w:ind w:firstLine="709"/>
        <w:jc w:val="both"/>
        <w:rPr>
          <w:rFonts w:ascii="Times New Roman" w:hAnsi="Times New Roman" w:cs="Times New Roman"/>
        </w:rPr>
      </w:pPr>
      <w:r>
        <w:rPr>
          <w:rFonts w:ascii="Times New Roman" w:hAnsi="Times New Roman" w:cs="Times New Roman"/>
        </w:rPr>
        <w:t xml:space="preserve">Limit výdavkov na mzdy, platy, služobné príjmy a ostatné osobné vyrovnania bol zákonom o štátnom rozpočte na rok 2006 určený sumou 38 631,1 mil. Sk, ktorá sa v priebehu roku rozpočtovými opatreniami zvýšila na 38 980,0 mil. Sk. Z nich sa vyčerpalo 38 891,5 mil. Sk, t.j. na 99,8 %. </w:t>
      </w:r>
    </w:p>
    <w:p w:rsidR="00672D42" w:rsidRPr="005C771C" w:rsidP="00672D42">
      <w:pPr>
        <w:spacing w:before="120" w:line="360" w:lineRule="auto"/>
        <w:ind w:firstLine="539"/>
        <w:jc w:val="both"/>
        <w:rPr>
          <w:rFonts w:ascii="Times New Roman" w:hAnsi="Times New Roman" w:cs="Times New Roman"/>
          <w:szCs w:val="22"/>
        </w:rPr>
      </w:pPr>
      <w:r w:rsidRPr="005C771C">
        <w:rPr>
          <w:rFonts w:ascii="Times New Roman" w:hAnsi="Times New Roman" w:cs="Times New Roman"/>
          <w:szCs w:val="22"/>
        </w:rPr>
        <w:t>V niektorých kapitolách štátneho rozpočtu (Ministerstvo životného prostredia SR, Ministerstvo školstva SR, Ministerstvo zdravotníctva SR, Ministerstvo kultúry SR, Úrad geodézie, kartografie a katastra SR, Štatistický úrad SR, Úrad jadrového dozoru SR a Slovenská akadémia vied) došlo k miernemu prekročeniu tohto záväzného ukazovateľa, ktoré bolo spôsobené použitím mimorozpočtových zdrojov v súlade s ustanoveniami zákona č. 523/2004 Z. z. o rozpočtových pravidlách verejnej správy a o zmene a doplnení niektorých zákonov v znení nesko</w:t>
      </w:r>
      <w:r w:rsidRPr="005C771C">
        <w:rPr>
          <w:rFonts w:ascii="Times New Roman" w:hAnsi="Times New Roman" w:cs="Times New Roman"/>
          <w:szCs w:val="22"/>
        </w:rPr>
        <w:t>rších predpisov.</w:t>
      </w:r>
    </w:p>
    <w:p w:rsidR="00672D42" w:rsidRPr="005C771C" w:rsidP="00672D42">
      <w:pPr>
        <w:spacing w:before="120" w:line="360" w:lineRule="auto"/>
        <w:ind w:firstLine="539"/>
        <w:jc w:val="both"/>
        <w:rPr>
          <w:rFonts w:ascii="Times New Roman" w:hAnsi="Times New Roman" w:cs="Times New Roman"/>
          <w:szCs w:val="22"/>
        </w:rPr>
      </w:pPr>
      <w:r w:rsidRPr="005C771C">
        <w:rPr>
          <w:rFonts w:ascii="Times New Roman" w:hAnsi="Times New Roman" w:cs="Times New Roman"/>
          <w:szCs w:val="22"/>
        </w:rPr>
        <w:t>Uvedené prekročenie limitu výdavkov na mzdy a platy sa  prejavilo aj v ďalších záväzných ukazovateľoch kategórie 610</w:t>
      </w:r>
      <w:r>
        <w:rPr>
          <w:rFonts w:ascii="Times New Roman" w:hAnsi="Times New Roman" w:cs="Times New Roman"/>
          <w:szCs w:val="22"/>
        </w:rPr>
        <w:t>,</w:t>
      </w:r>
      <w:r w:rsidRPr="005C771C">
        <w:rPr>
          <w:rFonts w:ascii="Times New Roman" w:hAnsi="Times New Roman" w:cs="Times New Roman"/>
          <w:szCs w:val="22"/>
        </w:rPr>
        <w:t xml:space="preserve"> a to v</w:t>
      </w:r>
      <w:r>
        <w:rPr>
          <w:rFonts w:ascii="Times New Roman" w:hAnsi="Times New Roman" w:cs="Times New Roman"/>
          <w:szCs w:val="22"/>
        </w:rPr>
        <w:t xml:space="preserve"> úradoch </w:t>
      </w:r>
      <w:r w:rsidRPr="005C771C">
        <w:rPr>
          <w:rFonts w:ascii="Times New Roman" w:hAnsi="Times New Roman" w:cs="Times New Roman"/>
          <w:szCs w:val="22"/>
        </w:rPr>
        <w:t>ústredných orgánov za mzdy a platy pre ostatných zamestnancov, okrem štátnych zamestnancov a v systemizácii štátnych zamestnancov v štátnej službe. Uvedené prekročenia súvisiace s použitím mimorozpočtových zdrojov sú v súlade s príslušnými právnymi predpismi.</w:t>
      </w:r>
    </w:p>
    <w:p w:rsidR="00672D42" w:rsidRPr="005C771C" w:rsidP="00672D42">
      <w:pPr>
        <w:spacing w:before="120" w:line="360" w:lineRule="auto"/>
        <w:ind w:firstLine="709"/>
        <w:jc w:val="both"/>
        <w:rPr>
          <w:rFonts w:ascii="Times New Roman" w:hAnsi="Times New Roman" w:cs="Times New Roman"/>
          <w:szCs w:val="22"/>
        </w:rPr>
      </w:pPr>
      <w:r w:rsidRPr="005C771C">
        <w:rPr>
          <w:rFonts w:ascii="Times New Roman" w:hAnsi="Times New Roman" w:cs="Times New Roman"/>
          <w:szCs w:val="22"/>
        </w:rPr>
        <w:t>Kapitola Ministerstva vnútra SR v rámci stanovenia záväzných ukazovateľov nedodržala záväzný ukazovateľ objemu finančných prostriedkov určených na platy štátnych zamestnancov v systemizácii štátnych zamestnancov v štátnej službe o 122 tis. Sk, čo sa podľa rozpočtových pravidiel hodnotí ako porušenie rozpočtovej disciplíny.</w:t>
      </w:r>
    </w:p>
    <w:p w:rsidR="00672D42" w:rsidRPr="005C771C" w:rsidP="00672D42">
      <w:pPr>
        <w:spacing w:before="120" w:line="360" w:lineRule="auto"/>
        <w:ind w:firstLine="540"/>
        <w:jc w:val="both"/>
        <w:rPr>
          <w:rFonts w:ascii="Times New Roman" w:hAnsi="Times New Roman" w:cs="Times New Roman"/>
          <w:szCs w:val="22"/>
        </w:rPr>
      </w:pPr>
      <w:r w:rsidRPr="005C771C">
        <w:rPr>
          <w:rFonts w:ascii="Times New Roman" w:hAnsi="Times New Roman" w:cs="Times New Roman"/>
          <w:szCs w:val="22"/>
        </w:rPr>
        <w:t>Počet zamestnancov rozpočtových organizácií  v roku 2006  dosiahol 132 401 osôb, čo je oproti upravenému rozpočtu menej o 6 667 osôb (4,8 %). V</w:t>
      </w:r>
      <w:r>
        <w:rPr>
          <w:rFonts w:ascii="Times New Roman" w:hAnsi="Times New Roman" w:cs="Times New Roman"/>
          <w:szCs w:val="22"/>
        </w:rPr>
        <w:t xml:space="preserve"> úradoch </w:t>
      </w:r>
      <w:r w:rsidRPr="005C771C">
        <w:rPr>
          <w:rFonts w:ascii="Times New Roman" w:hAnsi="Times New Roman" w:cs="Times New Roman"/>
          <w:szCs w:val="22"/>
        </w:rPr>
        <w:t xml:space="preserve">ústredných orgánov štátnej správy bolo zamestnaných 10 920 osôb, čo je menej oproti upravenému rozpočtu </w:t>
      </w:r>
      <w:r w:rsidR="00862714">
        <w:rPr>
          <w:rFonts w:ascii="Times New Roman" w:hAnsi="Times New Roman" w:cs="Times New Roman"/>
          <w:szCs w:val="22"/>
        </w:rPr>
        <w:t xml:space="preserve">   </w:t>
      </w:r>
      <w:r w:rsidRPr="005C771C">
        <w:rPr>
          <w:rFonts w:ascii="Times New Roman" w:hAnsi="Times New Roman" w:cs="Times New Roman"/>
          <w:szCs w:val="22"/>
        </w:rPr>
        <w:t xml:space="preserve">(12 072 osôb) o 9,5 %.  </w:t>
      </w:r>
    </w:p>
    <w:p w:rsidR="00672D42" w:rsidRPr="005C771C" w:rsidP="00672D42">
      <w:pPr>
        <w:spacing w:before="120" w:line="360" w:lineRule="auto"/>
        <w:ind w:firstLine="539"/>
        <w:jc w:val="both"/>
        <w:rPr>
          <w:rFonts w:ascii="Times New Roman" w:hAnsi="Times New Roman" w:cs="Times New Roman"/>
          <w:szCs w:val="22"/>
        </w:rPr>
      </w:pPr>
      <w:r w:rsidRPr="005C771C">
        <w:rPr>
          <w:rFonts w:ascii="Times New Roman" w:hAnsi="Times New Roman" w:cs="Times New Roman"/>
          <w:szCs w:val="22"/>
        </w:rPr>
        <w:t>Syste</w:t>
      </w:r>
      <w:r w:rsidRPr="005C771C">
        <w:rPr>
          <w:rFonts w:ascii="Times New Roman" w:hAnsi="Times New Roman" w:cs="Times New Roman"/>
          <w:szCs w:val="22"/>
        </w:rPr>
        <w:t>mizácia št</w:t>
      </w:r>
      <w:r w:rsidR="0037700B">
        <w:rPr>
          <w:rFonts w:ascii="Times New Roman" w:hAnsi="Times New Roman" w:cs="Times New Roman"/>
          <w:szCs w:val="22"/>
        </w:rPr>
        <w:t>átnozamestnaneckých miest k 31.</w:t>
      </w:r>
      <w:r w:rsidRPr="005C771C">
        <w:rPr>
          <w:rFonts w:ascii="Times New Roman" w:hAnsi="Times New Roman" w:cs="Times New Roman"/>
          <w:szCs w:val="22"/>
        </w:rPr>
        <w:t>12.2006 dosiahla výšku 39 420 miest, čo v porovnaní k upravenému rozpočtu predstavuje zníženie o 2 079 štátnozamestnaneckých miest, z toho v ústredných orgánoch o 816 miest. Objem finančných prostriedkov určených na platy štátnych zamestnancov v štátnozamestnaneckom pomere bol plnený v kapitolách štátneho rozpočtu na 99,6 % a v ústredných orgánoch na 99,0 %. Skutočný priemerný mzdový výdavok štátnych zamestnancov (vrátane zahraničnej služby) dosiahol 23 807 Sk a priemerný mzdový výdavok zamestnancov štátnych rozpočtových organizácií v roku 2006 bol 24 232 Sk.</w:t>
      </w:r>
    </w:p>
    <w:p w:rsidR="00672D42" w:rsidRPr="005C771C" w:rsidP="00672D42">
      <w:pPr>
        <w:spacing w:before="120" w:line="360" w:lineRule="auto"/>
        <w:ind w:firstLine="539"/>
        <w:jc w:val="both"/>
        <w:rPr>
          <w:rFonts w:ascii="Times New Roman" w:hAnsi="Times New Roman" w:cs="Times New Roman"/>
          <w:szCs w:val="22"/>
        </w:rPr>
      </w:pPr>
      <w:r w:rsidRPr="005C771C">
        <w:rPr>
          <w:rFonts w:ascii="Times New Roman" w:hAnsi="Times New Roman" w:cs="Times New Roman"/>
          <w:szCs w:val="22"/>
        </w:rPr>
        <w:t>Na čerpaní  výdavkov kategórie 610 – mzdy a platy sa najväčšou mierou podieľali  tarifné, resp. základné platy  vo výške 67,4 %, príplatky vo výške 20,5 % a odme</w:t>
      </w:r>
      <w:r w:rsidRPr="005C771C">
        <w:rPr>
          <w:rFonts w:ascii="Times New Roman" w:hAnsi="Times New Roman" w:cs="Times New Roman"/>
          <w:szCs w:val="22"/>
        </w:rPr>
        <w:t>ny vo výške  6,6</w:t>
      </w:r>
      <w:r w:rsidR="00862714">
        <w:rPr>
          <w:rFonts w:ascii="Times New Roman" w:hAnsi="Times New Roman" w:cs="Times New Roman"/>
          <w:szCs w:val="22"/>
        </w:rPr>
        <w:t xml:space="preserve"> </w:t>
      </w:r>
      <w:r w:rsidRPr="005C771C">
        <w:rPr>
          <w:rFonts w:ascii="Times New Roman" w:hAnsi="Times New Roman" w:cs="Times New Roman"/>
          <w:szCs w:val="22"/>
        </w:rPr>
        <w:t>%. Ostatné osobné vyrovnania, doplatky k platu a náhrada za pracovnú a služobnú pohotovosť  tvorili  5,5 %.</w:t>
      </w:r>
    </w:p>
    <w:p w:rsidR="00672D42" w:rsidRPr="005C771C" w:rsidP="00672D42">
      <w:pPr>
        <w:spacing w:before="120" w:line="360" w:lineRule="auto"/>
        <w:ind w:firstLine="539"/>
        <w:jc w:val="both"/>
        <w:rPr>
          <w:rFonts w:ascii="Times New Roman" w:hAnsi="Times New Roman" w:cs="Times New Roman"/>
          <w:szCs w:val="22"/>
        </w:rPr>
      </w:pPr>
      <w:r w:rsidRPr="005C771C">
        <w:rPr>
          <w:rFonts w:ascii="Times New Roman" w:hAnsi="Times New Roman" w:cs="Times New Roman"/>
          <w:szCs w:val="22"/>
        </w:rPr>
        <w:t>Ostatné záväzné ukazovatele systemizácie colníkov, príslušníkov Hasičského a záchranného zboru SR a policajtov v štátnej službe boli dodržané.</w:t>
      </w:r>
    </w:p>
    <w:p w:rsidR="00672D42" w:rsidRPr="007D0B59" w:rsidP="00672D42">
      <w:pPr>
        <w:spacing w:before="120" w:after="120" w:line="360" w:lineRule="auto"/>
        <w:ind w:firstLine="709"/>
        <w:jc w:val="both"/>
        <w:rPr>
          <w:rFonts w:ascii="Times New Roman" w:hAnsi="Times New Roman" w:cs="Times New Roman"/>
          <w:u w:val="single"/>
        </w:rPr>
      </w:pPr>
      <w:r w:rsidRPr="007D0B59">
        <w:rPr>
          <w:rFonts w:ascii="Times New Roman" w:hAnsi="Times New Roman" w:cs="Times New Roman"/>
          <w:u w:val="single"/>
        </w:rPr>
        <w:t>b) Poistné a príspevok do poisťovní</w:t>
      </w:r>
    </w:p>
    <w:p w:rsidR="00672D42" w:rsidRPr="000F50C9" w:rsidP="000F50C9">
      <w:pPr>
        <w:spacing w:line="360" w:lineRule="auto"/>
        <w:ind w:firstLine="709"/>
        <w:jc w:val="both"/>
        <w:rPr>
          <w:rFonts w:ascii="Times New Roman" w:hAnsi="Times New Roman" w:cs="Times New Roman"/>
          <w:szCs w:val="22"/>
        </w:rPr>
      </w:pPr>
      <w:r w:rsidRPr="005C771C">
        <w:rPr>
          <w:rFonts w:ascii="Times New Roman" w:hAnsi="Times New Roman" w:cs="Times New Roman"/>
          <w:szCs w:val="22"/>
        </w:rPr>
        <w:t>Nadväzne na mzdy a platy boli zákonom o štátnom rozpočte rozpočtované výdavky na poistné a príspevok do poisťovní v celkovej sume 12 613,1 mil. Sk. Rozpočtovými opatrenia sa ich úroveň mierne znížila na 12 105,3 mil. Sk, z ktorých sa na  poistné platby použilo 12</w:t>
      </w:r>
      <w:r>
        <w:rPr>
          <w:rFonts w:ascii="Times New Roman" w:hAnsi="Times New Roman" w:cs="Times New Roman"/>
          <w:szCs w:val="22"/>
        </w:rPr>
        <w:t> </w:t>
      </w:r>
      <w:r w:rsidRPr="005C771C">
        <w:rPr>
          <w:rFonts w:ascii="Times New Roman" w:hAnsi="Times New Roman" w:cs="Times New Roman"/>
          <w:szCs w:val="22"/>
        </w:rPr>
        <w:t>05</w:t>
      </w:r>
      <w:r>
        <w:rPr>
          <w:rFonts w:ascii="Times New Roman" w:hAnsi="Times New Roman" w:cs="Times New Roman"/>
          <w:szCs w:val="22"/>
        </w:rPr>
        <w:t xml:space="preserve">3,9 </w:t>
      </w:r>
      <w:r w:rsidRPr="005C771C">
        <w:rPr>
          <w:rFonts w:ascii="Times New Roman" w:hAnsi="Times New Roman" w:cs="Times New Roman"/>
          <w:szCs w:val="22"/>
        </w:rPr>
        <w:t xml:space="preserve">mil. Sk (99,6 %). </w:t>
      </w:r>
    </w:p>
    <w:p w:rsidR="00672D42" w:rsidP="00672D42">
      <w:pPr>
        <w:spacing w:before="120" w:line="360" w:lineRule="auto"/>
        <w:ind w:firstLine="709"/>
        <w:jc w:val="both"/>
        <w:rPr>
          <w:rFonts w:ascii="Times New Roman" w:hAnsi="Times New Roman" w:cs="Times New Roman"/>
        </w:rPr>
      </w:pPr>
      <w:r>
        <w:rPr>
          <w:rFonts w:ascii="Times New Roman" w:hAnsi="Times New Roman" w:cs="Times New Roman"/>
        </w:rPr>
        <w:t>Tieto výdavky štátneho rozpočtu smerovali:</w:t>
      </w:r>
    </w:p>
    <w:p w:rsidR="00672D42" w:rsidP="00850A45">
      <w:pPr>
        <w:numPr>
          <w:ilvl w:val="0"/>
          <w:numId w:val="87"/>
        </w:numPr>
        <w:tabs>
          <w:tab w:val="clear" w:pos="1260"/>
        </w:tabs>
        <w:spacing w:before="120" w:line="360" w:lineRule="auto"/>
        <w:ind w:left="720"/>
        <w:jc w:val="both"/>
        <w:rPr>
          <w:rFonts w:ascii="Times New Roman" w:hAnsi="Times New Roman" w:cs="Times New Roman"/>
        </w:rPr>
      </w:pPr>
      <w:r>
        <w:rPr>
          <w:rFonts w:ascii="Times New Roman" w:hAnsi="Times New Roman" w:cs="Times New Roman"/>
        </w:rPr>
        <w:t xml:space="preserve">do Všeobecnej zdravotnej poisťovne v sume 946,6 mil. Sk,  </w:t>
      </w:r>
    </w:p>
    <w:p w:rsidR="00672D42" w:rsidP="00850A45">
      <w:pPr>
        <w:numPr>
          <w:ilvl w:val="0"/>
          <w:numId w:val="87"/>
        </w:numPr>
        <w:tabs>
          <w:tab w:val="clear" w:pos="1260"/>
        </w:tabs>
        <w:spacing w:before="120" w:line="360" w:lineRule="auto"/>
        <w:ind w:left="720"/>
        <w:jc w:val="both"/>
        <w:rPr>
          <w:rFonts w:ascii="Times New Roman" w:hAnsi="Times New Roman" w:cs="Times New Roman"/>
        </w:rPr>
      </w:pPr>
      <w:r>
        <w:rPr>
          <w:rFonts w:ascii="Times New Roman" w:hAnsi="Times New Roman" w:cs="Times New Roman"/>
        </w:rPr>
        <w:t xml:space="preserve">do Spoločnej zdravotnej poisťovne 2 342,6 mil. Sk, </w:t>
      </w:r>
    </w:p>
    <w:p w:rsidR="00672D42" w:rsidP="00850A45">
      <w:pPr>
        <w:numPr>
          <w:ilvl w:val="0"/>
          <w:numId w:val="87"/>
        </w:numPr>
        <w:tabs>
          <w:tab w:val="clear" w:pos="1260"/>
        </w:tabs>
        <w:spacing w:before="120" w:line="360" w:lineRule="auto"/>
        <w:ind w:left="720"/>
        <w:jc w:val="both"/>
        <w:rPr>
          <w:rFonts w:ascii="Times New Roman" w:hAnsi="Times New Roman" w:cs="Times New Roman"/>
        </w:rPr>
      </w:pPr>
      <w:r>
        <w:rPr>
          <w:rFonts w:ascii="Times New Roman" w:hAnsi="Times New Roman" w:cs="Times New Roman"/>
        </w:rPr>
        <w:t xml:space="preserve">do ostatných zdravotných poisťovní 311,3 mil. Sk, </w:t>
      </w:r>
    </w:p>
    <w:p w:rsidR="00672D42" w:rsidP="00850A45">
      <w:pPr>
        <w:numPr>
          <w:ilvl w:val="0"/>
          <w:numId w:val="87"/>
        </w:numPr>
        <w:tabs>
          <w:tab w:val="clear" w:pos="1260"/>
        </w:tabs>
        <w:spacing w:before="120" w:line="360" w:lineRule="auto"/>
        <w:ind w:left="0" w:firstLine="360"/>
        <w:jc w:val="both"/>
        <w:rPr>
          <w:rFonts w:ascii="Times New Roman" w:hAnsi="Times New Roman" w:cs="Times New Roman"/>
        </w:rPr>
      </w:pPr>
      <w:r>
        <w:rPr>
          <w:rFonts w:ascii="Times New Roman" w:hAnsi="Times New Roman" w:cs="Times New Roman"/>
        </w:rPr>
        <w:t>vo forme poistného do Sociálnej poisťovne 4 992,7 mil. Sk (podstatná časť 2 855,6 mil. Sk pripadá na starobné poistenie, 966,5 mil. Sk na poistenie do rezervného fondu solidarity, 569 mil. Sk na invalidné poistenie a zostatok vo výške 612,6 mil. Sk kryje nemocenské, úrazové, invalidné garančné poistenie, poistenie v</w:t>
      </w:r>
      <w:r w:rsidR="00862714">
        <w:rPr>
          <w:rFonts w:ascii="Times New Roman" w:hAnsi="Times New Roman" w:cs="Times New Roman"/>
        </w:rPr>
        <w:t> </w:t>
      </w:r>
      <w:r>
        <w:rPr>
          <w:rFonts w:ascii="Times New Roman" w:hAnsi="Times New Roman" w:cs="Times New Roman"/>
        </w:rPr>
        <w:t>nezamestnanosti</w:t>
      </w:r>
      <w:r w:rsidR="00862714">
        <w:rPr>
          <w:rFonts w:ascii="Times New Roman" w:hAnsi="Times New Roman" w:cs="Times New Roman"/>
        </w:rPr>
        <w:t>),</w:t>
      </w:r>
      <w:r>
        <w:rPr>
          <w:rFonts w:ascii="Times New Roman" w:hAnsi="Times New Roman" w:cs="Times New Roman"/>
        </w:rPr>
        <w:t xml:space="preserve"> </w:t>
      </w:r>
    </w:p>
    <w:p w:rsidR="00850A45" w:rsidP="00850A45">
      <w:pPr>
        <w:numPr>
          <w:ilvl w:val="0"/>
          <w:numId w:val="87"/>
        </w:numPr>
        <w:tabs>
          <w:tab w:val="clear" w:pos="1260"/>
        </w:tabs>
        <w:spacing w:before="120" w:line="360" w:lineRule="auto"/>
        <w:ind w:left="0" w:firstLine="360"/>
        <w:jc w:val="both"/>
        <w:rPr>
          <w:rFonts w:ascii="Times New Roman" w:hAnsi="Times New Roman" w:cs="Times New Roman"/>
        </w:rPr>
      </w:pPr>
      <w:r w:rsidR="00672D42">
        <w:rPr>
          <w:rFonts w:ascii="Times New Roman" w:hAnsi="Times New Roman" w:cs="Times New Roman"/>
        </w:rPr>
        <w:t>formou príspevku do doplnkových dôchodkových poisťovní 151,0 mil. Sk,</w:t>
      </w:r>
    </w:p>
    <w:p w:rsidR="00672D42" w:rsidP="00850A45">
      <w:pPr>
        <w:numPr>
          <w:ilvl w:val="0"/>
          <w:numId w:val="87"/>
        </w:numPr>
        <w:tabs>
          <w:tab w:val="clear" w:pos="1260"/>
        </w:tabs>
        <w:spacing w:before="120" w:line="360" w:lineRule="auto"/>
        <w:ind w:left="0" w:firstLine="360"/>
        <w:jc w:val="both"/>
        <w:rPr>
          <w:rFonts w:ascii="Times New Roman" w:hAnsi="Times New Roman" w:cs="Times New Roman"/>
        </w:rPr>
      </w:pPr>
      <w:r>
        <w:rPr>
          <w:rFonts w:ascii="Times New Roman" w:hAnsi="Times New Roman" w:cs="Times New Roman"/>
        </w:rPr>
        <w:t xml:space="preserve">ako poistné na osobitné účty ministerstiev do pôsobnosti ktorých patrí riadenie ozbrojených bezpečnostných zborov, Colné riaditeľstvo SR, Slovenská informačná služba a Národný bezpečnostný úrad 3 308,7 mil. Sk, </w:t>
      </w:r>
    </w:p>
    <w:p w:rsidR="00672D42" w:rsidP="00850A45">
      <w:pPr>
        <w:numPr>
          <w:ilvl w:val="0"/>
          <w:numId w:val="87"/>
        </w:numPr>
        <w:tabs>
          <w:tab w:val="clear" w:pos="1260"/>
        </w:tabs>
        <w:spacing w:before="120" w:line="360" w:lineRule="auto"/>
        <w:ind w:left="0" w:firstLine="360"/>
        <w:jc w:val="both"/>
        <w:rPr>
          <w:rFonts w:ascii="Times New Roman" w:hAnsi="Times New Roman" w:cs="Times New Roman"/>
        </w:rPr>
      </w:pPr>
      <w:r>
        <w:rPr>
          <w:rFonts w:ascii="Times New Roman" w:hAnsi="Times New Roman" w:cs="Times New Roman"/>
        </w:rPr>
        <w:t>ako príspevok na starobné sporenie 1,0 mil. Sk.</w:t>
      </w:r>
    </w:p>
    <w:p w:rsidR="00862714" w:rsidP="00672D42">
      <w:pPr>
        <w:spacing w:before="120" w:after="120" w:line="360" w:lineRule="auto"/>
        <w:ind w:firstLine="708"/>
        <w:jc w:val="both"/>
        <w:rPr>
          <w:rFonts w:ascii="Times New Roman" w:hAnsi="Times New Roman" w:cs="Times New Roman"/>
          <w:u w:val="single"/>
        </w:rPr>
      </w:pPr>
    </w:p>
    <w:p w:rsidR="00672D42" w:rsidRPr="00E83E2D" w:rsidP="00672D42">
      <w:pPr>
        <w:spacing w:before="120" w:after="120" w:line="360" w:lineRule="auto"/>
        <w:ind w:firstLine="708"/>
        <w:jc w:val="both"/>
        <w:rPr>
          <w:rFonts w:ascii="Times New Roman" w:hAnsi="Times New Roman" w:cs="Times New Roman"/>
          <w:u w:val="single"/>
        </w:rPr>
      </w:pPr>
      <w:r w:rsidRPr="00E83E2D">
        <w:rPr>
          <w:rFonts w:ascii="Times New Roman" w:hAnsi="Times New Roman" w:cs="Times New Roman"/>
          <w:u w:val="single"/>
        </w:rPr>
        <w:t>c) Výdavky na tovary a služby</w:t>
      </w:r>
    </w:p>
    <w:p w:rsidR="00672D42" w:rsidP="00672D42">
      <w:pPr>
        <w:spacing w:line="360" w:lineRule="auto"/>
        <w:ind w:firstLine="708"/>
        <w:jc w:val="both"/>
        <w:rPr>
          <w:rFonts w:ascii="Times New Roman" w:hAnsi="Times New Roman" w:cs="Times New Roman"/>
        </w:rPr>
      </w:pPr>
      <w:r>
        <w:rPr>
          <w:rFonts w:ascii="Times New Roman" w:hAnsi="Times New Roman" w:cs="Times New Roman"/>
        </w:rPr>
        <w:t>Schválený rozpočet výdavkov na tovary a služby bol stanovený v objeme 43 811,3 mil. Sk a tvoril viac ako tretinu z rozpočtovaných bežných výdavkov určených na činnosť štátnych rozpočtových organizácií. V medziročnom porovnaní sa zvýšil indexom 105,5. Pôvodný rozpočet sa rozpočtovými opatreniami v priebehu rozpočtového roku upravil na 41 095,6 mil. Sk a čerpané prostriedky na obstaranie tovarov a služieb dosiahli 41 291,3 mil. Sk s plnením upraveného rozpočtu na 100,5 %.</w:t>
      </w:r>
    </w:p>
    <w:p w:rsidR="00672D42" w:rsidP="00672D42">
      <w:pPr>
        <w:spacing w:before="120" w:line="360" w:lineRule="auto"/>
        <w:ind w:firstLine="709"/>
        <w:jc w:val="both"/>
        <w:rPr>
          <w:rFonts w:ascii="Times New Roman" w:hAnsi="Times New Roman" w:cs="Times New Roman"/>
        </w:rPr>
      </w:pPr>
      <w:r>
        <w:rPr>
          <w:rFonts w:ascii="Times New Roman" w:hAnsi="Times New Roman" w:cs="Times New Roman"/>
        </w:rPr>
        <w:t>Tento druh výdavkov bol realizovaný predovšetkým  na:</w:t>
      </w:r>
    </w:p>
    <w:p w:rsidR="00672D42" w:rsidP="00850A45">
      <w:pPr>
        <w:numPr>
          <w:ilvl w:val="0"/>
          <w:numId w:val="88"/>
        </w:numPr>
        <w:tabs>
          <w:tab w:val="clear" w:pos="1260"/>
        </w:tabs>
        <w:spacing w:before="120" w:line="360" w:lineRule="auto"/>
        <w:ind w:left="720"/>
        <w:jc w:val="both"/>
        <w:rPr>
          <w:rFonts w:ascii="Times New Roman" w:hAnsi="Times New Roman" w:cs="Times New Roman"/>
        </w:rPr>
      </w:pPr>
      <w:r>
        <w:rPr>
          <w:rFonts w:ascii="Times New Roman" w:hAnsi="Times New Roman" w:cs="Times New Roman"/>
        </w:rPr>
        <w:t>služby rôzneho charakte</w:t>
      </w:r>
      <w:r>
        <w:rPr>
          <w:rFonts w:ascii="Times New Roman" w:hAnsi="Times New Roman" w:cs="Times New Roman"/>
        </w:rPr>
        <w:t>ru 14 438,0 mil. Sk,</w:t>
      </w:r>
    </w:p>
    <w:p w:rsidR="00672D42" w:rsidP="00850A45">
      <w:pPr>
        <w:numPr>
          <w:ilvl w:val="0"/>
          <w:numId w:val="88"/>
        </w:numPr>
        <w:tabs>
          <w:tab w:val="clear" w:pos="1260"/>
        </w:tabs>
        <w:spacing w:line="360" w:lineRule="auto"/>
        <w:ind w:left="0" w:firstLine="360"/>
        <w:jc w:val="both"/>
        <w:rPr>
          <w:rFonts w:ascii="Times New Roman" w:hAnsi="Times New Roman" w:cs="Times New Roman"/>
        </w:rPr>
      </w:pPr>
      <w:r>
        <w:rPr>
          <w:rFonts w:ascii="Times New Roman" w:hAnsi="Times New Roman" w:cs="Times New Roman"/>
        </w:rPr>
        <w:t>nákup špeciálneho materiálu, všeobecného materiálu, softvéru a licencií, špeciálnych strojov a prístrojov, a pod. v sume 10 639,2 mil. Sk,</w:t>
      </w:r>
    </w:p>
    <w:p w:rsidR="00672D42" w:rsidP="00850A45">
      <w:pPr>
        <w:numPr>
          <w:ilvl w:val="0"/>
          <w:numId w:val="88"/>
        </w:numPr>
        <w:tabs>
          <w:tab w:val="clear" w:pos="1260"/>
        </w:tabs>
        <w:spacing w:line="360" w:lineRule="auto"/>
        <w:ind w:left="0" w:firstLine="360"/>
        <w:jc w:val="both"/>
        <w:rPr>
          <w:rFonts w:ascii="Times New Roman" w:hAnsi="Times New Roman" w:cs="Times New Roman"/>
        </w:rPr>
      </w:pPr>
      <w:r>
        <w:rPr>
          <w:rFonts w:ascii="Times New Roman" w:hAnsi="Times New Roman" w:cs="Times New Roman"/>
        </w:rPr>
        <w:t xml:space="preserve">rutinnú a štandardnú údržbu najmä prevádzkových strojov, prístrojov, špeciálnych strojov a prístrojov, výpočtovej techniky a pod.  5 987,1 mil. Sk, </w:t>
      </w:r>
    </w:p>
    <w:p w:rsidR="00672D42" w:rsidP="00850A45">
      <w:pPr>
        <w:numPr>
          <w:ilvl w:val="0"/>
          <w:numId w:val="88"/>
        </w:numPr>
        <w:tabs>
          <w:tab w:val="clear" w:pos="1260"/>
        </w:tabs>
        <w:spacing w:line="360" w:lineRule="auto"/>
        <w:ind w:left="720"/>
        <w:jc w:val="both"/>
        <w:rPr>
          <w:rFonts w:ascii="Times New Roman" w:hAnsi="Times New Roman" w:cs="Times New Roman"/>
        </w:rPr>
      </w:pPr>
      <w:r>
        <w:rPr>
          <w:rFonts w:ascii="Times New Roman" w:hAnsi="Times New Roman" w:cs="Times New Roman"/>
        </w:rPr>
        <w:t xml:space="preserve">platby za energiu, vody a komunikačné služby 5 766,4 mil. Sk, </w:t>
      </w:r>
    </w:p>
    <w:p w:rsidR="00672D42" w:rsidP="00850A45">
      <w:pPr>
        <w:numPr>
          <w:ilvl w:val="0"/>
          <w:numId w:val="88"/>
        </w:numPr>
        <w:tabs>
          <w:tab w:val="clear" w:pos="1260"/>
        </w:tabs>
        <w:spacing w:line="360" w:lineRule="auto"/>
        <w:ind w:left="720"/>
        <w:jc w:val="both"/>
        <w:rPr>
          <w:rFonts w:ascii="Times New Roman" w:hAnsi="Times New Roman" w:cs="Times New Roman"/>
        </w:rPr>
      </w:pPr>
      <w:r w:rsidR="00850A45">
        <w:rPr>
          <w:rFonts w:ascii="Times New Roman" w:hAnsi="Times New Roman" w:cs="Times New Roman"/>
        </w:rPr>
        <w:t>d</w:t>
      </w:r>
      <w:r>
        <w:rPr>
          <w:rFonts w:ascii="Times New Roman" w:hAnsi="Times New Roman" w:cs="Times New Roman"/>
        </w:rPr>
        <w:t xml:space="preserve">opravné 2 387,3 mil. Sk, </w:t>
      </w:r>
    </w:p>
    <w:p w:rsidR="00672D42" w:rsidP="00850A45">
      <w:pPr>
        <w:numPr>
          <w:ilvl w:val="0"/>
          <w:numId w:val="88"/>
        </w:numPr>
        <w:tabs>
          <w:tab w:val="clear" w:pos="1260"/>
        </w:tabs>
        <w:spacing w:line="360" w:lineRule="auto"/>
        <w:ind w:left="720"/>
        <w:jc w:val="both"/>
        <w:rPr>
          <w:rFonts w:ascii="Times New Roman" w:hAnsi="Times New Roman" w:cs="Times New Roman"/>
        </w:rPr>
      </w:pPr>
      <w:r>
        <w:rPr>
          <w:rFonts w:ascii="Times New Roman" w:hAnsi="Times New Roman" w:cs="Times New Roman"/>
        </w:rPr>
        <w:t xml:space="preserve">cestovné náhrady 1 117,8 mil. Sk, </w:t>
      </w:r>
    </w:p>
    <w:p w:rsidR="0083017F" w:rsidP="00850A45">
      <w:pPr>
        <w:numPr>
          <w:ilvl w:val="0"/>
          <w:numId w:val="88"/>
        </w:numPr>
        <w:tabs>
          <w:tab w:val="clear" w:pos="1260"/>
        </w:tabs>
        <w:spacing w:line="360" w:lineRule="auto"/>
        <w:ind w:left="720"/>
        <w:jc w:val="both"/>
        <w:rPr>
          <w:rFonts w:ascii="Times New Roman" w:hAnsi="Times New Roman" w:cs="Times New Roman"/>
        </w:rPr>
      </w:pPr>
      <w:r w:rsidR="00672D42">
        <w:rPr>
          <w:rFonts w:ascii="Times New Roman" w:hAnsi="Times New Roman" w:cs="Times New Roman"/>
        </w:rPr>
        <w:t>nájomné za nájom nehnuteľných a hnuteľných vecí 955,5 mil. Sk</w:t>
      </w:r>
    </w:p>
    <w:p w:rsidR="00862714" w:rsidP="0083017F">
      <w:pPr>
        <w:spacing w:line="360" w:lineRule="auto"/>
        <w:ind w:firstLine="720"/>
        <w:jc w:val="both"/>
        <w:rPr>
          <w:rFonts w:ascii="Times New Roman" w:hAnsi="Times New Roman" w:cs="Times New Roman"/>
          <w:u w:val="single"/>
        </w:rPr>
      </w:pPr>
    </w:p>
    <w:p w:rsidR="00672D42" w:rsidRPr="0080760D" w:rsidP="0083017F">
      <w:pPr>
        <w:spacing w:line="360" w:lineRule="auto"/>
        <w:ind w:firstLine="720"/>
        <w:jc w:val="both"/>
        <w:rPr>
          <w:rFonts w:ascii="Times New Roman" w:hAnsi="Times New Roman" w:cs="Times New Roman"/>
          <w:u w:val="single"/>
        </w:rPr>
      </w:pPr>
      <w:r w:rsidRPr="0080760D">
        <w:rPr>
          <w:rFonts w:ascii="Times New Roman" w:hAnsi="Times New Roman" w:cs="Times New Roman"/>
          <w:u w:val="single"/>
        </w:rPr>
        <w:t>d) Bežné transf</w:t>
      </w:r>
      <w:r w:rsidRPr="0080760D">
        <w:rPr>
          <w:rFonts w:ascii="Times New Roman" w:hAnsi="Times New Roman" w:cs="Times New Roman"/>
          <w:u w:val="single"/>
        </w:rPr>
        <w:t>ery</w:t>
      </w:r>
    </w:p>
    <w:p w:rsidR="00672D42" w:rsidP="00672D42">
      <w:pPr>
        <w:spacing w:line="360" w:lineRule="auto"/>
        <w:ind w:firstLine="708"/>
        <w:jc w:val="both"/>
        <w:rPr>
          <w:rFonts w:ascii="Times New Roman" w:hAnsi="Times New Roman" w:cs="Times New Roman"/>
        </w:rPr>
      </w:pPr>
      <w:r>
        <w:rPr>
          <w:rFonts w:ascii="Times New Roman" w:hAnsi="Times New Roman" w:cs="Times New Roman"/>
        </w:rPr>
        <w:t xml:space="preserve">Transferové platby sú výdavky uskutočňované bez toho, aby za ne ich príjemcovia poskytovali nejaké protislužby alebo tovary. Transferová platba všeobecného charakteru, určená pre rôzne alebo neurčité ciele sa vždy považuje za bežný transfer. Triedia sa podľa príjemcu alebo druhu poskytovanej platby. Transfer môže byť len finančný vo forme príspevkov, dotácií a iných finančných vzťahov. Objem rozpočtovaných prostriedkov určených na bežné transfery na rok 2006 bol vo výške 164 325,7 mil. Sk a tvoril takmer 59 % z celkových bežných výdavkov. </w:t>
      </w:r>
    </w:p>
    <w:p w:rsidR="00672D42" w:rsidP="00672D42">
      <w:pPr>
        <w:spacing w:before="120" w:line="360" w:lineRule="auto"/>
        <w:ind w:firstLine="709"/>
        <w:jc w:val="both"/>
        <w:rPr>
          <w:rFonts w:ascii="Times New Roman" w:hAnsi="Times New Roman" w:cs="Times New Roman"/>
        </w:rPr>
      </w:pPr>
      <w:r>
        <w:rPr>
          <w:rFonts w:ascii="Times New Roman" w:hAnsi="Times New Roman" w:cs="Times New Roman"/>
        </w:rPr>
        <w:t>V dôsledku prijatých rozpočtových opatrení úroveň rozpočtovaných výdavkov na bežné transfery mierne vzrástla na 164 828,3 mil. Sk a čerpanie za rok 2006 dosiahlo 164 150,6 mil. Sk. Všeobecne možno zhodnotiť, že na bežné transfery sa rozpočtovalo</w:t>
      </w:r>
      <w:r w:rsidR="00862714">
        <w:rPr>
          <w:rFonts w:ascii="Times New Roman" w:hAnsi="Times New Roman" w:cs="Times New Roman"/>
        </w:rPr>
        <w:t>,</w:t>
      </w:r>
      <w:r>
        <w:rPr>
          <w:rFonts w:ascii="Times New Roman" w:hAnsi="Times New Roman" w:cs="Times New Roman"/>
        </w:rPr>
        <w:t xml:space="preserve"> ale i vynaložilo viac oproti predchádzajúcemu roku. V skutočnom plnení je to viac o 11 698,9 mil. Sk. Bežné transfery v podrobnejšom členení platnej rozpočtovej klasifikácie boli čerpané takto:</w:t>
      </w:r>
    </w:p>
    <w:p w:rsidR="00672D42" w:rsidP="00672D42">
      <w:pPr>
        <w:spacing w:before="120" w:line="360" w:lineRule="auto"/>
        <w:ind w:firstLine="708"/>
        <w:jc w:val="both"/>
        <w:rPr>
          <w:rFonts w:ascii="Times New Roman" w:hAnsi="Times New Roman" w:cs="Times New Roman"/>
        </w:rPr>
      </w:pPr>
      <w:r>
        <w:rPr>
          <w:rFonts w:ascii="Wingdings" w:hAnsi="Wingdings" w:cs="Times New Roman"/>
        </w:rPr>
        <w:sym w:font="Wingdings" w:char="F0D8"/>
      </w:r>
      <w:r>
        <w:rPr>
          <w:rFonts w:ascii="Times New Roman" w:hAnsi="Times New Roman" w:cs="Times New Roman"/>
        </w:rPr>
        <w:t xml:space="preserve"> </w:t>
      </w:r>
      <w:r w:rsidRPr="0024053C">
        <w:rPr>
          <w:rFonts w:ascii="Times New Roman" w:hAnsi="Times New Roman" w:cs="Times New Roman"/>
          <w:i/>
        </w:rPr>
        <w:t>transfery v rámci verejnej sprá</w:t>
      </w:r>
      <w:r w:rsidRPr="0024053C">
        <w:rPr>
          <w:rFonts w:ascii="Times New Roman" w:hAnsi="Times New Roman" w:cs="Times New Roman"/>
          <w:i/>
        </w:rPr>
        <w:t>vy</w:t>
      </w:r>
      <w:r>
        <w:rPr>
          <w:rFonts w:ascii="Times New Roman" w:hAnsi="Times New Roman" w:cs="Times New Roman"/>
        </w:rPr>
        <w:t>: rozpočtovali sa sumou 47 759,4 mil. Sk, ktorá sa v priebehu roka zvýšila rozpočtovými opatreniami na 48 719,8 mil. Sk.</w:t>
      </w:r>
    </w:p>
    <w:p w:rsidR="00672D42" w:rsidP="008E6B27">
      <w:pPr>
        <w:spacing w:before="120" w:after="120"/>
        <w:ind w:firstLine="540"/>
        <w:jc w:val="both"/>
        <w:rPr>
          <w:rFonts w:ascii="Times New Roman" w:hAnsi="Times New Roman" w:cs="Times New Roman"/>
        </w:rPr>
      </w:pPr>
      <w:r>
        <w:rPr>
          <w:rFonts w:ascii="Times New Roman" w:hAnsi="Times New Roman" w:cs="Times New Roman"/>
        </w:rPr>
        <w:t xml:space="preserve"> V skutočnom plnení 48 686,0 mil. Sk (99,9 % k upravenému  rozpočtu) sú zahrnuté:</w:t>
      </w:r>
    </w:p>
    <w:p w:rsidR="00672D42" w:rsidP="00672D42">
      <w:pPr>
        <w:spacing w:before="240"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transfery príspevkovým organizáciám zaradeným Štatistickým úradom SR do verejnej správy v sume 6 127,8 mil. Sk, ktoré sa poskytli z rozpočtu rozpočtových kapitol štátnym príspevkovým organizáciám v ich vlastnej zriaďovateľskej pôsobnosti ako zdroj štátneho rozpočtu na financovanie ich plánovaných prevádz</w:t>
      </w:r>
      <w:r>
        <w:rPr>
          <w:rFonts w:ascii="Times New Roman" w:hAnsi="Times New Roman" w:cs="Times New Roman"/>
        </w:rPr>
        <w:t>kových potrieb,</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príspevky štátnemu účelovému fondu - Štátnemu fondu rozvoja bývania v objeme 3 118,4 mil. Sk z rozpočtu kapitoly ministerstva výstavby a regionálneho rozvoja na podporu rozvoja bývania vrátane správy fondu a bankových služieb. Vo výške 2 768,3 mil. Sk bol schválený zákonom NR SR o štátnom rozpočte na rok 2006 a v zmysle uznesenia vlády SR sa ďalších 350,0 mil. Sk realizovalo úpravou rozpočtu,</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transfery rozpočtovým organizáciám na plnenie špeciálnych úloh najmä v oblasti školstva, dopravy</w:t>
      </w:r>
      <w:r>
        <w:rPr>
          <w:rFonts w:ascii="Times New Roman" w:hAnsi="Times New Roman" w:cs="Times New Roman"/>
        </w:rPr>
        <w:t>, výstavby a sociálnych vecí 106,7 mil. Sk,</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dotácie verejným vysokým školám, ktoré dosiahli sumu 11 066,4 mil. Sk a realizovali sa v podstatnej miere prostredníctvom kapitoly ministerstva školstva,</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dotácie obciam, ktoré sa rozpočtovali v úhrnnej sume 1</w:t>
      </w:r>
      <w:r>
        <w:rPr>
          <w:rFonts w:ascii="Times New Roman" w:hAnsi="Times New Roman" w:cs="Times New Roman"/>
        </w:rPr>
        <w:t>8 232,4 mil. Sk, z </w:t>
      </w:r>
      <w:r w:rsidR="00862714">
        <w:rPr>
          <w:rFonts w:ascii="Times New Roman" w:hAnsi="Times New Roman" w:cs="Times New Roman"/>
        </w:rPr>
        <w:t>t</w:t>
      </w:r>
      <w:r>
        <w:rPr>
          <w:rFonts w:ascii="Times New Roman" w:hAnsi="Times New Roman" w:cs="Times New Roman"/>
        </w:rPr>
        <w:t xml:space="preserve">oho </w:t>
      </w:r>
      <w:r w:rsidR="00862714">
        <w:rPr>
          <w:rFonts w:ascii="Times New Roman" w:hAnsi="Times New Roman" w:cs="Times New Roman"/>
        </w:rPr>
        <w:t xml:space="preserve">záväzné limity rozpočtované </w:t>
      </w:r>
      <w:r>
        <w:rPr>
          <w:rFonts w:ascii="Times New Roman" w:hAnsi="Times New Roman" w:cs="Times New Roman"/>
        </w:rPr>
        <w:t>vo výdavkoch kapitol ministerstva vnútra, výstavby a regionálneho rozvoja, dopravy, životného prostredia a školstva na matričnú činnosť, činnosť stavebných úradov, dopravných potrieb, životného prostredia</w:t>
      </w:r>
      <w:r>
        <w:rPr>
          <w:rFonts w:ascii="Times New Roman" w:hAnsi="Times New Roman" w:cs="Times New Roman"/>
        </w:rPr>
        <w:t xml:space="preserve"> a potrieb školstva </w:t>
      </w:r>
      <w:r w:rsidR="00862714">
        <w:rPr>
          <w:rFonts w:ascii="Times New Roman" w:hAnsi="Times New Roman" w:cs="Times New Roman"/>
        </w:rPr>
        <w:t xml:space="preserve">tvorili 14 679,0 mil. Sk a </w:t>
      </w:r>
      <w:r>
        <w:rPr>
          <w:rFonts w:ascii="Times New Roman" w:hAnsi="Times New Roman" w:cs="Times New Roman"/>
        </w:rPr>
        <w:t xml:space="preserve"> </w:t>
      </w:r>
      <w:r w:rsidR="00862714">
        <w:rPr>
          <w:rFonts w:ascii="Times New Roman" w:hAnsi="Times New Roman" w:cs="Times New Roman"/>
        </w:rPr>
        <w:t>v</w:t>
      </w:r>
      <w:r>
        <w:rPr>
          <w:rFonts w:ascii="Times New Roman" w:hAnsi="Times New Roman" w:cs="Times New Roman"/>
        </w:rPr>
        <w:t> kapitole Všeobecná pokladničná správa na financovanie individuálnych potrieb, záchranu a obnovu historických pamiatok a pre zariade</w:t>
      </w:r>
      <w:r w:rsidR="00862714">
        <w:rPr>
          <w:rFonts w:ascii="Times New Roman" w:hAnsi="Times New Roman" w:cs="Times New Roman"/>
        </w:rPr>
        <w:t>nia sociálnych služieb 554,0 mil. Sk</w:t>
      </w:r>
      <w:r>
        <w:rPr>
          <w:rFonts w:ascii="Times New Roman" w:hAnsi="Times New Roman" w:cs="Times New Roman"/>
        </w:rPr>
        <w:t xml:space="preserve"> Úpravou rozpočtu sa pôvodný rozpočet dotácií obciam znížil na 17 758,1 mil. Sk a skutočné výdavky štátneho rozpočtu takto realizované dosiahli 17 650,2 mil. Sk (plnenie upraveného rozpočtu na 99,4 %) a financovali sa nimi rozpočtom zabezpečené potreby obcí,</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dotácie vyšším územným celkom sa rozpočtovali v objeme 10 404,2 mil. Sk (upravený rozpočet 10 535,6 mil. Sk), z čoho na záväzné limity určené zákonom o štátnom rozpočte na rok 2006 pripadlo spolu 9 990,8 mil. Sk  na financovanie preneseného výkonu štátnej správy do pôsobnosti vyšších územných celkov. Skutočne vynaložené výdavky štátneho rozpočtu na dotácie vyšším územným celkom dosiahli 10 556,6 mil. Sk a splnili sa na 100,2 % upraveného rozpočtu,</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transfery ostatným subjektom verejnej správy zo štátneho rozpočtu sa realizovali v objeme 59</w:t>
      </w:r>
      <w:r>
        <w:rPr>
          <w:rFonts w:ascii="Times New Roman" w:hAnsi="Times New Roman" w:cs="Times New Roman"/>
        </w:rPr>
        <w:t xml:space="preserve">,9 mil. Sk. </w:t>
      </w:r>
    </w:p>
    <w:p w:rsidR="00672D42" w:rsidP="00672D42">
      <w:pPr>
        <w:spacing w:before="120" w:line="360" w:lineRule="auto"/>
        <w:ind w:firstLine="708"/>
        <w:jc w:val="both"/>
        <w:rPr>
          <w:rFonts w:ascii="Times New Roman" w:hAnsi="Times New Roman" w:cs="Times New Roman"/>
        </w:rPr>
      </w:pPr>
      <w:r>
        <w:rPr>
          <w:rFonts w:ascii="Wingdings" w:hAnsi="Wingdings" w:cs="Times New Roman"/>
        </w:rPr>
        <w:sym w:font="Wingdings" w:char="F0D8"/>
      </w:r>
      <w:r>
        <w:rPr>
          <w:rFonts w:ascii="Times New Roman" w:hAnsi="Times New Roman" w:cs="Times New Roman"/>
        </w:rPr>
        <w:t xml:space="preserve"> </w:t>
      </w:r>
      <w:r w:rsidRPr="00FE3BD2">
        <w:rPr>
          <w:rFonts w:ascii="Times New Roman" w:hAnsi="Times New Roman" w:cs="Times New Roman"/>
          <w:i/>
        </w:rPr>
        <w:t>transfery jednotlivcom a neziskovým právnickým osobám</w:t>
      </w:r>
      <w:r>
        <w:rPr>
          <w:rFonts w:ascii="Times New Roman" w:hAnsi="Times New Roman" w:cs="Times New Roman"/>
        </w:rPr>
        <w:t xml:space="preserve"> zahŕňajú platby vo forme príspevkov, dávok, dôchodkov, odstupného, členského, štipendií jednotlivcom a neziskovým právnickým osobám a pod. Je to skupina transferov, ktoré tvoria najväčší objem bežných transferov. Sumou 76 729,9 mil. Sk tvoria najväčší až 46,7 %-ný podiel z celého objemu bežných transferov rozpočtovaných v štátnom rozpočte roku 2006. V priebehu roku sa ich objem upravil rozpočtovými opatreniami na úroveň 76 503,1 mil. Sk, skutočné výdavky sa realizovali vo výške 75 878,9 mil. Sk (99,2 %).</w:t>
      </w:r>
      <w:r w:rsidR="00A52D64">
        <w:rPr>
          <w:rFonts w:ascii="Times New Roman" w:hAnsi="Times New Roman" w:cs="Times New Roman"/>
        </w:rPr>
        <w:t xml:space="preserve"> V zmysle zákona č. 592/2006 Z.</w:t>
      </w:r>
      <w:r w:rsidR="000F3A0B">
        <w:rPr>
          <w:rFonts w:ascii="Times New Roman" w:hAnsi="Times New Roman" w:cs="Times New Roman"/>
        </w:rPr>
        <w:t xml:space="preserve"> </w:t>
      </w:r>
      <w:r w:rsidR="00A52D64">
        <w:rPr>
          <w:rFonts w:ascii="Times New Roman" w:hAnsi="Times New Roman" w:cs="Times New Roman"/>
        </w:rPr>
        <w:t>z. je v tejto sume zahrnutých aj 1 614,2 mil. Sk poskytnutých formou vianočného príspevku niektorým poberateľom dôchodku.</w:t>
      </w:r>
      <w:r>
        <w:rPr>
          <w:rFonts w:ascii="Times New Roman" w:hAnsi="Times New Roman" w:cs="Times New Roman"/>
        </w:rPr>
        <w:t xml:space="preserve"> </w:t>
      </w:r>
    </w:p>
    <w:p w:rsidR="00672D42" w:rsidP="008E6B27">
      <w:pPr>
        <w:spacing w:before="120" w:after="120" w:line="360" w:lineRule="auto"/>
        <w:ind w:firstLine="540"/>
        <w:jc w:val="both"/>
        <w:rPr>
          <w:rFonts w:ascii="Times New Roman" w:hAnsi="Times New Roman" w:cs="Times New Roman"/>
        </w:rPr>
      </w:pPr>
      <w:r>
        <w:rPr>
          <w:rFonts w:ascii="Times New Roman" w:hAnsi="Times New Roman" w:cs="Times New Roman"/>
        </w:rPr>
        <w:t>V tejto položke sú zahrnuté:</w:t>
      </w:r>
    </w:p>
    <w:p w:rsidR="00672D42" w:rsidRPr="00A7380F" w:rsidP="00672D42">
      <w:pPr>
        <w:spacing w:line="360" w:lineRule="auto"/>
        <w:ind w:firstLine="540"/>
        <w:jc w:val="both"/>
        <w:rPr>
          <w:rFonts w:ascii="Times New Roman" w:hAnsi="Times New Roman" w:cs="Times New Roman"/>
          <w:color w:val="000000"/>
        </w:rPr>
      </w:pPr>
      <w:r>
        <w:rPr>
          <w:rFonts w:ascii="Arial Narrow" w:hAnsi="Arial Narrow" w:cs="Times New Roman"/>
        </w:rPr>
        <w:t>•</w:t>
      </w:r>
      <w:r>
        <w:rPr>
          <w:rFonts w:ascii="Times New Roman" w:hAnsi="Times New Roman" w:cs="Times New Roman"/>
        </w:rPr>
        <w:t xml:space="preserve"> </w:t>
      </w:r>
      <w:r w:rsidRPr="00A7380F">
        <w:rPr>
          <w:rFonts w:ascii="Times New Roman" w:hAnsi="Times New Roman" w:cs="Times New Roman"/>
          <w:color w:val="000000"/>
        </w:rPr>
        <w:t xml:space="preserve">sociálne dávky 32 475,2 mil. Sk, z ktorých pripadlo na platby vo forme prídavku na dieťa 8 461,1 mil. Sk, na dávku v hmotnej núdzi 8 264,7 mil. Sk, na opakované sociálne dávky 7 351,9  mil. Sk, ako peňažné príspevky na kompenzáciu 5 259,2 mil. Sk, na ostatné dávky poskytované štátom 2 787,3 mil. Sk, na príspevok pri narodení dieťaťa 231,6 mil. Sk a na príspevok na pohreb 119,4 mil. Sk; podstatná časť týchto transferov bola realizovaná prostredníctvom rozpočtu rozpočtovej kapitoly ministerstva práce, sociálnych </w:t>
      </w:r>
      <w:r w:rsidRPr="00A7380F">
        <w:rPr>
          <w:rFonts w:ascii="Times New Roman" w:hAnsi="Times New Roman" w:cs="Times New Roman"/>
          <w:color w:val="000000"/>
        </w:rPr>
        <w:t xml:space="preserve">vecí a rodiny,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transfery na platené poistné za skupiny osôb ustanovené zákonom, ktoré sa rozpočtovali sumou 28 326,2 mil. Sk, z toho 4 918,3 mil. Sk formou platieb z rozpočtu kapitoly ministerstva práce sociálnych vecí a rodiny určených Sociálnej poisťovni na dôchodkové zabezpečenie a nemocenské poistenie a 23 407,9 mil. Sk formou  platieb z rozpočtu kapitoly ministerstva zdravotníctva na zdravotné poistenie. V skutočnom plnení vo výške 28 392,4 mil. Sk tvorili platby na dôchodkové zabezpečenie a nemocen</w:t>
      </w:r>
      <w:r>
        <w:rPr>
          <w:rFonts w:ascii="Times New Roman" w:hAnsi="Times New Roman" w:cs="Times New Roman"/>
        </w:rPr>
        <w:t>ské poistenie 4 998,3 mil. Sk a platby na zdravotné poistenie 23 394,1 mil. Sk,</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transfery občianskym združeniam, nadáciám, rôznym neziskovým organizáciám 2 129,2 mil. Sk, cirkevným školám, súkromným školám  2 897,4 mil. Sk, cirkvám, náboženským spoločnos</w:t>
      </w:r>
      <w:r>
        <w:rPr>
          <w:rFonts w:ascii="Times New Roman" w:hAnsi="Times New Roman" w:cs="Times New Roman"/>
        </w:rPr>
        <w:t>tiam a cirkevnej charite 950,9 mil. Sk,</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príspevok na osobitný účet vytvorený v zmysle zákona č. 328/2002 Z. z. </w:t>
      </w:r>
      <w:r w:rsidRPr="006A5ED2">
        <w:rPr>
          <w:rFonts w:ascii="Times New Roman" w:hAnsi="Times New Roman" w:cs="Times New Roman"/>
        </w:rPr>
        <w:t xml:space="preserve">o sociálnom zabezpečení policajtov a vojakov a o zmene a doplnení niektorých zákonov </w:t>
      </w:r>
      <w:r>
        <w:rPr>
          <w:rFonts w:ascii="Times New Roman" w:hAnsi="Times New Roman" w:cs="Times New Roman"/>
        </w:rPr>
        <w:t xml:space="preserve">na úhradu rozdielov medzi príjmami a výdavkami tohto účtu </w:t>
      </w:r>
      <w:r>
        <w:rPr>
          <w:rFonts w:ascii="Times New Roman" w:hAnsi="Times New Roman" w:cs="Times New Roman"/>
        </w:rPr>
        <w:t>1 677,8 mil. Sk,</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jednotlivcom (napr. rôzne ocenenia za zásluhy pri osobnej pomoci pri mimoriadnych udalostiach, ocenenia práce pedagógov, žiakov, študentov, za výsledky dosiahnuté na vrcholových športových podujatiach a pod.) 1 856,3 mil. Sk,</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na aktívn</w:t>
      </w:r>
      <w:r>
        <w:rPr>
          <w:rFonts w:ascii="Times New Roman" w:hAnsi="Times New Roman" w:cs="Times New Roman"/>
        </w:rPr>
        <w:t>e opatrenia trhu</w:t>
      </w:r>
      <w:r w:rsidR="00CD1590">
        <w:rPr>
          <w:rFonts w:ascii="Times New Roman" w:hAnsi="Times New Roman" w:cs="Times New Roman"/>
        </w:rPr>
        <w:t xml:space="preserve"> práce</w:t>
      </w:r>
      <w:r>
        <w:rPr>
          <w:rFonts w:ascii="Times New Roman" w:hAnsi="Times New Roman" w:cs="Times New Roman"/>
        </w:rPr>
        <w:t xml:space="preserve"> 3 880,3 mil. Sk,</w:t>
      </w:r>
    </w:p>
    <w:p w:rsidR="00672D42" w:rsidP="00672D42">
      <w:pPr>
        <w:spacing w:line="360" w:lineRule="auto"/>
        <w:ind w:firstLine="540"/>
        <w:jc w:val="both"/>
        <w:rPr>
          <w:rFonts w:ascii="Times New Roman" w:hAnsi="Times New Roman" w:cs="Times New Roman"/>
        </w:rPr>
      </w:pPr>
      <w:r w:rsidR="00F43CF6">
        <w:rPr>
          <w:rFonts w:ascii="Arial" w:hAnsi="Arial" w:cs="Arial"/>
        </w:rPr>
        <w:t>•</w:t>
      </w:r>
      <w:r>
        <w:rPr>
          <w:rFonts w:ascii="Times New Roman" w:hAnsi="Times New Roman" w:cs="Times New Roman"/>
        </w:rPr>
        <w:t xml:space="preserve"> ostatné transfery smerované jednotlivcom a do neziskovej sféry (odstupné, odchodné, transfer politickej strane, hnutiu, odborovej organizácii a pod.) 1 619,4 mil. Sk.</w:t>
      </w:r>
    </w:p>
    <w:p w:rsidR="00672D42" w:rsidP="00672D42">
      <w:pPr>
        <w:spacing w:before="120" w:line="360" w:lineRule="auto"/>
        <w:ind w:firstLine="708"/>
        <w:jc w:val="both"/>
        <w:rPr>
          <w:rFonts w:ascii="Times New Roman" w:hAnsi="Times New Roman" w:cs="Times New Roman"/>
        </w:rPr>
      </w:pPr>
      <w:r>
        <w:rPr>
          <w:rFonts w:ascii="Wingdings" w:hAnsi="Wingdings" w:cs="Times New Roman"/>
        </w:rPr>
        <w:sym w:font="Wingdings" w:char="F0D8"/>
      </w:r>
      <w:r>
        <w:rPr>
          <w:rFonts w:ascii="Times New Roman" w:hAnsi="Times New Roman" w:cs="Times New Roman"/>
        </w:rPr>
        <w:t xml:space="preserve"> </w:t>
      </w:r>
      <w:r w:rsidRPr="006A5ED2">
        <w:rPr>
          <w:rFonts w:ascii="Times New Roman" w:hAnsi="Times New Roman" w:cs="Times New Roman"/>
          <w:i/>
        </w:rPr>
        <w:t>Transfery nefinančným subjektom a transfery p</w:t>
      </w:r>
      <w:r w:rsidRPr="006A5ED2">
        <w:rPr>
          <w:rFonts w:ascii="Times New Roman" w:hAnsi="Times New Roman" w:cs="Times New Roman"/>
          <w:i/>
        </w:rPr>
        <w:t>ríspevkovým organizáciám nezaradeným vo verejnej správe v registri Štatistického úradu SR</w:t>
      </w:r>
      <w:r>
        <w:rPr>
          <w:rFonts w:ascii="Times New Roman" w:hAnsi="Times New Roman" w:cs="Times New Roman"/>
          <w:i/>
        </w:rPr>
        <w:t xml:space="preserve">: </w:t>
      </w:r>
      <w:r w:rsidRPr="006A5ED2">
        <w:rPr>
          <w:rFonts w:ascii="Times New Roman" w:hAnsi="Times New Roman" w:cs="Times New Roman"/>
        </w:rPr>
        <w:t>do tejto</w:t>
      </w:r>
      <w:r>
        <w:rPr>
          <w:rFonts w:ascii="Times New Roman" w:hAnsi="Times New Roman" w:cs="Times New Roman"/>
        </w:rPr>
        <w:t xml:space="preserve"> skupiny výdavkov patria bežné platby vo forme úrokových rozdielov, grantov alebo iných platieb vykonaných priamo cez rozpočtové účty na podporu obchodných aktivít príjemcov (podnikateľov) ako aj transfery príspevkovým organizáciám mimo verejnej správy. Pre rok 2006 bol schválený rozpočet 24 220,2 mil. Sk, ktorý sa prijatými rozpočtovými opatreniami zvýšil na 24 709,5 mil. Sk. Skutočné čerpanie prostriedkov štátneho rozpočtu 24 710,1 mil. Sk (100,0 % upraveného rozpočtu) sa nefinančným subjektom realizovali hlavne prostredníctvom rozpočtu kapitoly ministerstva pôdohospodárstva (13 388,1 mil. Sk), ministerstva dopravy  (9 682,2 mil. Sk) a ďalších rozpočtových kapitol (1 639,8 mil. Sk) na podporu podnikateľských aktivít subjektov v ich pôsobnosti.</w:t>
      </w:r>
    </w:p>
    <w:p w:rsidR="00672D42" w:rsidP="00672D42">
      <w:pPr>
        <w:spacing w:before="120" w:after="120" w:line="360" w:lineRule="auto"/>
        <w:ind w:firstLine="708"/>
        <w:jc w:val="both"/>
        <w:rPr>
          <w:rFonts w:ascii="Times New Roman" w:hAnsi="Times New Roman" w:cs="Times New Roman"/>
        </w:rPr>
      </w:pPr>
      <w:r>
        <w:rPr>
          <w:rFonts w:ascii="Wingdings" w:hAnsi="Wingdings" w:cs="Times New Roman"/>
        </w:rPr>
        <w:sym w:font="Wingdings" w:char="F0D8"/>
      </w:r>
      <w:r>
        <w:rPr>
          <w:rFonts w:ascii="Times New Roman" w:hAnsi="Times New Roman" w:cs="Times New Roman"/>
        </w:rPr>
        <w:t xml:space="preserve"> </w:t>
      </w:r>
      <w:r w:rsidRPr="006A5ED2">
        <w:rPr>
          <w:rFonts w:ascii="Times New Roman" w:hAnsi="Times New Roman" w:cs="Times New Roman"/>
          <w:i/>
        </w:rPr>
        <w:t>Transfery do tuzemských finančných inštitúcií</w:t>
      </w:r>
      <w:r>
        <w:rPr>
          <w:rFonts w:ascii="Times New Roman" w:hAnsi="Times New Roman" w:cs="Times New Roman"/>
          <w:i/>
        </w:rPr>
        <w:t xml:space="preserve">: </w:t>
      </w:r>
      <w:r>
        <w:rPr>
          <w:rFonts w:ascii="Times New Roman" w:hAnsi="Times New Roman" w:cs="Times New Roman"/>
        </w:rPr>
        <w:t>rozpočtovali sa v úhrnnej sume 309,4 mil. Sk, rozpočtovými opatreniami sa ich objem  znížil na 219,4 mil. Sk. Čerpanie výdavkov v tejto položke dosiahlo 209,1 mil. Sk, čo je 95,3 % upraveného rozpočtu. Z nich na úhradu majetkovej ujmy za zvýhodnené úvery  z rozpočtu kapitoly Všeobecná pokladničná správa 129,1 mil. Sk a na úhradu výdavkov súvisiacich s poskytnutými štátnymi zárukami 80,0 mil. Sk z rozpočtu kapitoly ministerstva výstavby a regionálneho rozvoja.</w:t>
      </w:r>
    </w:p>
    <w:p w:rsidR="00672D42" w:rsidP="000F50C9">
      <w:pPr>
        <w:spacing w:line="360" w:lineRule="auto"/>
        <w:ind w:firstLine="708"/>
        <w:jc w:val="both"/>
        <w:rPr>
          <w:rFonts w:ascii="Times New Roman" w:hAnsi="Times New Roman" w:cs="Times New Roman"/>
        </w:rPr>
      </w:pPr>
      <w:r>
        <w:rPr>
          <w:rFonts w:ascii="Wingdings" w:hAnsi="Wingdings" w:cs="Times New Roman"/>
        </w:rPr>
        <w:sym w:font="Wingdings" w:char="F0D8"/>
      </w:r>
      <w:r>
        <w:rPr>
          <w:rFonts w:ascii="Times New Roman" w:hAnsi="Times New Roman" w:cs="Times New Roman"/>
        </w:rPr>
        <w:t xml:space="preserve"> </w:t>
      </w:r>
      <w:r w:rsidRPr="00A07D9D">
        <w:rPr>
          <w:rFonts w:ascii="Times New Roman" w:hAnsi="Times New Roman" w:cs="Times New Roman"/>
          <w:i/>
        </w:rPr>
        <w:t>Transfery do zahraničia</w:t>
      </w:r>
      <w:r>
        <w:rPr>
          <w:rFonts w:ascii="Times New Roman" w:hAnsi="Times New Roman" w:cs="Times New Roman"/>
          <w:i/>
        </w:rPr>
        <w:t>:</w:t>
      </w:r>
      <w:r>
        <w:rPr>
          <w:rFonts w:ascii="Times New Roman" w:hAnsi="Times New Roman" w:cs="Times New Roman"/>
        </w:rPr>
        <w:t xml:space="preserve"> sa rozpočtovali v úhrnnej výške 15 306,8 mil. Sk, z toho rozhodujúcu časť 14 105,4 mil. Sk tvoria odvody Slovenskej republiky do rozpočtu Európskej únie zo zdroja založeného na dani z pridanej hodnoty a zdroja založeného na hrubom národnom produkte. Zo skutočne realizovaných transferov do zahraničia v objeme 14 666,5 mil. Sk sa uhradili odvody do rozpočtu Európskej únie  v sume 13 644,0 mil. Sk</w:t>
      </w:r>
      <w:r>
        <w:rPr>
          <w:rFonts w:ascii="Times New Roman" w:hAnsi="Times New Roman" w:cs="Times New Roman"/>
        </w:rPr>
        <w:t>, na  platby medzinárodným organizáciám pripadlo 821,4 mil. Sk  a iné platby smerované do zahr</w:t>
      </w:r>
      <w:r w:rsidR="000F50C9">
        <w:rPr>
          <w:rFonts w:ascii="Times New Roman" w:hAnsi="Times New Roman" w:cs="Times New Roman"/>
        </w:rPr>
        <w:t>ani</w:t>
      </w:r>
      <w:r w:rsidR="00CD1590">
        <w:rPr>
          <w:rFonts w:ascii="Times New Roman" w:hAnsi="Times New Roman" w:cs="Times New Roman"/>
        </w:rPr>
        <w:t>čia dosiahli 2</w:t>
      </w:r>
      <w:r w:rsidR="000F50C9">
        <w:rPr>
          <w:rFonts w:ascii="Times New Roman" w:hAnsi="Times New Roman" w:cs="Times New Roman"/>
        </w:rPr>
        <w:t>01,1 mil. Sk.</w:t>
      </w:r>
    </w:p>
    <w:p w:rsidR="00850A45" w:rsidP="00CD1590">
      <w:pPr>
        <w:spacing w:line="360" w:lineRule="auto"/>
        <w:jc w:val="both"/>
        <w:rPr>
          <w:rFonts w:ascii="Times New Roman" w:hAnsi="Times New Roman" w:cs="Times New Roman"/>
        </w:rPr>
      </w:pPr>
    </w:p>
    <w:p w:rsidR="00672D42" w:rsidRPr="00A07D9D" w:rsidP="00672D42">
      <w:pPr>
        <w:spacing w:before="120" w:after="120" w:line="360" w:lineRule="auto"/>
        <w:ind w:firstLine="709"/>
        <w:jc w:val="both"/>
        <w:rPr>
          <w:rFonts w:ascii="Times New Roman" w:hAnsi="Times New Roman" w:cs="Times New Roman"/>
          <w:u w:val="single"/>
        </w:rPr>
      </w:pPr>
      <w:r w:rsidRPr="00A07D9D">
        <w:rPr>
          <w:rFonts w:ascii="Times New Roman" w:hAnsi="Times New Roman" w:cs="Times New Roman"/>
          <w:u w:val="single"/>
        </w:rPr>
        <w:t>e) Splácanie úrokov a ostatné platby súvisiace s úvermi</w:t>
      </w:r>
    </w:p>
    <w:p w:rsidR="00672D42" w:rsidP="00672D42">
      <w:pPr>
        <w:spacing w:line="360" w:lineRule="auto"/>
        <w:ind w:firstLine="708"/>
        <w:jc w:val="both"/>
        <w:rPr>
          <w:rFonts w:ascii="Times New Roman" w:hAnsi="Times New Roman" w:cs="Times New Roman"/>
        </w:rPr>
      </w:pPr>
      <w:r>
        <w:rPr>
          <w:rFonts w:ascii="Times New Roman" w:hAnsi="Times New Roman" w:cs="Times New Roman"/>
        </w:rPr>
        <w:t xml:space="preserve">Výdavky na splácanie </w:t>
      </w:r>
      <w:r w:rsidRPr="00716D8B">
        <w:rPr>
          <w:rFonts w:ascii="Times New Roman" w:hAnsi="Times New Roman" w:cs="Times New Roman"/>
        </w:rPr>
        <w:t>úrokov a ostatné platby súvisiace s úvermi</w:t>
      </w:r>
      <w:r>
        <w:rPr>
          <w:rFonts w:ascii="Times New Roman" w:hAnsi="Times New Roman" w:cs="Times New Roman"/>
        </w:rPr>
        <w:t xml:space="preserve"> sa v štátnom rozpočte na rok 2006 rozpočtovali v úhrnnej sume 24 027,9 mil. Sk. Rozpočtovými opatreniami sa pôvodne rozpočtovaná suma zvýšila  na 26 597,1 mil. Sk a skutočné čerpanie predstavuje  26 370,0 mil. Sk. Štruktúru výdavkov tvoria:</w:t>
      </w:r>
    </w:p>
    <w:p w:rsidR="00672D42" w:rsidP="00850A45">
      <w:pPr>
        <w:numPr>
          <w:ilvl w:val="0"/>
          <w:numId w:val="89"/>
        </w:numPr>
        <w:tabs>
          <w:tab w:val="clear" w:pos="1260"/>
        </w:tabs>
        <w:spacing w:before="120" w:line="360" w:lineRule="auto"/>
        <w:ind w:left="0" w:firstLine="360"/>
        <w:jc w:val="both"/>
        <w:rPr>
          <w:rFonts w:ascii="Times New Roman" w:hAnsi="Times New Roman" w:cs="Times New Roman"/>
        </w:rPr>
      </w:pPr>
      <w:r>
        <w:rPr>
          <w:rFonts w:ascii="Times New Roman" w:hAnsi="Times New Roman" w:cs="Times New Roman"/>
        </w:rPr>
        <w:t>úroky súvisiace s vnútorným štátnym dlhom, ktoré boli rozpočtované  vo výške 19 012,3 mil. Sk. Čerpanie za rok je v sume 18 803,3 mil. Sk a pozostáva z úrokov zo štátnych dlhopisov (11 230,9 mil. Sk), nákladov spojených s likviditou jediného účtu (7 267,9 mil. Sk), z úrokov z </w:t>
      </w:r>
      <w:r w:rsidR="000A5F31">
        <w:rPr>
          <w:rFonts w:ascii="Times New Roman" w:hAnsi="Times New Roman" w:cs="Times New Roman"/>
        </w:rPr>
        <w:t>prij</w:t>
      </w:r>
      <w:r w:rsidR="000A5F31">
        <w:rPr>
          <w:rFonts w:ascii="Times New Roman" w:hAnsi="Times New Roman" w:cs="Times New Roman"/>
        </w:rPr>
        <w:t>atých</w:t>
      </w:r>
      <w:r>
        <w:rPr>
          <w:rFonts w:ascii="Times New Roman" w:hAnsi="Times New Roman" w:cs="Times New Roman"/>
        </w:rPr>
        <w:t xml:space="preserve"> úverov (257,9 mil. Sk) a z ostatných platieb súvisiacich so splácaním vnútorného štátneho dlhu (46,6 mil. Sk),</w:t>
      </w:r>
    </w:p>
    <w:p w:rsidR="00672D42" w:rsidP="00850A45">
      <w:pPr>
        <w:numPr>
          <w:ilvl w:val="0"/>
          <w:numId w:val="89"/>
        </w:numPr>
        <w:tabs>
          <w:tab w:val="clear" w:pos="1260"/>
        </w:tabs>
        <w:spacing w:before="120" w:line="360" w:lineRule="auto"/>
        <w:ind w:left="0" w:firstLine="360"/>
        <w:jc w:val="both"/>
        <w:rPr>
          <w:rFonts w:ascii="Times New Roman" w:hAnsi="Times New Roman" w:cs="Times New Roman"/>
        </w:rPr>
      </w:pPr>
      <w:r>
        <w:rPr>
          <w:rFonts w:ascii="Times New Roman" w:hAnsi="Times New Roman" w:cs="Times New Roman"/>
        </w:rPr>
        <w:t>úroky voči zahraničným veriteľom vo výške 7 490,1 mil. Sk. Tvoria ich vyplatené výnosy majiteľom štátnych dlhopisov, emitovaných v zahraničí (5 932,1  mil. Sk) a úroky z úverov poskytnutých zo zahraničia, napr. z úveru EFSAL (244,4 mil. Sk), z úverov od RBRE (8,9 mil. Sk), z úveru Banque Nationale de Paris na financovanie výstavby rádiokomunikačnej siete (23,1 mil. Sk), z  medzinárodných pôžičiek SAL a ERL (31,8 mil. Sk), zo záväzkov prevzatých od  Štátneho fondu cestného hospodárstva voči zahraničným veriteľom (693,6 mil. Sk), zo záväzkov prevzatých od Železníc SR a Železničnej spoločnosti, a. s. (320,6 mil. Sk), z úverov od EIB (230,4 mil. Sk), a ostatné platby súvisiace so zahraničnými úvermi (5,2 mil. Sk),</w:t>
      </w:r>
    </w:p>
    <w:p w:rsidR="00672D42" w:rsidRPr="000F50C9" w:rsidP="00850A45">
      <w:pPr>
        <w:numPr>
          <w:ilvl w:val="0"/>
          <w:numId w:val="89"/>
        </w:numPr>
        <w:tabs>
          <w:tab w:val="clear" w:pos="1260"/>
        </w:tabs>
        <w:spacing w:before="120" w:line="360" w:lineRule="auto"/>
        <w:ind w:left="0" w:firstLine="360"/>
        <w:jc w:val="both"/>
        <w:rPr>
          <w:rFonts w:ascii="Times New Roman" w:hAnsi="Times New Roman" w:cs="Times New Roman"/>
        </w:rPr>
      </w:pPr>
      <w:r>
        <w:rPr>
          <w:rFonts w:ascii="Times New Roman" w:hAnsi="Times New Roman" w:cs="Times New Roman"/>
        </w:rPr>
        <w:t>ostatné platby súvisiace s úvermi,</w:t>
      </w:r>
      <w:r w:rsidR="000F50C9">
        <w:rPr>
          <w:rFonts w:ascii="Times New Roman" w:hAnsi="Times New Roman" w:cs="Times New Roman"/>
        </w:rPr>
        <w:t xml:space="preserve"> pôžičkami a pod. 76,6 mil. Sk.</w:t>
      </w:r>
    </w:p>
    <w:p w:rsidR="00672D42" w:rsidP="00672D42">
      <w:pPr>
        <w:jc w:val="center"/>
        <w:rPr>
          <w:rFonts w:ascii="Times New Roman" w:hAnsi="Times New Roman" w:cs="Times New Roman"/>
          <w:b/>
        </w:rPr>
      </w:pPr>
    </w:p>
    <w:p w:rsidR="00672D42" w:rsidP="00672D42">
      <w:pPr>
        <w:jc w:val="center"/>
        <w:rPr>
          <w:rFonts w:ascii="Times New Roman" w:hAnsi="Times New Roman" w:cs="Times New Roman"/>
          <w:b/>
        </w:rPr>
      </w:pPr>
      <w:r w:rsidRPr="006F2170">
        <w:rPr>
          <w:rFonts w:ascii="Times New Roman" w:hAnsi="Times New Roman" w:cs="Times New Roman"/>
          <w:b/>
        </w:rPr>
        <w:t>2.2.1.2. Kapitálové výdavky</w:t>
      </w:r>
    </w:p>
    <w:p w:rsidR="00672D42" w:rsidP="00672D42">
      <w:pPr>
        <w:spacing w:line="360" w:lineRule="auto"/>
        <w:ind w:firstLine="708"/>
        <w:jc w:val="both"/>
        <w:rPr>
          <w:rFonts w:ascii="Times New Roman" w:hAnsi="Times New Roman" w:cs="Times New Roman"/>
          <w:b/>
        </w:rPr>
      </w:pPr>
    </w:p>
    <w:p w:rsidR="00672D42" w:rsidP="00672D42">
      <w:pPr>
        <w:spacing w:line="360" w:lineRule="auto"/>
        <w:ind w:firstLine="708"/>
        <w:jc w:val="both"/>
        <w:rPr>
          <w:rFonts w:ascii="Times New Roman" w:hAnsi="Times New Roman" w:cs="Times New Roman"/>
        </w:rPr>
      </w:pPr>
      <w:r>
        <w:rPr>
          <w:rFonts w:ascii="Times New Roman" w:hAnsi="Times New Roman" w:cs="Times New Roman"/>
        </w:rPr>
        <w:t>Do tejto hlavnej kategórie sa zahrňujú výdavky na obstaranie hmotného a nehmotného majetku,</w:t>
      </w:r>
      <w:r>
        <w:rPr>
          <w:rFonts w:ascii="Times New Roman" w:hAnsi="Times New Roman" w:cs="Times New Roman"/>
        </w:rPr>
        <w:t xml:space="preserve"> vrátane výdavkov súvisiacich s obstaraním tohto majetku v zmysle zákona </w:t>
      </w:r>
      <w:r w:rsidR="000A5F31">
        <w:rPr>
          <w:rFonts w:ascii="Times New Roman" w:hAnsi="Times New Roman" w:cs="Times New Roman"/>
        </w:rPr>
        <w:t xml:space="preserve">             </w:t>
      </w:r>
      <w:r>
        <w:rPr>
          <w:rFonts w:ascii="Times New Roman" w:hAnsi="Times New Roman" w:cs="Times New Roman"/>
        </w:rPr>
        <w:t xml:space="preserve">č. 595/2003 Z. z. o dani z príjmov. </w:t>
      </w:r>
    </w:p>
    <w:p w:rsidR="00672D42" w:rsidP="00672D42">
      <w:pPr>
        <w:spacing w:line="360" w:lineRule="auto"/>
        <w:ind w:firstLine="708"/>
        <w:jc w:val="both"/>
        <w:rPr>
          <w:rFonts w:ascii="Times New Roman" w:hAnsi="Times New Roman" w:cs="Times New Roman"/>
        </w:rPr>
      </w:pPr>
      <w:r>
        <w:rPr>
          <w:rFonts w:ascii="Times New Roman" w:hAnsi="Times New Roman" w:cs="Times New Roman"/>
        </w:rPr>
        <w:t xml:space="preserve"> Schválený rozpočet kapitálových výdavkov na rok 2006 predstavoval 46 776,0 mil. Sk, pričom na kapitálové aktíva sa rozpočtovalo 12 165,1 mil. Sk a na kapitálové transfery 34 610,9 mil. Sk. V medziročnom porovnaní sa rozpočet kapitálových výdavkov zvýšil o 5 001,6 mil. Sk. </w:t>
      </w:r>
    </w:p>
    <w:p w:rsidR="00672D42" w:rsidP="00672D42">
      <w:pPr>
        <w:spacing w:before="120" w:line="360" w:lineRule="auto"/>
        <w:ind w:firstLine="709"/>
        <w:jc w:val="both"/>
        <w:rPr>
          <w:rFonts w:ascii="Times New Roman" w:hAnsi="Times New Roman" w:cs="Times New Roman"/>
        </w:rPr>
      </w:pPr>
      <w:r>
        <w:rPr>
          <w:rFonts w:ascii="Times New Roman" w:hAnsi="Times New Roman" w:cs="Times New Roman"/>
        </w:rPr>
        <w:t>Pôvodne rozpočtovaný objem kapitálových výdavkov sa prijatými rozpočtovými opatreniami  znížil</w:t>
      </w:r>
      <w:r w:rsidRPr="00570F0E">
        <w:rPr>
          <w:rFonts w:ascii="Times New Roman" w:hAnsi="Times New Roman" w:cs="Times New Roman"/>
        </w:rPr>
        <w:t xml:space="preserve"> </w:t>
      </w:r>
      <w:r>
        <w:rPr>
          <w:rFonts w:ascii="Times New Roman" w:hAnsi="Times New Roman" w:cs="Times New Roman"/>
        </w:rPr>
        <w:t>o 6 432,6 mil. Sk na 40 343,4 mil. Sk. Takéto zníženie rozpočtovaných kapitálových výdavkov ovplyvnili hlavne rozpočt</w:t>
      </w:r>
      <w:r w:rsidR="000F50C9">
        <w:rPr>
          <w:rFonts w:ascii="Times New Roman" w:hAnsi="Times New Roman" w:cs="Times New Roman"/>
        </w:rPr>
        <w:t xml:space="preserve">ové opatrenia prijaté v súlade </w:t>
      </w:r>
      <w:r>
        <w:rPr>
          <w:rFonts w:ascii="Times New Roman" w:hAnsi="Times New Roman" w:cs="Times New Roman"/>
        </w:rPr>
        <w:t xml:space="preserve">s rozpočtovými pravidlami verejnej správy umožňujúce presun výdavkov do nasledujúceho roku. </w:t>
      </w:r>
    </w:p>
    <w:p w:rsidR="00672D42" w:rsidRPr="004F0DB8" w:rsidP="00672D42">
      <w:pPr>
        <w:spacing w:before="120" w:line="360" w:lineRule="auto"/>
        <w:ind w:firstLine="709"/>
        <w:jc w:val="both"/>
        <w:rPr>
          <w:rFonts w:ascii="Times New Roman" w:hAnsi="Times New Roman" w:cs="Times New Roman"/>
        </w:rPr>
      </w:pPr>
      <w:r>
        <w:rPr>
          <w:rFonts w:ascii="Times New Roman" w:hAnsi="Times New Roman" w:cs="Times New Roman"/>
        </w:rPr>
        <w:t xml:space="preserve">Za rok 2006 skutočné čerpanie kapitálových výdavkov, vynaložených zo štátneho rozpočtu na financovanie investičných potrieb, dosiahlo objem 40 897,6 mil. Sk a mierne prekročilo úroveň upraveného rozpočtu (plnenie na 101,4 %). V podrobnejšom členení podľa platnej rozpočtovej klasifikácie sa  čerpali na: </w:t>
      </w:r>
    </w:p>
    <w:p w:rsidR="000F50C9" w:rsidP="00672D42">
      <w:pPr>
        <w:spacing w:before="120"/>
        <w:ind w:firstLine="720"/>
        <w:jc w:val="both"/>
        <w:rPr>
          <w:rFonts w:ascii="Times New Roman" w:hAnsi="Times New Roman" w:cs="Times New Roman"/>
          <w:b/>
        </w:rPr>
      </w:pPr>
      <w:r w:rsidRPr="006F2170" w:rsidR="00672D42">
        <w:rPr>
          <w:rFonts w:ascii="Times New Roman" w:hAnsi="Times New Roman" w:cs="Times New Roman"/>
          <w:b/>
        </w:rPr>
        <w:t xml:space="preserve"> </w:t>
      </w:r>
    </w:p>
    <w:p w:rsidR="00672D42" w:rsidRPr="00AC7358" w:rsidP="00672D42">
      <w:pPr>
        <w:spacing w:before="120"/>
        <w:ind w:firstLine="720"/>
        <w:jc w:val="both"/>
        <w:rPr>
          <w:rFonts w:ascii="Times New Roman" w:hAnsi="Times New Roman" w:cs="Times New Roman"/>
          <w:u w:val="single"/>
        </w:rPr>
      </w:pPr>
      <w:r w:rsidRPr="00AC7358">
        <w:rPr>
          <w:rFonts w:ascii="Times New Roman" w:hAnsi="Times New Roman" w:cs="Times New Roman"/>
          <w:u w:val="single"/>
        </w:rPr>
        <w:t>a) obstaranie kapitálových aktív</w:t>
      </w:r>
    </w:p>
    <w:p w:rsidR="00672D42" w:rsidP="00672D42">
      <w:pPr>
        <w:jc w:val="both"/>
        <w:rPr>
          <w:rFonts w:ascii="Times New Roman" w:hAnsi="Times New Roman" w:cs="Times New Roman"/>
        </w:rPr>
      </w:pPr>
    </w:p>
    <w:p w:rsidR="00672D42" w:rsidP="00672D42">
      <w:pPr>
        <w:spacing w:line="360" w:lineRule="auto"/>
        <w:ind w:firstLine="708"/>
        <w:jc w:val="both"/>
        <w:rPr>
          <w:rFonts w:ascii="Times New Roman" w:hAnsi="Times New Roman" w:cs="Times New Roman"/>
        </w:rPr>
      </w:pPr>
      <w:r>
        <w:rPr>
          <w:rFonts w:ascii="Times New Roman" w:hAnsi="Times New Roman" w:cs="Times New Roman"/>
        </w:rPr>
        <w:t xml:space="preserve">Rozpočet výdavkov štátnych rozpočtových organizácií na obstaranie kapitálových aktív bol pôvodne stanovený  objemom 12 165,1 mil. Sk. Úpravami rozpočtu, ktoré súviseli hlavne s možnosťou presunu výdavkov do ďalšieho roku, sa uvedená suma znížila na 9 720,9 mil. Sk. </w:t>
      </w:r>
    </w:p>
    <w:p w:rsidR="00672D42" w:rsidP="00672D42">
      <w:pPr>
        <w:spacing w:before="120" w:line="360" w:lineRule="auto"/>
        <w:ind w:firstLine="709"/>
        <w:jc w:val="both"/>
        <w:rPr>
          <w:rFonts w:ascii="Times New Roman" w:hAnsi="Times New Roman" w:cs="Times New Roman"/>
        </w:rPr>
      </w:pPr>
      <w:r>
        <w:rPr>
          <w:rFonts w:ascii="Times New Roman" w:hAnsi="Times New Roman" w:cs="Times New Roman"/>
        </w:rPr>
        <w:t>Skutočné výdavky dosiahli 10 174,1 mil. Sk (104,7 % upraveného rozpočtu) a štátne rozpočtové organizácie nimi financovali obstaranie kapitálových aktív v tejto štruktúre:</w:t>
      </w:r>
    </w:p>
    <w:p w:rsidR="00672D42" w:rsidP="00850A45">
      <w:pPr>
        <w:numPr>
          <w:ilvl w:val="0"/>
          <w:numId w:val="90"/>
        </w:numPr>
        <w:tabs>
          <w:tab w:val="clear" w:pos="1260"/>
        </w:tabs>
        <w:spacing w:before="120" w:line="360" w:lineRule="auto"/>
        <w:ind w:left="720"/>
        <w:jc w:val="both"/>
        <w:rPr>
          <w:rFonts w:ascii="Times New Roman" w:hAnsi="Times New Roman" w:cs="Times New Roman"/>
        </w:rPr>
      </w:pPr>
      <w:r>
        <w:rPr>
          <w:rFonts w:ascii="Times New Roman" w:hAnsi="Times New Roman" w:cs="Times New Roman"/>
        </w:rPr>
        <w:t>realizácia stavieb a ic</w:t>
      </w:r>
      <w:r>
        <w:rPr>
          <w:rFonts w:ascii="Times New Roman" w:hAnsi="Times New Roman" w:cs="Times New Roman"/>
        </w:rPr>
        <w:t>h technického zhodnotenia 4 770,6 mil. Sk,</w:t>
      </w:r>
    </w:p>
    <w:p w:rsidR="00672D42" w:rsidP="00850A45">
      <w:pPr>
        <w:numPr>
          <w:ilvl w:val="0"/>
          <w:numId w:val="90"/>
        </w:numPr>
        <w:tabs>
          <w:tab w:val="clear" w:pos="1260"/>
        </w:tabs>
        <w:spacing w:line="360" w:lineRule="auto"/>
        <w:ind w:left="720"/>
        <w:jc w:val="both"/>
        <w:rPr>
          <w:rFonts w:ascii="Times New Roman" w:hAnsi="Times New Roman" w:cs="Times New Roman"/>
        </w:rPr>
      </w:pPr>
      <w:r>
        <w:rPr>
          <w:rFonts w:ascii="Times New Roman" w:hAnsi="Times New Roman" w:cs="Times New Roman"/>
        </w:rPr>
        <w:t>nákup strojov, prístrojov a zariadení, techniky  a náradia  1 986,0 mil. Sk,</w:t>
      </w:r>
    </w:p>
    <w:p w:rsidR="00672D42" w:rsidP="00850A45">
      <w:pPr>
        <w:numPr>
          <w:ilvl w:val="0"/>
          <w:numId w:val="90"/>
        </w:numPr>
        <w:tabs>
          <w:tab w:val="clear" w:pos="1260"/>
        </w:tabs>
        <w:spacing w:line="360" w:lineRule="auto"/>
        <w:ind w:left="720"/>
        <w:jc w:val="both"/>
        <w:rPr>
          <w:rFonts w:ascii="Times New Roman" w:hAnsi="Times New Roman" w:cs="Times New Roman"/>
        </w:rPr>
      </w:pPr>
      <w:r>
        <w:rPr>
          <w:rFonts w:ascii="Times New Roman" w:hAnsi="Times New Roman" w:cs="Times New Roman"/>
        </w:rPr>
        <w:t>nákup pozemkov a nehmotných aktív 1 545,7 mil. Sk,</w:t>
      </w:r>
    </w:p>
    <w:p w:rsidR="00672D42" w:rsidP="00850A45">
      <w:pPr>
        <w:numPr>
          <w:ilvl w:val="0"/>
          <w:numId w:val="90"/>
        </w:numPr>
        <w:tabs>
          <w:tab w:val="clear" w:pos="1260"/>
        </w:tabs>
        <w:spacing w:line="360" w:lineRule="auto"/>
        <w:ind w:left="720"/>
        <w:jc w:val="both"/>
        <w:rPr>
          <w:rFonts w:ascii="Times New Roman" w:hAnsi="Times New Roman" w:cs="Times New Roman"/>
        </w:rPr>
      </w:pPr>
      <w:r>
        <w:rPr>
          <w:rFonts w:ascii="Times New Roman" w:hAnsi="Times New Roman" w:cs="Times New Roman"/>
        </w:rPr>
        <w:t>nákup dopravných prostriedkov všetkých druhov 1 141,3 mil. Sk,</w:t>
      </w:r>
    </w:p>
    <w:p w:rsidR="00672D42" w:rsidP="00850A45">
      <w:pPr>
        <w:numPr>
          <w:ilvl w:val="0"/>
          <w:numId w:val="90"/>
        </w:numPr>
        <w:tabs>
          <w:tab w:val="clear" w:pos="1260"/>
        </w:tabs>
        <w:spacing w:line="360" w:lineRule="auto"/>
        <w:ind w:left="720"/>
        <w:jc w:val="both"/>
        <w:rPr>
          <w:rFonts w:ascii="Times New Roman" w:hAnsi="Times New Roman" w:cs="Times New Roman"/>
        </w:rPr>
      </w:pPr>
      <w:r>
        <w:rPr>
          <w:rFonts w:ascii="Times New Roman" w:hAnsi="Times New Roman" w:cs="Times New Roman"/>
        </w:rPr>
        <w:t>prípravná a projektová dokumentácia 232,2 mil. Sk,</w:t>
      </w:r>
    </w:p>
    <w:p w:rsidR="00672D42" w:rsidP="00850A45">
      <w:pPr>
        <w:numPr>
          <w:ilvl w:val="0"/>
          <w:numId w:val="90"/>
        </w:numPr>
        <w:tabs>
          <w:tab w:val="clear" w:pos="1260"/>
        </w:tabs>
        <w:spacing w:line="360" w:lineRule="auto"/>
        <w:ind w:left="720"/>
        <w:jc w:val="both"/>
        <w:rPr>
          <w:rFonts w:ascii="Times New Roman" w:hAnsi="Times New Roman" w:cs="Times New Roman"/>
        </w:rPr>
      </w:pPr>
      <w:r>
        <w:rPr>
          <w:rFonts w:ascii="Times New Roman" w:hAnsi="Times New Roman" w:cs="Times New Roman"/>
        </w:rPr>
        <w:t>nákup budov, objektov alebo ich častí 207,9 mil. Sk,</w:t>
      </w:r>
    </w:p>
    <w:p w:rsidR="00672D42" w:rsidP="00850A45">
      <w:pPr>
        <w:numPr>
          <w:ilvl w:val="0"/>
          <w:numId w:val="90"/>
        </w:numPr>
        <w:tabs>
          <w:tab w:val="clear" w:pos="1260"/>
        </w:tabs>
        <w:spacing w:line="360" w:lineRule="auto"/>
        <w:ind w:left="720"/>
        <w:jc w:val="both"/>
        <w:rPr>
          <w:rFonts w:ascii="Times New Roman" w:hAnsi="Times New Roman" w:cs="Times New Roman"/>
        </w:rPr>
      </w:pPr>
      <w:r>
        <w:rPr>
          <w:rFonts w:ascii="Times New Roman" w:hAnsi="Times New Roman" w:cs="Times New Roman"/>
        </w:rPr>
        <w:t>rekonštrukcia a modernizácia strojov a zariadení 112,5 mil. Sk,</w:t>
      </w:r>
    </w:p>
    <w:p w:rsidR="00672D42" w:rsidRPr="001644BD" w:rsidP="00850A45">
      <w:pPr>
        <w:numPr>
          <w:ilvl w:val="0"/>
          <w:numId w:val="90"/>
        </w:numPr>
        <w:tabs>
          <w:tab w:val="clear" w:pos="1260"/>
        </w:tabs>
        <w:spacing w:line="360" w:lineRule="auto"/>
        <w:ind w:left="720"/>
        <w:jc w:val="both"/>
        <w:rPr>
          <w:rFonts w:ascii="Times New Roman" w:hAnsi="Times New Roman" w:cs="Times New Roman"/>
        </w:rPr>
      </w:pPr>
      <w:r>
        <w:rPr>
          <w:rFonts w:ascii="Times New Roman" w:hAnsi="Times New Roman" w:cs="Times New Roman"/>
        </w:rPr>
        <w:t>ostatné kapitálové potreby 177,9 mil. Sk.</w:t>
      </w:r>
      <w:r w:rsidRPr="001644BD">
        <w:rPr>
          <w:rFonts w:ascii="Times New Roman" w:hAnsi="Times New Roman" w:cs="Times New Roman"/>
        </w:rPr>
        <w:t xml:space="preserve">         </w:t>
      </w:r>
    </w:p>
    <w:p w:rsidR="00850A45" w:rsidP="00672D42">
      <w:pPr>
        <w:spacing w:before="120" w:after="120" w:line="360" w:lineRule="auto"/>
        <w:ind w:firstLine="709"/>
        <w:jc w:val="both"/>
        <w:rPr>
          <w:rFonts w:ascii="Times New Roman" w:hAnsi="Times New Roman" w:cs="Times New Roman"/>
          <w:u w:val="single"/>
        </w:rPr>
      </w:pPr>
    </w:p>
    <w:p w:rsidR="00672D42" w:rsidP="00672D42">
      <w:pPr>
        <w:spacing w:before="120" w:after="120" w:line="360" w:lineRule="auto"/>
        <w:ind w:firstLine="709"/>
        <w:jc w:val="both"/>
        <w:rPr>
          <w:rFonts w:ascii="Times New Roman" w:hAnsi="Times New Roman" w:cs="Times New Roman"/>
          <w:u w:val="single"/>
        </w:rPr>
      </w:pPr>
      <w:r w:rsidRPr="000B2622">
        <w:rPr>
          <w:rFonts w:ascii="Times New Roman" w:hAnsi="Times New Roman" w:cs="Times New Roman"/>
          <w:u w:val="single"/>
        </w:rPr>
        <w:t>b) kapitálové transfery</w:t>
      </w:r>
    </w:p>
    <w:p w:rsidR="00672D42" w:rsidRPr="00627B90" w:rsidP="00672D42">
      <w:pPr>
        <w:spacing w:before="120" w:after="120" w:line="360" w:lineRule="auto"/>
        <w:ind w:firstLine="709"/>
        <w:jc w:val="both"/>
        <w:rPr>
          <w:rFonts w:ascii="Times New Roman" w:hAnsi="Times New Roman" w:cs="Times New Roman"/>
          <w:u w:val="single"/>
        </w:rPr>
      </w:pPr>
      <w:r>
        <w:rPr>
          <w:rFonts w:ascii="Times New Roman" w:hAnsi="Times New Roman" w:cs="Times New Roman"/>
        </w:rPr>
        <w:t xml:space="preserve">Reprezentujú ich platby vykonávané s cieľom umožniť príjemcovi nadobudnutie kapitálových aktív alebo kompenzovať ich poškodenie alebo zničenie. Rozpočtovali sa v objeme 34 610,9 mil. Sk. </w:t>
      </w:r>
    </w:p>
    <w:p w:rsidR="00672D42" w:rsidP="00672D42">
      <w:pPr>
        <w:spacing w:before="120" w:line="360" w:lineRule="auto"/>
        <w:ind w:firstLine="709"/>
        <w:jc w:val="both"/>
        <w:rPr>
          <w:rFonts w:ascii="Times New Roman" w:hAnsi="Times New Roman" w:cs="Times New Roman"/>
        </w:rPr>
      </w:pPr>
      <w:r>
        <w:rPr>
          <w:rFonts w:ascii="Times New Roman" w:hAnsi="Times New Roman" w:cs="Times New Roman"/>
        </w:rPr>
        <w:t>Rozpočtovými opatreniami sa ich úroveň upravila na 30 622,5 mil. Sk, pričom skutočne vynaložené rozpočtové prostriedky dosiahli 30 723,5 mil. Sk (100,3 % upraveného rozpočtu) a smerovali do týchto oblastí:</w:t>
      </w:r>
    </w:p>
    <w:p w:rsidR="00672D42" w:rsidP="00850A45">
      <w:pPr>
        <w:numPr>
          <w:ilvl w:val="0"/>
          <w:numId w:val="91"/>
        </w:numPr>
        <w:tabs>
          <w:tab w:val="clear" w:pos="1260"/>
        </w:tabs>
        <w:spacing w:before="120" w:line="360" w:lineRule="auto"/>
        <w:ind w:left="0" w:firstLine="360"/>
        <w:jc w:val="both"/>
        <w:rPr>
          <w:rFonts w:ascii="Times New Roman" w:hAnsi="Times New Roman" w:cs="Times New Roman"/>
        </w:rPr>
      </w:pPr>
      <w:r>
        <w:rPr>
          <w:rFonts w:ascii="Times New Roman" w:hAnsi="Times New Roman" w:cs="Times New Roman"/>
        </w:rPr>
        <w:t>transfery v rámci verejnej správy - dosiahli 10 643,1 mil. Sk a poskytli sa obciam (6 879,7 mil. Sk), príspevkovým organizáciám (1 967,2 mil. Sk), verejným vysokým školám (1 269,9 m</w:t>
      </w:r>
      <w:r>
        <w:rPr>
          <w:rFonts w:ascii="Times New Roman" w:hAnsi="Times New Roman" w:cs="Times New Roman"/>
        </w:rPr>
        <w:t>il. Sk), vyšším územným celk</w:t>
      </w:r>
      <w:r w:rsidR="000A5F31">
        <w:rPr>
          <w:rFonts w:ascii="Times New Roman" w:hAnsi="Times New Roman" w:cs="Times New Roman"/>
        </w:rPr>
        <w:t>om (371,1 mil. Sk) a rozpočtovým</w:t>
      </w:r>
      <w:r>
        <w:rPr>
          <w:rFonts w:ascii="Times New Roman" w:hAnsi="Times New Roman" w:cs="Times New Roman"/>
        </w:rPr>
        <w:t xml:space="preserve"> organi</w:t>
      </w:r>
      <w:r w:rsidR="000A5F31">
        <w:rPr>
          <w:rFonts w:ascii="Times New Roman" w:hAnsi="Times New Roman" w:cs="Times New Roman"/>
        </w:rPr>
        <w:t>záciám</w:t>
      </w:r>
      <w:r>
        <w:rPr>
          <w:rFonts w:ascii="Times New Roman" w:hAnsi="Times New Roman" w:cs="Times New Roman"/>
        </w:rPr>
        <w:t xml:space="preserve"> (155,2 mil. Sk),</w:t>
      </w:r>
    </w:p>
    <w:p w:rsidR="00850A45" w:rsidP="00850A45">
      <w:pPr>
        <w:numPr>
          <w:ilvl w:val="0"/>
          <w:numId w:val="91"/>
        </w:numPr>
        <w:tabs>
          <w:tab w:val="clear" w:pos="1260"/>
        </w:tabs>
        <w:spacing w:before="120" w:line="360" w:lineRule="auto"/>
        <w:ind w:left="0" w:firstLine="360"/>
        <w:jc w:val="both"/>
        <w:rPr>
          <w:rFonts w:ascii="Times New Roman" w:hAnsi="Times New Roman" w:cs="Times New Roman"/>
        </w:rPr>
      </w:pPr>
      <w:r w:rsidR="00672D42">
        <w:rPr>
          <w:rFonts w:ascii="Times New Roman" w:hAnsi="Times New Roman" w:cs="Times New Roman"/>
        </w:rPr>
        <w:t>transfery jednotlivcom a neziskovým právnickým osobám – realizovali sa v objeme 461,2 mil. Sk a financovali sa nimi potreby občianskych združení, nadácií a neinvestičných fondov (261,5 mil. Sk), iných neziskových organizácií (176,2 mil. Sk) a  cirkví (23,5 mil. Sk),</w:t>
      </w:r>
    </w:p>
    <w:p w:rsidR="00850A45" w:rsidP="00850A45">
      <w:pPr>
        <w:numPr>
          <w:ilvl w:val="0"/>
          <w:numId w:val="91"/>
        </w:numPr>
        <w:tabs>
          <w:tab w:val="clear" w:pos="1260"/>
        </w:tabs>
        <w:spacing w:before="120" w:line="360" w:lineRule="auto"/>
        <w:ind w:left="0" w:firstLine="360"/>
        <w:jc w:val="both"/>
        <w:rPr>
          <w:rFonts w:ascii="Times New Roman" w:hAnsi="Times New Roman" w:cs="Times New Roman"/>
        </w:rPr>
      </w:pPr>
      <w:r w:rsidR="00672D42">
        <w:rPr>
          <w:rFonts w:ascii="Times New Roman" w:hAnsi="Times New Roman" w:cs="Times New Roman"/>
        </w:rPr>
        <w:t>transfery nefinančným subjektom a príspevkovým organizáciám nezaradeným vo verejnej správe - dosiahli čerpanie v objeme 19 616,9 mil. Sk a poskytli sa právnickým osobám založeným štátom, obcou alebo vyšším územným celkom (12 043,3 mil. Sk), iným právnickým osobám  a fyzickým osobám – podnikateľom  a príspevkovým organizáciám nezaradeným do verejnej správy (7 573,6 mil. Sk),</w:t>
      </w:r>
    </w:p>
    <w:p w:rsidR="00672D42" w:rsidP="00850A45">
      <w:pPr>
        <w:numPr>
          <w:ilvl w:val="0"/>
          <w:numId w:val="91"/>
        </w:numPr>
        <w:tabs>
          <w:tab w:val="clear" w:pos="1260"/>
        </w:tabs>
        <w:spacing w:before="120" w:line="360" w:lineRule="auto"/>
        <w:ind w:left="0" w:firstLine="360"/>
        <w:jc w:val="both"/>
        <w:rPr>
          <w:rFonts w:ascii="Times New Roman" w:hAnsi="Times New Roman" w:cs="Times New Roman"/>
        </w:rPr>
      </w:pPr>
      <w:r>
        <w:rPr>
          <w:rFonts w:ascii="Times New Roman" w:hAnsi="Times New Roman" w:cs="Times New Roman"/>
        </w:rPr>
        <w:t>transfery do zahraničia - realizo</w:t>
      </w:r>
      <w:r>
        <w:rPr>
          <w:rFonts w:ascii="Times New Roman" w:hAnsi="Times New Roman" w:cs="Times New Roman"/>
        </w:rPr>
        <w:t xml:space="preserve">vali sa v objeme 2,3 mil. Sk. </w:t>
      </w:r>
    </w:p>
    <w:p w:rsidR="00672D42" w:rsidP="00672D42">
      <w:pPr>
        <w:jc w:val="both"/>
        <w:rPr>
          <w:rFonts w:ascii="Times New Roman" w:hAnsi="Times New Roman" w:cs="Times New Roman"/>
        </w:rPr>
      </w:pPr>
    </w:p>
    <w:p w:rsidR="00672D42" w:rsidP="00672D42">
      <w:pPr>
        <w:spacing w:before="240"/>
        <w:jc w:val="center"/>
        <w:rPr>
          <w:rFonts w:ascii="Times New Roman" w:hAnsi="Times New Roman" w:cs="Times New Roman"/>
          <w:b/>
        </w:rPr>
      </w:pPr>
      <w:r>
        <w:rPr>
          <w:rFonts w:ascii="Times New Roman" w:hAnsi="Times New Roman" w:cs="Times New Roman"/>
          <w:b/>
        </w:rPr>
        <w:t xml:space="preserve">2.2.2. </w:t>
      </w:r>
      <w:r w:rsidRPr="001D1AD2">
        <w:rPr>
          <w:rFonts w:ascii="Times New Roman" w:hAnsi="Times New Roman" w:cs="Times New Roman"/>
          <w:b/>
        </w:rPr>
        <w:t>Výdavky štátneho rozpočtu podľa funkčnej klasifikácie</w:t>
      </w:r>
    </w:p>
    <w:p w:rsidR="00672D42" w:rsidP="00672D42">
      <w:pPr>
        <w:jc w:val="both"/>
        <w:rPr>
          <w:rFonts w:ascii="Times New Roman" w:hAnsi="Times New Roman" w:cs="Times New Roman"/>
          <w:b/>
        </w:rPr>
      </w:pPr>
    </w:p>
    <w:p w:rsidR="00672D42" w:rsidP="00672D42">
      <w:pPr>
        <w:spacing w:line="360" w:lineRule="auto"/>
        <w:ind w:firstLine="708"/>
        <w:jc w:val="both"/>
        <w:rPr>
          <w:rFonts w:ascii="Times New Roman" w:hAnsi="Times New Roman" w:cs="Times New Roman"/>
        </w:rPr>
      </w:pPr>
      <w:r>
        <w:rPr>
          <w:rFonts w:ascii="Times New Roman" w:hAnsi="Times New Roman" w:cs="Times New Roman"/>
        </w:rPr>
        <w:t>Triedenie výdavkov podľa funkčnej klasifikácie umožňuje hodnotiť realizované výdavky podľa ich účelu v desiatich základných oddieloch (odvetviach),  ako aj porovnávať vynaložené výdavky v medzinárodnom kontexte.</w:t>
      </w:r>
      <w:r w:rsidRPr="00C344DB">
        <w:rPr>
          <w:rFonts w:ascii="Times New Roman" w:hAnsi="Times New Roman" w:cs="Times New Roman"/>
        </w:rPr>
        <w:t xml:space="preserve"> </w:t>
      </w:r>
      <w:r>
        <w:rPr>
          <w:rFonts w:ascii="Times New Roman" w:hAnsi="Times New Roman" w:cs="Times New Roman"/>
        </w:rPr>
        <w:t>Funkčnú klasifikáciu výdavkov verejnej správy určuje vyhláška Štat</w:t>
      </w:r>
      <w:r w:rsidR="00850A45">
        <w:rPr>
          <w:rFonts w:ascii="Times New Roman" w:hAnsi="Times New Roman" w:cs="Times New Roman"/>
        </w:rPr>
        <w:t>istického úradu SR č. 195/2003 Z</w:t>
      </w:r>
      <w:r>
        <w:rPr>
          <w:rFonts w:ascii="Times New Roman" w:hAnsi="Times New Roman" w:cs="Times New Roman"/>
        </w:rPr>
        <w:t>. z.</w:t>
      </w:r>
    </w:p>
    <w:p w:rsidR="00672D42" w:rsidP="00672D42">
      <w:pPr>
        <w:spacing w:before="120" w:after="240" w:line="360" w:lineRule="auto"/>
        <w:ind w:firstLine="709"/>
        <w:jc w:val="both"/>
        <w:rPr>
          <w:rFonts w:ascii="Times New Roman" w:hAnsi="Times New Roman" w:cs="Times New Roman"/>
        </w:rPr>
      </w:pPr>
      <w:r>
        <w:rPr>
          <w:rFonts w:ascii="Times New Roman" w:hAnsi="Times New Roman" w:cs="Times New Roman"/>
        </w:rPr>
        <w:t>Súhrnný prehľad o výdavkoch štátneho rozpočtu triedených podľa funkčnej klasifikácie poskytujú nasleduj</w:t>
      </w:r>
      <w:r>
        <w:rPr>
          <w:rFonts w:ascii="Times New Roman" w:hAnsi="Times New Roman" w:cs="Times New Roman"/>
        </w:rPr>
        <w:t>úce údaje (v mil. Sk):</w:t>
      </w:r>
    </w:p>
    <w:tbl>
      <w:tblPr>
        <w:tblW w:w="0" w:type="auto"/>
        <w:jc w:val="center"/>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Pr>
      <w:tblGrid>
        <w:gridCol w:w="3686"/>
        <w:gridCol w:w="1247"/>
        <w:gridCol w:w="1247"/>
        <w:gridCol w:w="1248"/>
        <w:gridCol w:w="1247"/>
      </w:tblGrid>
      <w:tr>
        <w:tblPrEx>
          <w:tblW w:w="0" w:type="auto"/>
          <w:jc w:val="center"/>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PrEx>
        <w:trPr>
          <w:trHeight w:hRule="auto" w:val="0"/>
          <w:jc w:val="center"/>
        </w:trPr>
        <w:tc>
          <w:tcPr>
            <w:tcW w:w="3686" w:type="dxa"/>
            <w:vMerge w:val="restart"/>
            <w:tcBorders>
              <w:top w:val="single" w:sz="8" w:space="0" w:color="auto"/>
              <w:left w:val="single" w:sz="8" w:space="0" w:color="auto"/>
              <w:bottom w:val="single" w:sz="4" w:space="0" w:color="auto"/>
              <w:right w:val="single" w:sz="4" w:space="0" w:color="auto"/>
              <w:tl2br w:val="nil"/>
              <w:tr2bl w:val="nil"/>
            </w:tcBorders>
            <w:textDirection w:val="lrTb"/>
            <w:vAlign w:val="center"/>
          </w:tcPr>
          <w:p w:rsidR="00672D42" w:rsidRPr="00850A45" w:rsidP="00850A45">
            <w:pPr>
              <w:spacing w:before="120"/>
              <w:jc w:val="center"/>
              <w:rPr>
                <w:rFonts w:ascii="Times New Roman" w:hAnsi="Times New Roman" w:cs="Times New Roman"/>
                <w:b/>
                <w:sz w:val="20"/>
                <w:szCs w:val="20"/>
              </w:rPr>
            </w:pPr>
            <w:r w:rsidRPr="00850A45">
              <w:rPr>
                <w:rFonts w:ascii="Times New Roman" w:hAnsi="Times New Roman" w:cs="Times New Roman"/>
                <w:b/>
                <w:sz w:val="20"/>
                <w:szCs w:val="20"/>
              </w:rPr>
              <w:t>Oddiel</w:t>
            </w:r>
          </w:p>
        </w:tc>
        <w:tc>
          <w:tcPr>
            <w:tcW w:w="1247" w:type="dxa"/>
            <w:vMerge w:val="restart"/>
            <w:tcBorders>
              <w:top w:val="single" w:sz="8" w:space="0" w:color="auto"/>
              <w:left w:val="single" w:sz="4" w:space="0" w:color="auto"/>
              <w:bottom w:val="single" w:sz="4" w:space="0" w:color="auto"/>
              <w:right w:val="single" w:sz="4" w:space="0" w:color="auto"/>
              <w:tl2br w:val="nil"/>
              <w:tr2bl w:val="nil"/>
            </w:tcBorders>
            <w:textDirection w:val="lrTb"/>
            <w:vAlign w:val="center"/>
          </w:tcPr>
          <w:p w:rsidR="00672D42" w:rsidRPr="00850A45" w:rsidP="00216FEE">
            <w:pPr>
              <w:jc w:val="center"/>
              <w:rPr>
                <w:rFonts w:ascii="Times New Roman" w:hAnsi="Times New Roman" w:cs="Times New Roman"/>
                <w:b/>
                <w:sz w:val="20"/>
                <w:szCs w:val="20"/>
              </w:rPr>
            </w:pPr>
            <w:r w:rsidR="000A5F31">
              <w:rPr>
                <w:rFonts w:ascii="Times New Roman" w:hAnsi="Times New Roman" w:cs="Times New Roman"/>
                <w:b/>
                <w:sz w:val="20"/>
                <w:szCs w:val="20"/>
              </w:rPr>
              <w:t>Skutočnosť</w:t>
            </w:r>
            <w:r w:rsidR="00850A45">
              <w:rPr>
                <w:rFonts w:ascii="Times New Roman" w:hAnsi="Times New Roman" w:cs="Times New Roman"/>
                <w:b/>
                <w:sz w:val="20"/>
                <w:szCs w:val="20"/>
              </w:rPr>
              <w:t xml:space="preserve"> </w:t>
            </w:r>
            <w:r w:rsidRPr="00850A45">
              <w:rPr>
                <w:rFonts w:ascii="Times New Roman" w:hAnsi="Times New Roman" w:cs="Times New Roman"/>
                <w:b/>
                <w:sz w:val="20"/>
                <w:szCs w:val="20"/>
              </w:rPr>
              <w:t>2005</w:t>
            </w:r>
          </w:p>
        </w:tc>
        <w:tc>
          <w:tcPr>
            <w:tcW w:w="2495" w:type="dxa"/>
            <w:gridSpan w:val="2"/>
            <w:tcBorders>
              <w:top w:val="single" w:sz="8"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line="360" w:lineRule="auto"/>
              <w:jc w:val="center"/>
              <w:rPr>
                <w:rFonts w:ascii="Times New Roman" w:hAnsi="Times New Roman" w:cs="Times New Roman"/>
                <w:b/>
                <w:sz w:val="20"/>
                <w:szCs w:val="20"/>
              </w:rPr>
            </w:pPr>
            <w:r w:rsidRPr="00850A45">
              <w:rPr>
                <w:rFonts w:ascii="Times New Roman" w:hAnsi="Times New Roman" w:cs="Times New Roman"/>
                <w:b/>
                <w:sz w:val="20"/>
                <w:szCs w:val="20"/>
              </w:rPr>
              <w:t>Rozpočet 2006</w:t>
            </w:r>
          </w:p>
        </w:tc>
        <w:tc>
          <w:tcPr>
            <w:tcW w:w="1247" w:type="dxa"/>
            <w:vMerge w:val="restart"/>
            <w:tcBorders>
              <w:top w:val="single" w:sz="8" w:space="0" w:color="auto"/>
              <w:left w:val="single" w:sz="4" w:space="0" w:color="auto"/>
              <w:bottom w:val="single" w:sz="4" w:space="0" w:color="auto"/>
              <w:right w:val="single" w:sz="8" w:space="0" w:color="auto"/>
              <w:tl2br w:val="nil"/>
              <w:tr2bl w:val="nil"/>
            </w:tcBorders>
            <w:textDirection w:val="lrTb"/>
            <w:vAlign w:val="center"/>
          </w:tcPr>
          <w:p w:rsidR="00672D42" w:rsidRPr="00850A45" w:rsidP="00216FEE">
            <w:pPr>
              <w:jc w:val="center"/>
              <w:rPr>
                <w:rFonts w:ascii="Times New Roman" w:hAnsi="Times New Roman" w:cs="Times New Roman"/>
                <w:b/>
                <w:sz w:val="20"/>
                <w:szCs w:val="20"/>
              </w:rPr>
            </w:pPr>
            <w:r w:rsidR="00216FEE">
              <w:rPr>
                <w:rFonts w:ascii="Times New Roman" w:hAnsi="Times New Roman" w:cs="Times New Roman"/>
                <w:b/>
                <w:sz w:val="20"/>
                <w:szCs w:val="20"/>
              </w:rPr>
              <w:t>Skutočnosť</w:t>
            </w:r>
            <w:r w:rsidRPr="00850A45">
              <w:rPr>
                <w:rFonts w:ascii="Times New Roman" w:hAnsi="Times New Roman" w:cs="Times New Roman"/>
                <w:b/>
                <w:sz w:val="20"/>
                <w:szCs w:val="20"/>
              </w:rPr>
              <w:t>2006</w:t>
            </w:r>
          </w:p>
        </w:tc>
      </w:tr>
      <w:tr>
        <w:tblPrEx>
          <w:tblW w:w="0" w:type="auto"/>
          <w:jc w:val="center"/>
          <w:tblLayout w:type="fixed"/>
        </w:tblPrEx>
        <w:trPr>
          <w:trHeight w:val="192"/>
          <w:jc w:val="center"/>
        </w:trPr>
        <w:tc>
          <w:tcPr>
            <w:tcW w:w="3686" w:type="dxa"/>
            <w:vMerge/>
            <w:tcBorders>
              <w:top w:val="single" w:sz="4" w:space="0" w:color="auto"/>
              <w:left w:val="single" w:sz="8" w:space="0" w:color="auto"/>
              <w:bottom w:val="single" w:sz="4" w:space="0" w:color="auto"/>
              <w:right w:val="single" w:sz="4" w:space="0" w:color="auto"/>
              <w:tl2br w:val="nil"/>
              <w:tr2bl w:val="nil"/>
            </w:tcBorders>
            <w:textDirection w:val="lrTb"/>
            <w:vAlign w:val="top"/>
          </w:tcPr>
          <w:p w:rsidR="00672D42" w:rsidRPr="00850A45" w:rsidP="00672D42">
            <w:pPr>
              <w:spacing w:line="360" w:lineRule="auto"/>
              <w:jc w:val="both"/>
              <w:rPr>
                <w:rFonts w:ascii="Times New Roman" w:hAnsi="Times New Roman" w:cs="Times New Roman"/>
                <w:sz w:val="20"/>
                <w:szCs w:val="20"/>
              </w:rPr>
            </w:pPr>
          </w:p>
        </w:tc>
        <w:tc>
          <w:tcPr>
            <w:tcW w:w="1247"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line="360" w:lineRule="auto"/>
              <w:jc w:val="both"/>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672D42" w:rsidRPr="00850A45" w:rsidP="000F3A0B">
            <w:pPr>
              <w:spacing w:line="360" w:lineRule="auto"/>
              <w:jc w:val="center"/>
              <w:rPr>
                <w:rFonts w:ascii="Times New Roman" w:hAnsi="Times New Roman" w:cs="Times New Roman"/>
                <w:b/>
                <w:sz w:val="20"/>
                <w:szCs w:val="20"/>
              </w:rPr>
            </w:pPr>
            <w:r w:rsidR="00216FEE">
              <w:rPr>
                <w:rFonts w:ascii="Times New Roman" w:hAnsi="Times New Roman" w:cs="Times New Roman"/>
                <w:b/>
                <w:sz w:val="20"/>
                <w:szCs w:val="20"/>
              </w:rPr>
              <w:t>S</w:t>
            </w:r>
            <w:r w:rsidRPr="00850A45">
              <w:rPr>
                <w:rFonts w:ascii="Times New Roman" w:hAnsi="Times New Roman" w:cs="Times New Roman"/>
                <w:b/>
                <w:sz w:val="20"/>
                <w:szCs w:val="20"/>
              </w:rPr>
              <w:t>chválený</w:t>
            </w:r>
          </w:p>
        </w:tc>
        <w:tc>
          <w:tcPr>
            <w:tcW w:w="1248"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672D42" w:rsidRPr="00850A45" w:rsidP="000F3A0B">
            <w:pPr>
              <w:spacing w:line="360" w:lineRule="auto"/>
              <w:jc w:val="center"/>
              <w:rPr>
                <w:rFonts w:ascii="Times New Roman" w:hAnsi="Times New Roman" w:cs="Times New Roman"/>
                <w:b/>
                <w:sz w:val="20"/>
                <w:szCs w:val="20"/>
              </w:rPr>
            </w:pPr>
            <w:r w:rsidR="00216FEE">
              <w:rPr>
                <w:rFonts w:ascii="Times New Roman" w:hAnsi="Times New Roman" w:cs="Times New Roman"/>
                <w:b/>
                <w:sz w:val="20"/>
                <w:szCs w:val="20"/>
              </w:rPr>
              <w:t>U</w:t>
            </w:r>
            <w:r w:rsidRPr="00850A45">
              <w:rPr>
                <w:rFonts w:ascii="Times New Roman" w:hAnsi="Times New Roman" w:cs="Times New Roman"/>
                <w:b/>
                <w:sz w:val="20"/>
                <w:szCs w:val="20"/>
              </w:rPr>
              <w:t>pravený</w:t>
            </w:r>
          </w:p>
        </w:tc>
        <w:tc>
          <w:tcPr>
            <w:tcW w:w="1247" w:type="dxa"/>
            <w:vMerge/>
            <w:tcBorders>
              <w:top w:val="single" w:sz="4" w:space="0" w:color="auto"/>
              <w:left w:val="single" w:sz="4" w:space="0" w:color="auto"/>
              <w:bottom w:val="single" w:sz="4" w:space="0" w:color="auto"/>
              <w:right w:val="single" w:sz="8" w:space="0" w:color="auto"/>
              <w:tl2br w:val="nil"/>
              <w:tr2bl w:val="nil"/>
            </w:tcBorders>
            <w:textDirection w:val="lrTb"/>
            <w:vAlign w:val="top"/>
          </w:tcPr>
          <w:p w:rsidR="00672D42" w:rsidRPr="00850A45" w:rsidP="00672D42">
            <w:pPr>
              <w:spacing w:line="360" w:lineRule="auto"/>
              <w:jc w:val="both"/>
              <w:rPr>
                <w:rFonts w:ascii="Times New Roman" w:hAnsi="Times New Roman" w:cs="Times New Roman"/>
                <w:sz w:val="20"/>
                <w:szCs w:val="20"/>
              </w:rPr>
            </w:pPr>
          </w:p>
        </w:tc>
      </w:tr>
      <w:tr>
        <w:tblPrEx>
          <w:tblW w:w="0" w:type="auto"/>
          <w:jc w:val="center"/>
          <w:tblLayout w:type="fixed"/>
        </w:tblPrEx>
        <w:trPr>
          <w:trHeight w:hRule="exact" w:val="397"/>
          <w:jc w:val="center"/>
        </w:trPr>
        <w:tc>
          <w:tcPr>
            <w:tcW w:w="3686"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both"/>
              <w:rPr>
                <w:rFonts w:ascii="Times New Roman" w:hAnsi="Times New Roman" w:cs="Times New Roman"/>
                <w:sz w:val="20"/>
                <w:szCs w:val="20"/>
              </w:rPr>
            </w:pPr>
            <w:r w:rsidRPr="00850A45">
              <w:rPr>
                <w:rFonts w:ascii="Times New Roman" w:hAnsi="Times New Roman" w:cs="Times New Roman"/>
                <w:sz w:val="20"/>
                <w:szCs w:val="20"/>
              </w:rPr>
              <w:t>01 – Všeobecné verejné služby</w:t>
            </w:r>
          </w:p>
          <w:p w:rsidR="00672D42" w:rsidRPr="00850A45" w:rsidP="00672D42">
            <w:pPr>
              <w:spacing w:before="120" w:line="360" w:lineRule="auto"/>
              <w:jc w:val="both"/>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58 082,9</w:t>
            </w:r>
          </w:p>
        </w:tc>
        <w:tc>
          <w:tcPr>
            <w:tcW w:w="12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62 106,5</w:t>
            </w:r>
          </w:p>
        </w:tc>
        <w:tc>
          <w:tcPr>
            <w:tcW w:w="124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63 960,0</w:t>
            </w:r>
          </w:p>
        </w:tc>
        <w:tc>
          <w:tcPr>
            <w:tcW w:w="124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63 449,2</w:t>
            </w:r>
          </w:p>
        </w:tc>
      </w:tr>
      <w:tr>
        <w:tblPrEx>
          <w:tblW w:w="0" w:type="auto"/>
          <w:jc w:val="center"/>
          <w:tblLayout w:type="fixed"/>
        </w:tblPrEx>
        <w:trPr>
          <w:trHeight w:hRule="exact" w:val="397"/>
          <w:jc w:val="center"/>
        </w:trPr>
        <w:tc>
          <w:tcPr>
            <w:tcW w:w="3686"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both"/>
              <w:rPr>
                <w:rFonts w:ascii="Times New Roman" w:hAnsi="Times New Roman" w:cs="Times New Roman"/>
                <w:sz w:val="20"/>
                <w:szCs w:val="20"/>
              </w:rPr>
            </w:pPr>
            <w:r w:rsidRPr="00850A45">
              <w:rPr>
                <w:rFonts w:ascii="Times New Roman" w:hAnsi="Times New Roman" w:cs="Times New Roman"/>
                <w:sz w:val="20"/>
                <w:szCs w:val="20"/>
              </w:rPr>
              <w:t xml:space="preserve">02 </w:t>
            </w:r>
            <w:r w:rsidR="00437FA0">
              <w:rPr>
                <w:rFonts w:ascii="Times New Roman" w:hAnsi="Times New Roman" w:cs="Times New Roman"/>
                <w:sz w:val="20"/>
                <w:szCs w:val="20"/>
              </w:rPr>
              <w:t>–</w:t>
            </w:r>
            <w:r w:rsidRPr="00850A45">
              <w:rPr>
                <w:rFonts w:ascii="Times New Roman" w:hAnsi="Times New Roman" w:cs="Times New Roman"/>
                <w:sz w:val="20"/>
                <w:szCs w:val="20"/>
              </w:rPr>
              <w:t xml:space="preserve"> Obrana</w:t>
            </w:r>
          </w:p>
        </w:tc>
        <w:tc>
          <w:tcPr>
            <w:tcW w:w="12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23 082,8</w:t>
            </w:r>
          </w:p>
        </w:tc>
        <w:tc>
          <w:tcPr>
            <w:tcW w:w="12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26 099,9</w:t>
            </w:r>
          </w:p>
        </w:tc>
        <w:tc>
          <w:tcPr>
            <w:tcW w:w="124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25 264,7</w:t>
            </w:r>
          </w:p>
        </w:tc>
        <w:tc>
          <w:tcPr>
            <w:tcW w:w="124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25 243,9</w:t>
            </w:r>
          </w:p>
        </w:tc>
      </w:tr>
      <w:tr>
        <w:tblPrEx>
          <w:tblW w:w="0" w:type="auto"/>
          <w:jc w:val="center"/>
          <w:tblLayout w:type="fixed"/>
        </w:tblPrEx>
        <w:trPr>
          <w:trHeight w:hRule="exact" w:val="397"/>
          <w:jc w:val="center"/>
        </w:trPr>
        <w:tc>
          <w:tcPr>
            <w:tcW w:w="3686"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both"/>
              <w:rPr>
                <w:rFonts w:ascii="Times New Roman" w:hAnsi="Times New Roman" w:cs="Times New Roman"/>
                <w:sz w:val="20"/>
                <w:szCs w:val="20"/>
              </w:rPr>
            </w:pPr>
            <w:r w:rsidRPr="00850A45">
              <w:rPr>
                <w:rFonts w:ascii="Times New Roman" w:hAnsi="Times New Roman" w:cs="Times New Roman"/>
                <w:sz w:val="20"/>
                <w:szCs w:val="20"/>
              </w:rPr>
              <w:t>03 – Verejný poriadok a</w:t>
            </w:r>
            <w:r w:rsidR="00437FA0">
              <w:rPr>
                <w:rFonts w:ascii="Times New Roman" w:hAnsi="Times New Roman" w:cs="Times New Roman"/>
                <w:sz w:val="20"/>
                <w:szCs w:val="20"/>
              </w:rPr>
              <w:t> </w:t>
            </w:r>
            <w:r w:rsidRPr="00850A45">
              <w:rPr>
                <w:rFonts w:ascii="Times New Roman" w:hAnsi="Times New Roman" w:cs="Times New Roman"/>
                <w:sz w:val="20"/>
                <w:szCs w:val="20"/>
              </w:rPr>
              <w:t>bezpečnosť</w:t>
            </w:r>
          </w:p>
        </w:tc>
        <w:tc>
          <w:tcPr>
            <w:tcW w:w="12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28 49</w:t>
            </w:r>
            <w:r w:rsidRPr="00850A45">
              <w:rPr>
                <w:rFonts w:ascii="Times New Roman" w:hAnsi="Times New Roman" w:cs="Times New Roman"/>
                <w:sz w:val="20"/>
                <w:szCs w:val="20"/>
              </w:rPr>
              <w:t>4,4</w:t>
            </w:r>
          </w:p>
        </w:tc>
        <w:tc>
          <w:tcPr>
            <w:tcW w:w="12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30 301,5</w:t>
            </w:r>
          </w:p>
        </w:tc>
        <w:tc>
          <w:tcPr>
            <w:tcW w:w="124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30 311,5</w:t>
            </w:r>
          </w:p>
        </w:tc>
        <w:tc>
          <w:tcPr>
            <w:tcW w:w="124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30 760,8</w:t>
            </w:r>
          </w:p>
        </w:tc>
      </w:tr>
      <w:tr>
        <w:tblPrEx>
          <w:tblW w:w="0" w:type="auto"/>
          <w:jc w:val="center"/>
          <w:tblLayout w:type="fixed"/>
        </w:tblPrEx>
        <w:trPr>
          <w:trHeight w:hRule="exact" w:val="397"/>
          <w:jc w:val="center"/>
        </w:trPr>
        <w:tc>
          <w:tcPr>
            <w:tcW w:w="3686"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both"/>
              <w:rPr>
                <w:rFonts w:ascii="Times New Roman" w:hAnsi="Times New Roman" w:cs="Times New Roman"/>
                <w:sz w:val="20"/>
                <w:szCs w:val="20"/>
              </w:rPr>
            </w:pPr>
            <w:r w:rsidRPr="00850A45">
              <w:rPr>
                <w:rFonts w:ascii="Times New Roman" w:hAnsi="Times New Roman" w:cs="Times New Roman"/>
                <w:sz w:val="20"/>
                <w:szCs w:val="20"/>
              </w:rPr>
              <w:t>04 - Ekonomická oblasť</w:t>
            </w:r>
          </w:p>
        </w:tc>
        <w:tc>
          <w:tcPr>
            <w:tcW w:w="12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57 102,5</w:t>
            </w:r>
          </w:p>
        </w:tc>
        <w:tc>
          <w:tcPr>
            <w:tcW w:w="12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72 664,0</w:t>
            </w:r>
          </w:p>
        </w:tc>
        <w:tc>
          <w:tcPr>
            <w:tcW w:w="124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67 565,1</w:t>
            </w:r>
          </w:p>
        </w:tc>
        <w:tc>
          <w:tcPr>
            <w:tcW w:w="124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67 656,3</w:t>
            </w:r>
          </w:p>
        </w:tc>
      </w:tr>
      <w:tr>
        <w:tblPrEx>
          <w:tblW w:w="0" w:type="auto"/>
          <w:jc w:val="center"/>
          <w:tblLayout w:type="fixed"/>
        </w:tblPrEx>
        <w:trPr>
          <w:trHeight w:hRule="exact" w:val="397"/>
          <w:jc w:val="center"/>
        </w:trPr>
        <w:tc>
          <w:tcPr>
            <w:tcW w:w="3686"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both"/>
              <w:rPr>
                <w:rFonts w:ascii="Times New Roman" w:hAnsi="Times New Roman" w:cs="Times New Roman"/>
                <w:sz w:val="20"/>
                <w:szCs w:val="20"/>
              </w:rPr>
            </w:pPr>
            <w:r w:rsidRPr="00850A45">
              <w:rPr>
                <w:rFonts w:ascii="Times New Roman" w:hAnsi="Times New Roman" w:cs="Times New Roman"/>
                <w:sz w:val="20"/>
                <w:szCs w:val="20"/>
              </w:rPr>
              <w:t>05 – Ochrana životného prostredia</w:t>
            </w:r>
          </w:p>
        </w:tc>
        <w:tc>
          <w:tcPr>
            <w:tcW w:w="12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2 580,0</w:t>
            </w:r>
          </w:p>
        </w:tc>
        <w:tc>
          <w:tcPr>
            <w:tcW w:w="12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6 939,5</w:t>
            </w:r>
          </w:p>
        </w:tc>
        <w:tc>
          <w:tcPr>
            <w:tcW w:w="124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4 636,6</w:t>
            </w:r>
          </w:p>
        </w:tc>
        <w:tc>
          <w:tcPr>
            <w:tcW w:w="124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4 648,0</w:t>
            </w:r>
          </w:p>
        </w:tc>
      </w:tr>
      <w:tr>
        <w:tblPrEx>
          <w:tblW w:w="0" w:type="auto"/>
          <w:jc w:val="center"/>
          <w:tblLayout w:type="fixed"/>
        </w:tblPrEx>
        <w:trPr>
          <w:trHeight w:hRule="exact" w:val="397"/>
          <w:jc w:val="center"/>
        </w:trPr>
        <w:tc>
          <w:tcPr>
            <w:tcW w:w="3686"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both"/>
              <w:rPr>
                <w:rFonts w:ascii="Times New Roman" w:hAnsi="Times New Roman" w:cs="Times New Roman"/>
                <w:sz w:val="20"/>
                <w:szCs w:val="20"/>
              </w:rPr>
            </w:pPr>
            <w:r w:rsidRPr="00850A45">
              <w:rPr>
                <w:rFonts w:ascii="Times New Roman" w:hAnsi="Times New Roman" w:cs="Times New Roman"/>
                <w:sz w:val="20"/>
                <w:szCs w:val="20"/>
              </w:rPr>
              <w:t>06 – Bývanie a občianska vybavenosť</w:t>
            </w:r>
          </w:p>
        </w:tc>
        <w:tc>
          <w:tcPr>
            <w:tcW w:w="12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7 706,4</w:t>
            </w:r>
          </w:p>
        </w:tc>
        <w:tc>
          <w:tcPr>
            <w:tcW w:w="12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7 104,0</w:t>
            </w:r>
          </w:p>
        </w:tc>
        <w:tc>
          <w:tcPr>
            <w:tcW w:w="124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6 260,8</w:t>
            </w:r>
          </w:p>
        </w:tc>
        <w:tc>
          <w:tcPr>
            <w:tcW w:w="124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6 220,2</w:t>
            </w:r>
          </w:p>
        </w:tc>
      </w:tr>
      <w:tr>
        <w:tblPrEx>
          <w:tblW w:w="0" w:type="auto"/>
          <w:jc w:val="center"/>
          <w:tblLayout w:type="fixed"/>
        </w:tblPrEx>
        <w:trPr>
          <w:trHeight w:hRule="exact" w:val="397"/>
          <w:jc w:val="center"/>
        </w:trPr>
        <w:tc>
          <w:tcPr>
            <w:tcW w:w="3686"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both"/>
              <w:rPr>
                <w:rFonts w:ascii="Times New Roman" w:hAnsi="Times New Roman" w:cs="Times New Roman"/>
                <w:sz w:val="20"/>
                <w:szCs w:val="20"/>
              </w:rPr>
            </w:pPr>
            <w:r w:rsidRPr="00850A45">
              <w:rPr>
                <w:rFonts w:ascii="Times New Roman" w:hAnsi="Times New Roman" w:cs="Times New Roman"/>
                <w:sz w:val="20"/>
                <w:szCs w:val="20"/>
              </w:rPr>
              <w:t>07 – Zdravotníctvo</w:t>
            </w:r>
          </w:p>
        </w:tc>
        <w:tc>
          <w:tcPr>
            <w:tcW w:w="12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25 782,9</w:t>
            </w:r>
          </w:p>
        </w:tc>
        <w:tc>
          <w:tcPr>
            <w:tcW w:w="12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26 931,8</w:t>
            </w:r>
          </w:p>
        </w:tc>
        <w:tc>
          <w:tcPr>
            <w:tcW w:w="124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27 594,6</w:t>
            </w:r>
          </w:p>
        </w:tc>
        <w:tc>
          <w:tcPr>
            <w:tcW w:w="124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27 659,8</w:t>
            </w:r>
          </w:p>
        </w:tc>
      </w:tr>
      <w:tr>
        <w:tblPrEx>
          <w:tblW w:w="0" w:type="auto"/>
          <w:jc w:val="center"/>
          <w:tblLayout w:type="fixed"/>
        </w:tblPrEx>
        <w:trPr>
          <w:trHeight w:hRule="exact" w:val="397"/>
          <w:jc w:val="center"/>
        </w:trPr>
        <w:tc>
          <w:tcPr>
            <w:tcW w:w="3686"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both"/>
              <w:rPr>
                <w:rFonts w:ascii="Times New Roman" w:hAnsi="Times New Roman" w:cs="Times New Roman"/>
                <w:sz w:val="20"/>
                <w:szCs w:val="20"/>
              </w:rPr>
            </w:pPr>
            <w:r w:rsidRPr="00850A45">
              <w:rPr>
                <w:rFonts w:ascii="Times New Roman" w:hAnsi="Times New Roman" w:cs="Times New Roman"/>
                <w:sz w:val="20"/>
                <w:szCs w:val="20"/>
              </w:rPr>
              <w:t>08 – Rekreácia, kultúra a</w:t>
            </w:r>
            <w:r w:rsidR="00437FA0">
              <w:rPr>
                <w:rFonts w:ascii="Times New Roman" w:hAnsi="Times New Roman" w:cs="Times New Roman"/>
                <w:sz w:val="20"/>
                <w:szCs w:val="20"/>
              </w:rPr>
              <w:t> </w:t>
            </w:r>
            <w:r w:rsidRPr="00850A45">
              <w:rPr>
                <w:rFonts w:ascii="Times New Roman" w:hAnsi="Times New Roman" w:cs="Times New Roman"/>
                <w:sz w:val="20"/>
                <w:szCs w:val="20"/>
              </w:rPr>
              <w:t>náboženstvo</w:t>
            </w:r>
          </w:p>
        </w:tc>
        <w:tc>
          <w:tcPr>
            <w:tcW w:w="12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6 083,6</w:t>
            </w:r>
          </w:p>
        </w:tc>
        <w:tc>
          <w:tcPr>
            <w:tcW w:w="12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6 723,1</w:t>
            </w:r>
          </w:p>
        </w:tc>
        <w:tc>
          <w:tcPr>
            <w:tcW w:w="124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7 042,6</w:t>
            </w:r>
          </w:p>
        </w:tc>
        <w:tc>
          <w:tcPr>
            <w:tcW w:w="124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7 043,3</w:t>
            </w:r>
          </w:p>
        </w:tc>
      </w:tr>
      <w:tr>
        <w:tblPrEx>
          <w:tblW w:w="0" w:type="auto"/>
          <w:jc w:val="center"/>
          <w:tblLayout w:type="fixed"/>
        </w:tblPrEx>
        <w:trPr>
          <w:trHeight w:hRule="exact" w:val="397"/>
          <w:jc w:val="center"/>
        </w:trPr>
        <w:tc>
          <w:tcPr>
            <w:tcW w:w="3686"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both"/>
              <w:rPr>
                <w:rFonts w:ascii="Times New Roman" w:hAnsi="Times New Roman" w:cs="Times New Roman"/>
                <w:sz w:val="20"/>
                <w:szCs w:val="20"/>
              </w:rPr>
            </w:pPr>
            <w:r w:rsidRPr="00850A45">
              <w:rPr>
                <w:rFonts w:ascii="Times New Roman" w:hAnsi="Times New Roman" w:cs="Times New Roman"/>
                <w:sz w:val="20"/>
                <w:szCs w:val="20"/>
              </w:rPr>
              <w:t xml:space="preserve">09 </w:t>
            </w:r>
            <w:r w:rsidR="00437FA0">
              <w:rPr>
                <w:rFonts w:ascii="Times New Roman" w:hAnsi="Times New Roman" w:cs="Times New Roman"/>
                <w:sz w:val="20"/>
                <w:szCs w:val="20"/>
              </w:rPr>
              <w:t>–</w:t>
            </w:r>
            <w:r w:rsidRPr="00850A45">
              <w:rPr>
                <w:rFonts w:ascii="Times New Roman" w:hAnsi="Times New Roman" w:cs="Times New Roman"/>
                <w:sz w:val="20"/>
                <w:szCs w:val="20"/>
              </w:rPr>
              <w:t xml:space="preserve"> Vzdelávanie</w:t>
            </w:r>
          </w:p>
        </w:tc>
        <w:tc>
          <w:tcPr>
            <w:tcW w:w="12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41 287,2</w:t>
            </w:r>
          </w:p>
        </w:tc>
        <w:tc>
          <w:tcPr>
            <w:tcW w:w="12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44 732,7</w:t>
            </w:r>
          </w:p>
        </w:tc>
        <w:tc>
          <w:tcPr>
            <w:tcW w:w="124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44 967,2</w:t>
            </w:r>
          </w:p>
        </w:tc>
        <w:tc>
          <w:tcPr>
            <w:tcW w:w="124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45 005,0</w:t>
            </w:r>
          </w:p>
        </w:tc>
      </w:tr>
      <w:tr>
        <w:tblPrEx>
          <w:tblW w:w="0" w:type="auto"/>
          <w:jc w:val="center"/>
          <w:tblLayout w:type="fixed"/>
        </w:tblPrEx>
        <w:trPr>
          <w:trHeight w:hRule="exact" w:val="397"/>
          <w:jc w:val="center"/>
        </w:trPr>
        <w:tc>
          <w:tcPr>
            <w:tcW w:w="3686"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both"/>
              <w:rPr>
                <w:rFonts w:ascii="Times New Roman" w:hAnsi="Times New Roman" w:cs="Times New Roman"/>
                <w:sz w:val="20"/>
                <w:szCs w:val="20"/>
              </w:rPr>
            </w:pPr>
            <w:r w:rsidRPr="00850A45">
              <w:rPr>
                <w:rFonts w:ascii="Times New Roman" w:hAnsi="Times New Roman" w:cs="Times New Roman"/>
                <w:sz w:val="20"/>
                <w:szCs w:val="20"/>
              </w:rPr>
              <w:t>10 – Sociálne zabezpečenie</w:t>
            </w:r>
          </w:p>
        </w:tc>
        <w:tc>
          <w:tcPr>
            <w:tcW w:w="12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42 377,6</w:t>
            </w:r>
          </w:p>
        </w:tc>
        <w:tc>
          <w:tcPr>
            <w:tcW w:w="12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46 582,1</w:t>
            </w:r>
          </w:p>
        </w:tc>
        <w:tc>
          <w:tcPr>
            <w:tcW w:w="124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46 346,6</w:t>
            </w:r>
          </w:p>
        </w:tc>
        <w:tc>
          <w:tcPr>
            <w:tcW w:w="1247"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sz w:val="20"/>
                <w:szCs w:val="20"/>
              </w:rPr>
            </w:pPr>
            <w:r w:rsidRPr="00850A45">
              <w:rPr>
                <w:rFonts w:ascii="Times New Roman" w:hAnsi="Times New Roman" w:cs="Times New Roman"/>
                <w:sz w:val="20"/>
                <w:szCs w:val="20"/>
              </w:rPr>
              <w:t>45 968,4</w:t>
            </w:r>
          </w:p>
        </w:tc>
      </w:tr>
      <w:tr>
        <w:tblPrEx>
          <w:tblW w:w="0" w:type="auto"/>
          <w:jc w:val="center"/>
          <w:tblLayout w:type="fixed"/>
        </w:tblPrEx>
        <w:trPr>
          <w:trHeight w:hRule="exact" w:val="369"/>
          <w:jc w:val="center"/>
        </w:trPr>
        <w:tc>
          <w:tcPr>
            <w:tcW w:w="3686" w:type="dxa"/>
            <w:tcBorders>
              <w:top w:val="single" w:sz="4" w:space="0" w:color="auto"/>
              <w:left w:val="single" w:sz="8" w:space="0" w:color="auto"/>
              <w:bottom w:val="double" w:sz="6" w:space="0" w:color="auto"/>
              <w:right w:val="single" w:sz="4" w:space="0" w:color="auto"/>
              <w:tl2br w:val="nil"/>
              <w:tr2bl w:val="nil"/>
            </w:tcBorders>
            <w:textDirection w:val="lrTb"/>
            <w:vAlign w:val="center"/>
          </w:tcPr>
          <w:p w:rsidR="00672D42" w:rsidRPr="00850A45" w:rsidP="00672D42">
            <w:pPr>
              <w:spacing w:before="120" w:line="360" w:lineRule="auto"/>
              <w:jc w:val="both"/>
              <w:rPr>
                <w:rFonts w:ascii="Times New Roman" w:hAnsi="Times New Roman" w:cs="Times New Roman"/>
                <w:b/>
                <w:bCs/>
                <w:sz w:val="20"/>
                <w:szCs w:val="20"/>
              </w:rPr>
            </w:pPr>
            <w:r w:rsidRPr="00850A45">
              <w:rPr>
                <w:rFonts w:ascii="Times New Roman" w:hAnsi="Times New Roman" w:cs="Times New Roman"/>
                <w:b/>
                <w:bCs/>
                <w:sz w:val="20"/>
                <w:szCs w:val="20"/>
              </w:rPr>
              <w:t>S p o l u</w:t>
            </w:r>
          </w:p>
        </w:tc>
        <w:tc>
          <w:tcPr>
            <w:tcW w:w="1247"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b/>
                <w:bCs/>
                <w:sz w:val="20"/>
                <w:szCs w:val="20"/>
              </w:rPr>
            </w:pPr>
            <w:r w:rsidRPr="00850A45">
              <w:rPr>
                <w:rFonts w:ascii="Times New Roman" w:hAnsi="Times New Roman" w:cs="Times New Roman"/>
                <w:b/>
                <w:bCs/>
                <w:sz w:val="20"/>
                <w:szCs w:val="20"/>
              </w:rPr>
              <w:t>292 580,3</w:t>
            </w:r>
          </w:p>
        </w:tc>
        <w:tc>
          <w:tcPr>
            <w:tcW w:w="1247"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b/>
                <w:bCs/>
                <w:sz w:val="20"/>
                <w:szCs w:val="20"/>
              </w:rPr>
            </w:pPr>
            <w:r w:rsidRPr="00850A45">
              <w:rPr>
                <w:rFonts w:ascii="Times New Roman" w:hAnsi="Times New Roman" w:cs="Times New Roman"/>
                <w:b/>
                <w:bCs/>
                <w:sz w:val="20"/>
                <w:szCs w:val="20"/>
              </w:rPr>
              <w:t>330 185,1</w:t>
            </w:r>
          </w:p>
        </w:tc>
        <w:tc>
          <w:tcPr>
            <w:tcW w:w="1248"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b/>
                <w:bCs/>
                <w:sz w:val="20"/>
                <w:szCs w:val="20"/>
              </w:rPr>
            </w:pPr>
            <w:r w:rsidRPr="00850A45">
              <w:rPr>
                <w:rFonts w:ascii="Times New Roman" w:hAnsi="Times New Roman" w:cs="Times New Roman"/>
                <w:b/>
                <w:bCs/>
                <w:sz w:val="20"/>
                <w:szCs w:val="20"/>
              </w:rPr>
              <w:t>323 949,7</w:t>
            </w:r>
          </w:p>
        </w:tc>
        <w:tc>
          <w:tcPr>
            <w:tcW w:w="1247" w:type="dxa"/>
            <w:tcBorders>
              <w:top w:val="single" w:sz="4" w:space="0" w:color="auto"/>
              <w:left w:val="single" w:sz="4" w:space="0" w:color="auto"/>
              <w:bottom w:val="double" w:sz="6" w:space="0" w:color="auto"/>
              <w:right w:val="single" w:sz="8" w:space="0" w:color="auto"/>
              <w:tl2br w:val="nil"/>
              <w:tr2bl w:val="nil"/>
            </w:tcBorders>
            <w:textDirection w:val="lrTb"/>
            <w:vAlign w:val="center"/>
          </w:tcPr>
          <w:p w:rsidR="00672D42" w:rsidRPr="00850A45" w:rsidP="00672D42">
            <w:pPr>
              <w:spacing w:before="120" w:line="360" w:lineRule="auto"/>
              <w:jc w:val="right"/>
              <w:rPr>
                <w:rFonts w:ascii="Times New Roman" w:hAnsi="Times New Roman" w:cs="Times New Roman"/>
                <w:b/>
                <w:bCs/>
                <w:sz w:val="20"/>
                <w:szCs w:val="20"/>
              </w:rPr>
            </w:pPr>
            <w:r w:rsidRPr="00850A45">
              <w:rPr>
                <w:rFonts w:ascii="Times New Roman" w:hAnsi="Times New Roman" w:cs="Times New Roman"/>
                <w:b/>
                <w:bCs/>
                <w:sz w:val="20"/>
                <w:szCs w:val="20"/>
              </w:rPr>
              <w:t>323 654,9</w:t>
            </w:r>
          </w:p>
        </w:tc>
      </w:tr>
    </w:tbl>
    <w:p w:rsidR="00672D42" w:rsidRPr="00850A45" w:rsidP="00672D42">
      <w:pPr>
        <w:spacing w:before="120" w:line="360" w:lineRule="auto"/>
        <w:ind w:firstLine="180"/>
        <w:jc w:val="both"/>
        <w:rPr>
          <w:rFonts w:ascii="Times New Roman" w:hAnsi="Times New Roman" w:cs="Times New Roman"/>
          <w:sz w:val="20"/>
          <w:szCs w:val="20"/>
        </w:rPr>
      </w:pPr>
      <w:r w:rsidRPr="00850A45" w:rsidR="000F50C9">
        <w:rPr>
          <w:rFonts w:ascii="Times New Roman" w:hAnsi="Times New Roman" w:cs="Times New Roman"/>
          <w:sz w:val="20"/>
          <w:szCs w:val="20"/>
        </w:rPr>
        <w:t xml:space="preserve">    </w:t>
      </w:r>
      <w:r w:rsidRPr="00850A45">
        <w:rPr>
          <w:rFonts w:ascii="Times New Roman" w:hAnsi="Times New Roman" w:cs="Times New Roman"/>
          <w:sz w:val="20"/>
          <w:szCs w:val="20"/>
        </w:rPr>
        <w:t>Zdroj: Ministerstvo financií SR</w:t>
      </w:r>
    </w:p>
    <w:p w:rsidR="00672D42" w:rsidP="00672D42">
      <w:pPr>
        <w:spacing w:before="120" w:line="360" w:lineRule="auto"/>
        <w:ind w:firstLine="720"/>
        <w:jc w:val="both"/>
        <w:rPr>
          <w:rFonts w:ascii="Times New Roman" w:hAnsi="Times New Roman" w:cs="Times New Roman"/>
        </w:rPr>
      </w:pPr>
      <w:r w:rsidRPr="00850A45">
        <w:rPr>
          <w:rFonts w:ascii="Wingdings" w:hAnsi="Wingdings" w:cs="Times New Roman"/>
        </w:rPr>
        <w:sym w:font="Wingdings" w:char="F0D8"/>
      </w:r>
      <w:r>
        <w:rPr>
          <w:rFonts w:ascii="Times New Roman" w:hAnsi="Times New Roman" w:cs="Times New Roman"/>
          <w:b/>
        </w:rPr>
        <w:t xml:space="preserve"> </w:t>
      </w:r>
      <w:r w:rsidRPr="00044AB9">
        <w:rPr>
          <w:rFonts w:ascii="Times New Roman" w:hAnsi="Times New Roman" w:cs="Times New Roman"/>
          <w:i/>
        </w:rPr>
        <w:t>Oddiel 01 – všeobecné verejné služby</w:t>
      </w:r>
      <w:r>
        <w:rPr>
          <w:rFonts w:ascii="Times New Roman" w:hAnsi="Times New Roman" w:cs="Times New Roman"/>
        </w:rPr>
        <w:t>:  do tohto oddielu sú zatriedené výdavky verejnej správy všeobecného charakteru s rozpočtovaným objemom 62 106,5 mil. Sk. Úpravami rozpočtu sa ich objem zvýšil na 63 960,0 mil. Sk a skutočne vynaložené výdavky dosiahli 63 449,2 mil. Sk (plnenie na 99,2 %) a použili sa na tieto účely:</w:t>
      </w:r>
    </w:p>
    <w:p w:rsidR="00672D42" w:rsidP="00672D42">
      <w:pPr>
        <w:spacing w:before="120"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28 812,4 mil. Sk (98,1 % plnenie rozpočtu) na výdavky verejnej správy, finančnú a rozpočtovú oblasť, zahraničnú oblasť vrátane financovania prevádzky ministerstva financií, daňových úradov, správ finančnej kontroly, účtovníckych a kontrolných služieb, financovania činnosti ministerstva zahraničných vecí a zastupiteľských úradov a iných úradov v zahraničí,</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26 338,3 mil. Sk (99,2 %) na transakcie verejného dlhu spojených s platením úrokov a úhradou výdavkov na upisovanie a emitovanie pôžičiek na úrovni štátnej správy,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3 806,2 mil. Sk (104,5 %) na základný výskum, ktorý je definovaný ako experimentálna alebo teoretická činnosť zameraná predovšetkým získavanie nových poznatkov o podstate javov a pozorovateľných faktov, predbežne bez konkrétnej aplikácie alebo bezprostredného využitia,  </w:t>
      </w:r>
    </w:p>
    <w:p w:rsidR="00672D42" w:rsidP="00672D42">
      <w:pPr>
        <w:spacing w:line="360" w:lineRule="auto"/>
        <w:ind w:firstLine="540"/>
        <w:jc w:val="both"/>
        <w:rPr>
          <w:rFonts w:ascii="Times New Roman" w:hAnsi="Times New Roman" w:cs="Times New Roman"/>
        </w:rPr>
      </w:pPr>
      <w:r>
        <w:rPr>
          <w:rFonts w:ascii="Times New Roman" w:hAnsi="Times New Roman" w:cs="Times New Roman"/>
        </w:rPr>
        <w:t xml:space="preserve"> </w:t>
      </w:r>
      <w:r>
        <w:rPr>
          <w:rFonts w:ascii="Arial Narrow" w:hAnsi="Arial Narrow" w:cs="Times New Roman"/>
        </w:rPr>
        <w:t>•</w:t>
      </w:r>
      <w:r>
        <w:rPr>
          <w:rFonts w:ascii="Times New Roman" w:hAnsi="Times New Roman" w:cs="Times New Roman"/>
        </w:rPr>
        <w:t xml:space="preserve"> 3 115,6 mil. Sk (103,2 %) na všeobecné služby, ktoré nesúvisia so žiadnou špecifickou funkciou a ktoré sa spravidla uskutočňujú na rôznych úrovniach verejnej správy; patria sem tiež všeobecné personálne služby, plánovacie a štatistické služby a iné všeobecné služby,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557,5 mil. Sk (99,7 %) na zahraničnú hospodársku pomoc rozvojovým krajinám a krajinám</w:t>
      </w:r>
      <w:r>
        <w:rPr>
          <w:rFonts w:ascii="Times New Roman" w:hAnsi="Times New Roman" w:cs="Times New Roman"/>
        </w:rPr>
        <w:t xml:space="preserve"> v procese transformácie,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686,8 mil. Sk (101,3 %) na všeobecné verejné služby inde neklasifikované, napr. registrácia voličov, organizovanie volieb, referend a pod.,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51,4 mil. Sk (100,0%) na výskum a vývoj v oblasti všeobecných verejných služieb,</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81,0 mil. Sk (100,0 %) na transfery všeobecnej povahy medzi rôznymi úrovňami verejnej správy, ktoré majú všeobecný charakter a nemožno ich priradiť ku konkrétnej funkcii. </w:t>
      </w:r>
    </w:p>
    <w:p w:rsidR="00672D42" w:rsidP="00672D42">
      <w:pPr>
        <w:jc w:val="both"/>
        <w:rPr>
          <w:rFonts w:ascii="Times New Roman" w:hAnsi="Times New Roman" w:cs="Times New Roman"/>
        </w:rPr>
      </w:pPr>
    </w:p>
    <w:p w:rsidR="00672D42" w:rsidP="00672D42">
      <w:pPr>
        <w:spacing w:line="360" w:lineRule="auto"/>
        <w:ind w:firstLine="708"/>
        <w:jc w:val="both"/>
        <w:rPr>
          <w:rFonts w:ascii="Times New Roman" w:hAnsi="Times New Roman" w:cs="Times New Roman"/>
        </w:rPr>
      </w:pPr>
      <w:r w:rsidRPr="00850A45">
        <w:rPr>
          <w:rFonts w:ascii="Wingdings" w:hAnsi="Wingdings" w:cs="Times New Roman"/>
        </w:rPr>
        <w:sym w:font="Wingdings" w:char="F0D8"/>
      </w:r>
      <w:r>
        <w:rPr>
          <w:rFonts w:ascii="Times New Roman" w:hAnsi="Times New Roman" w:cs="Times New Roman"/>
          <w:b/>
        </w:rPr>
        <w:t xml:space="preserve"> </w:t>
      </w:r>
      <w:r w:rsidRPr="00F6683E">
        <w:rPr>
          <w:rFonts w:ascii="Times New Roman" w:hAnsi="Times New Roman" w:cs="Times New Roman"/>
          <w:i/>
        </w:rPr>
        <w:t>Oddiel 02 – obrana</w:t>
      </w:r>
      <w:r>
        <w:rPr>
          <w:rFonts w:ascii="Times New Roman" w:hAnsi="Times New Roman" w:cs="Times New Roman"/>
          <w:b/>
        </w:rPr>
        <w:t xml:space="preserve">:  </w:t>
      </w:r>
      <w:r w:rsidRPr="00FA1BC0">
        <w:rPr>
          <w:rFonts w:ascii="Times New Roman" w:hAnsi="Times New Roman" w:cs="Times New Roman"/>
        </w:rPr>
        <w:t>na potreby obrany sa</w:t>
      </w:r>
      <w:r>
        <w:rPr>
          <w:rFonts w:ascii="Times New Roman" w:hAnsi="Times New Roman" w:cs="Times New Roman"/>
        </w:rPr>
        <w:t xml:space="preserve">  v štátnom rozpočte vyčlenili prostriedky v objeme 26 099,9 mil. Sk, ktoré sa v priebehu roku rozpočtovými opatreniami upravili na 25 264,7 mil. Sk. Realizované výdavky dosiahli 25 243,9 mil. Sk (99,9 %) a financovali sa nimi:</w:t>
      </w:r>
    </w:p>
    <w:p w:rsidR="00672D42" w:rsidP="00672D42">
      <w:pPr>
        <w:spacing w:before="120"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rozpočtované potreby vojenskej obrany, kde sú zahrnuté výdavky na armádu, vojenské spravodajstvo, prípravu teritória štátu na obranu, hospodársku mobilizáciu, úrady vojenských pridelencov pôsobiacich v zahraničí, poľné nemocnice v celkovej sume 23 522,9 mil. Sk (99,8 %),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w:t>
      </w:r>
      <w:r w:rsidRPr="00820906">
        <w:rPr>
          <w:rFonts w:ascii="Times New Roman" w:hAnsi="Times New Roman" w:cs="Times New Roman"/>
        </w:rPr>
        <w:t>činnosť zahraničnej vojenskej pomoci</w:t>
      </w:r>
      <w:r>
        <w:rPr>
          <w:rFonts w:ascii="Times New Roman" w:hAnsi="Times New Roman" w:cs="Times New Roman"/>
        </w:rPr>
        <w:t>, do ktorej patrí najmä riadenie vojenskej pomoci a prevádzkovanie misií vojenskej pomoci akreditovaných pri cudzích vládach alebo pričlenených k medzinárodným vojenským organizáciám, príspevky medzinárodným mierovým silám ap. vo výške 940,5 mil. Sk (100,1 %),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w:t>
      </w:r>
      <w:r w:rsidR="000A5F31">
        <w:rPr>
          <w:rFonts w:ascii="Times New Roman" w:hAnsi="Times New Roman" w:cs="Times New Roman"/>
        </w:rPr>
        <w:t xml:space="preserve">  </w:t>
      </w:r>
      <w:r>
        <w:rPr>
          <w:rFonts w:ascii="Times New Roman" w:hAnsi="Times New Roman" w:cs="Times New Roman"/>
        </w:rPr>
        <w:t>potr</w:t>
      </w:r>
      <w:r>
        <w:rPr>
          <w:rFonts w:ascii="Times New Roman" w:hAnsi="Times New Roman" w:cs="Times New Roman"/>
        </w:rPr>
        <w:t>eby výskumu a vývoja v oblasti obrany v objeme 231,4 mil. Sk (93,9 %),</w:t>
      </w:r>
    </w:p>
    <w:p w:rsidR="00672D42" w:rsidP="000A5F31">
      <w:pPr>
        <w:spacing w:line="360" w:lineRule="auto"/>
        <w:jc w:val="both"/>
        <w:rPr>
          <w:rFonts w:ascii="Times New Roman" w:hAnsi="Times New Roman" w:cs="Times New Roman"/>
        </w:rPr>
      </w:pPr>
      <w:r w:rsidR="000A5F31">
        <w:rPr>
          <w:rFonts w:ascii="Times New Roman" w:hAnsi="Times New Roman" w:cs="Times New Roman"/>
        </w:rPr>
        <w:t xml:space="preserve">        </w:t>
      </w:r>
      <w:r>
        <w:rPr>
          <w:rFonts w:ascii="Times New Roman" w:hAnsi="Times New Roman" w:cs="Times New Roman"/>
        </w:rPr>
        <w:t xml:space="preserve"> </w:t>
      </w:r>
      <w:r>
        <w:rPr>
          <w:rFonts w:ascii="Arial Narrow" w:hAnsi="Arial Narrow" w:cs="Times New Roman"/>
        </w:rPr>
        <w:t>•</w:t>
      </w:r>
      <w:r w:rsidR="000A5F31">
        <w:rPr>
          <w:rFonts w:ascii="Times New Roman" w:hAnsi="Times New Roman" w:cs="Times New Roman"/>
        </w:rPr>
        <w:t xml:space="preserve"> </w:t>
      </w:r>
      <w:r>
        <w:rPr>
          <w:rFonts w:ascii="Times New Roman" w:hAnsi="Times New Roman" w:cs="Times New Roman"/>
        </w:rPr>
        <w:t>požiadavky civilnej ochrany, najmä riadenie vecí a služieb civilnej ochrany, zostavovanie plánov pre výnimočné situácie, organizovanie cvičení, do ktorých sú zahrnuté civilné inštitúcie a obyvateľstvo v úhrnnom objeme 244,6 mil. Sk (124,8 %),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ďalšie inde nezaradené požiadavky v oblasti obrany, ako sú napr. zostavovanie, riadenie, koordinácia a monitorovanie celkových stratégií, plánov, programov a rozpočtov na obranu, vytváranie technickej dokumentácie a štatistík za oblasť obrany a pod. v dosiahnutej výške 304,5 mil. Sk (99,5 %);</w:t>
      </w:r>
    </w:p>
    <w:p w:rsidR="00672D42" w:rsidP="00672D42">
      <w:pPr>
        <w:jc w:val="both"/>
        <w:rPr>
          <w:rFonts w:ascii="Times New Roman" w:hAnsi="Times New Roman" w:cs="Times New Roman"/>
        </w:rPr>
      </w:pPr>
    </w:p>
    <w:p w:rsidR="00672D42" w:rsidP="00672D42">
      <w:pPr>
        <w:spacing w:line="360" w:lineRule="auto"/>
        <w:ind w:firstLine="708"/>
        <w:jc w:val="both"/>
        <w:rPr>
          <w:rFonts w:ascii="Times New Roman" w:hAnsi="Times New Roman" w:cs="Times New Roman"/>
        </w:rPr>
      </w:pPr>
      <w:r w:rsidRPr="00850A45">
        <w:rPr>
          <w:rFonts w:ascii="Wingdings" w:hAnsi="Wingdings" w:cs="Times New Roman"/>
        </w:rPr>
        <w:sym w:font="Wingdings" w:char="F0D8"/>
      </w:r>
      <w:r>
        <w:rPr>
          <w:rFonts w:ascii="Times New Roman" w:hAnsi="Times New Roman" w:cs="Times New Roman"/>
          <w:b/>
        </w:rPr>
        <w:t xml:space="preserve"> </w:t>
      </w:r>
      <w:r w:rsidRPr="00E072FC">
        <w:rPr>
          <w:rFonts w:ascii="Times New Roman" w:hAnsi="Times New Roman" w:cs="Times New Roman"/>
          <w:i/>
        </w:rPr>
        <w:t>Oddiel 03 – verejný poriadok a bezpečnosť:</w:t>
      </w:r>
      <w:r>
        <w:rPr>
          <w:rFonts w:ascii="Times New Roman" w:hAnsi="Times New Roman" w:cs="Times New Roman"/>
          <w:b/>
        </w:rPr>
        <w:t xml:space="preserve"> </w:t>
      </w:r>
      <w:r w:rsidRPr="00004BA5">
        <w:rPr>
          <w:rFonts w:ascii="Times New Roman" w:hAnsi="Times New Roman" w:cs="Times New Roman"/>
        </w:rPr>
        <w:t xml:space="preserve">na </w:t>
      </w:r>
      <w:r>
        <w:rPr>
          <w:rFonts w:ascii="Times New Roman" w:hAnsi="Times New Roman" w:cs="Times New Roman"/>
        </w:rPr>
        <w:t>financovanie potrieb v oblasti verejného poriadku a bezpečnosti sa v rozpočte uvažovalo s prostriedkami v objeme 30 301,5 mil. Sk, ktorý sa mierne zvýšil prijatými rozpočtovými opatreniami (upravený rozpočet 30 311,5 mil. Sk). Skutočné výdavky tejto skupiny vo výške 30 760,8 mil. Sk mierne prekročili rozpočtovaný objem (101,5 %) a vynaložili sa v takomto členení:</w:t>
      </w:r>
    </w:p>
    <w:p w:rsidR="00672D42" w:rsidP="00672D42">
      <w:pPr>
        <w:spacing w:before="120"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15 570,7 mil. Sk (99,8 %) na potreby policajných služieb súvisiacich s riadením policajných vecí a služieb vrátane registrácií cudzincov, vydávania pracovných a cestovných dokladov prisťahovalcom, vedenia evidencie väzňov, ďalej s riadením a kontrolou cestnej premávky, vydávaním vodičských preukazov a pod., </w:t>
      </w:r>
    </w:p>
    <w:p w:rsidR="00672D42" w:rsidP="00672D42">
      <w:pPr>
        <w:spacing w:line="360" w:lineRule="auto"/>
        <w:ind w:firstLine="540"/>
        <w:jc w:val="both"/>
        <w:rPr>
          <w:rFonts w:ascii="Times New Roman" w:hAnsi="Times New Roman" w:cs="Times New Roman"/>
        </w:rPr>
      </w:pPr>
      <w:r>
        <w:rPr>
          <w:rFonts w:ascii="Times New Roman" w:hAnsi="Times New Roman" w:cs="Times New Roman"/>
        </w:rPr>
        <w:t xml:space="preserve"> </w:t>
      </w:r>
      <w:r>
        <w:rPr>
          <w:rFonts w:ascii="Arial Narrow" w:hAnsi="Arial Narrow" w:cs="Times New Roman"/>
        </w:rPr>
        <w:t>•</w:t>
      </w:r>
      <w:r>
        <w:rPr>
          <w:rFonts w:ascii="Times New Roman" w:hAnsi="Times New Roman" w:cs="Times New Roman"/>
        </w:rPr>
        <w:t xml:space="preserve"> 5 051,1 mil. Sk (98,7 %) na financovanie ďalších oblastí verejného poriadku a bezpečnosti nezaradených do predchádzajúcich tried, ako sú napr. zostavovanie, správa, koordinácia a monitorovanie rámcových stratégií, plánov, programov a rozpočtov v oblasti verejného poriadku a bezpečnosti, príprava a zavádzanie legislatívy a noriem na uplatňovanie verejného poriadku a bezpečnosti, výdavky na prokuratúry, inšpekčnú činnosť verejného poriadku atď.</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3 873,4 mil. Sk (99,9 %) na činnosť súdov, ich riadenie, prevádzku, výkon súdnictva ďalej na preskúmavanie zákonných rozhodnutí orgánov verejnej správy a iných orgánov ako aj na činnosť Ústavného súdu SR a Najvyššieho súdu SR a ostatných súdov,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3 497,7 mil. Sk (100,0 %) na potreby väzenstva - jeho riadenie, prevádzku výkonu väzby, výkonu trestu odňatia slobody, ochranu a stráženie objektov Zboru väzenskej a justičnej stráže a ochranu poriadku a bezpečnosti v súdnych objektoch,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2 760,4 mil. Sk (124,9 %) na ochranu pred požiarm</w:t>
      </w:r>
      <w:r w:rsidR="000A5F31">
        <w:rPr>
          <w:rFonts w:ascii="Times New Roman" w:hAnsi="Times New Roman" w:cs="Times New Roman"/>
        </w:rPr>
        <w:t>i vrátane financovania hasičských</w:t>
      </w:r>
      <w:r>
        <w:rPr>
          <w:rFonts w:ascii="Times New Roman" w:hAnsi="Times New Roman" w:cs="Times New Roman"/>
        </w:rPr>
        <w:t xml:space="preserve"> zásahov a záchranárskej činnosti a pod.,</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7,5 mil. Sk (74,0 %) na financovanie výskumu a vývoja v oblasti verejného poriadku a bezpečnosti, </w:t>
      </w:r>
    </w:p>
    <w:p w:rsidR="00672D42" w:rsidP="00672D42">
      <w:pPr>
        <w:jc w:val="both"/>
        <w:rPr>
          <w:rFonts w:ascii="Times New Roman" w:hAnsi="Times New Roman" w:cs="Times New Roman"/>
        </w:rPr>
      </w:pPr>
    </w:p>
    <w:p w:rsidR="00672D42" w:rsidP="00672D42">
      <w:pPr>
        <w:spacing w:line="360" w:lineRule="auto"/>
        <w:ind w:firstLine="708"/>
        <w:jc w:val="both"/>
        <w:rPr>
          <w:rFonts w:ascii="Times New Roman" w:hAnsi="Times New Roman" w:cs="Times New Roman"/>
        </w:rPr>
      </w:pPr>
      <w:r w:rsidRPr="00850A45">
        <w:rPr>
          <w:rFonts w:ascii="Wingdings" w:hAnsi="Wingdings" w:cs="Times New Roman"/>
        </w:rPr>
        <w:sym w:font="Wingdings" w:char="F0D8"/>
      </w:r>
      <w:r>
        <w:rPr>
          <w:rFonts w:ascii="Times New Roman" w:hAnsi="Times New Roman" w:cs="Times New Roman"/>
          <w:b/>
        </w:rPr>
        <w:t xml:space="preserve"> </w:t>
      </w:r>
      <w:r w:rsidRPr="00F057E0">
        <w:rPr>
          <w:rFonts w:ascii="Times New Roman" w:hAnsi="Times New Roman" w:cs="Times New Roman"/>
          <w:i/>
        </w:rPr>
        <w:t>Oddiel 04 - ekonomická oblasť</w:t>
      </w:r>
      <w:r>
        <w:rPr>
          <w:rFonts w:ascii="Times New Roman" w:hAnsi="Times New Roman" w:cs="Times New Roman"/>
          <w:b/>
        </w:rPr>
        <w:t xml:space="preserve">: </w:t>
      </w:r>
      <w:r>
        <w:rPr>
          <w:rFonts w:ascii="Times New Roman" w:hAnsi="Times New Roman" w:cs="Times New Roman"/>
        </w:rPr>
        <w:t xml:space="preserve"> na činnosti štátu patriace do ekonomickej sféry sa vyčlenilo v štátnom rozpočte 72 664,0 mil. Sk, ktoré sa rozpočtovými opatreniami značne znížili na úroveň 67 565,1 mil. Sk. Skutočné výdavky na tieto činnosti dosiahli 67 656,3 mil. Sk (100,1 %) a financovali sa nimi tieto činnosti:</w:t>
      </w:r>
    </w:p>
    <w:p w:rsidR="00672D42" w:rsidP="00672D42">
      <w:pPr>
        <w:spacing w:before="120"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doprava a v rámci tohto odvetvia riadenie vecí a služieb cestnej dopravy ako sú výstavba a oprava diaľnic a ciest, správa a údržba ciest, riadenie vecí a služieb vodnej dopravy v súvislosti s prevádzkou, používaním, budovaním a údržbou vnútrozemských a pobrežných vodných dopravných systémov a zariadení, riadenie vecí a služieb železničnej dopravy v súvislosti s geologickým prieskumom, výstavbou, využívaním, prevádzkovaním a údržbou železničných dopravných systémov a zariadení a riadenie vecí a služieb leteckej dopravy, t.j. prevádzka, používanie, výstavba a údržba leteckých dopravných systémov a zariadení v celkovom objeme 26 622,7 mil. Sk (99,9 %),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poľnohospodárstvo, lesníctvo, rybárstvo a poľovníctvo, riadenie, ochrana a rozvoj týchto</w:t>
      </w:r>
      <w:r>
        <w:rPr>
          <w:rFonts w:ascii="Times New Roman" w:hAnsi="Times New Roman" w:cs="Times New Roman"/>
        </w:rPr>
        <w:t xml:space="preserve"> odvetví v úhrnnej výške 20 084,2 mil. Sk (101,2 %),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všeobecná ekonomická, obchodná a pracovná oblasť, do ktorej patrí najmä financovanie riadenia všeobecných ekonomických a obchodných služieb vrátane všeobecných vecí zahraničného obchodu, zavádzanie všeobecných ekonomických a obchodných stratégií financovanie činnosti ministerstva hospodárstva, úradu priemyselného vlastníctva, úradu pre normalizáciu, metrológiu a skúšobníctvo, protimonopolného úradu, colného riaditeľstva, metrologického dozoru a technick</w:t>
      </w:r>
      <w:r>
        <w:rPr>
          <w:rFonts w:ascii="Times New Roman" w:hAnsi="Times New Roman" w:cs="Times New Roman"/>
        </w:rPr>
        <w:t xml:space="preserve">ej normalizácie, </w:t>
      </w:r>
      <w:r w:rsidRPr="006C5C90">
        <w:rPr>
          <w:rFonts w:ascii="Times New Roman" w:hAnsi="Times New Roman" w:cs="Times New Roman"/>
          <w:b/>
        </w:rPr>
        <w:t xml:space="preserve"> </w:t>
      </w:r>
      <w:r w:rsidRPr="00D351C4">
        <w:rPr>
          <w:rFonts w:ascii="Times New Roman" w:hAnsi="Times New Roman" w:cs="Times New Roman"/>
        </w:rPr>
        <w:t>ako aj riadenie všeobecných pracovných vecí a</w:t>
      </w:r>
      <w:r>
        <w:rPr>
          <w:rFonts w:ascii="Times New Roman" w:hAnsi="Times New Roman" w:cs="Times New Roman"/>
        </w:rPr>
        <w:t> </w:t>
      </w:r>
      <w:r w:rsidRPr="00D351C4">
        <w:rPr>
          <w:rFonts w:ascii="Times New Roman" w:hAnsi="Times New Roman" w:cs="Times New Roman"/>
        </w:rPr>
        <w:t>služieb</w:t>
      </w:r>
      <w:r>
        <w:rPr>
          <w:rFonts w:ascii="Times New Roman" w:hAnsi="Times New Roman" w:cs="Times New Roman"/>
        </w:rPr>
        <w:t xml:space="preserve"> ako sú sociálna a pracovná rehabilitácia zdravotne postihnutých občanov, Národný inšpektorát práce a inšpektoráty práce v úhrnnej sume 16 841,7 mil. Sk (98,6 %),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ťažba, výroba a výstavba ako sú ťažba nerastných surovín (rudy, nerastné suroviny na výrobu chemikálií, umelých hnojív a pod.), riadenie vecí a služieb v oblasti výroby, podpora výrobných podnikov a riadenie vecí a služieb v oblasti  prípravy a realizácie výstavby, verejných </w:t>
      </w:r>
      <w:r>
        <w:rPr>
          <w:rFonts w:ascii="Times New Roman" w:hAnsi="Times New Roman" w:cs="Times New Roman"/>
        </w:rPr>
        <w:t>prác a stavebných výrobkov v úhrnnej výške 673,3 mil. Sk (98,2 %),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iné odvetvia, ktoré riadia veci a služby v oblasti výstavby,  rozširovania,  skvalitňovania, prevádzky a údržby hotelov a reštaurácií, cestovného ruchu a viacúčelové rozvojové projekty v </w:t>
      </w:r>
      <w:r>
        <w:rPr>
          <w:rFonts w:ascii="Times New Roman" w:hAnsi="Times New Roman" w:cs="Times New Roman"/>
        </w:rPr>
        <w:t>úhrnnej sume 1 911,1 mil. Sk (108,1 %),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výskum a vývoj vo všetkých odvetviach ekonomickej oblasti vo výške 609,8 mil. Sk (99,6 %),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odvetvia palív a energie, v ktorých pôsobnosti  sú zaradené ropa a zemný plyn, jadrové palivo, ostatné palivá, elektrina a energia iná ako elektrická v objeme 744,9 mil. Sk (99,7 %),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komunikácie, kde sú zatriedené poštové, telefónne, telegrafné, káblové, bezdrôtové a satelitné komunikačné systémy vo výške 124,9 mil. Sk (98,6 %),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ekonomická oblasť inde neklasifikovaná, ktorá zahŕňa výdavky na činnosť Úradu pre reguláciu sieťových odvetví, Národnej agentúry pre cestovný ruch atď. v objeme 43,7 mil. Sk (91,5 %).</w:t>
      </w:r>
    </w:p>
    <w:p w:rsidR="00672D42" w:rsidP="00672D42">
      <w:pPr>
        <w:jc w:val="both"/>
        <w:rPr>
          <w:rFonts w:ascii="Times New Roman" w:hAnsi="Times New Roman" w:cs="Times New Roman"/>
        </w:rPr>
      </w:pPr>
    </w:p>
    <w:p w:rsidR="00672D42" w:rsidP="00672D42">
      <w:pPr>
        <w:spacing w:line="360" w:lineRule="auto"/>
        <w:ind w:firstLine="708"/>
        <w:jc w:val="both"/>
        <w:rPr>
          <w:rFonts w:ascii="Times New Roman" w:hAnsi="Times New Roman" w:cs="Times New Roman"/>
        </w:rPr>
      </w:pPr>
      <w:r w:rsidRPr="00850A45">
        <w:rPr>
          <w:rFonts w:ascii="Wingdings" w:hAnsi="Wingdings" w:cs="Times New Roman"/>
        </w:rPr>
        <w:sym w:font="Wingdings" w:char="F0D8"/>
      </w:r>
      <w:r>
        <w:rPr>
          <w:rFonts w:ascii="Times New Roman" w:hAnsi="Times New Roman" w:cs="Times New Roman"/>
          <w:b/>
        </w:rPr>
        <w:t xml:space="preserve"> </w:t>
      </w:r>
      <w:r w:rsidRPr="0042266D">
        <w:rPr>
          <w:rFonts w:ascii="Times New Roman" w:hAnsi="Times New Roman" w:cs="Times New Roman"/>
          <w:i/>
        </w:rPr>
        <w:t>Oddiel 05 – ochrana životného prostredia:</w:t>
      </w:r>
      <w:r w:rsidRPr="0042266D">
        <w:rPr>
          <w:rFonts w:ascii="Times New Roman" w:hAnsi="Times New Roman" w:cs="Times New Roman"/>
        </w:rPr>
        <w:t xml:space="preserve"> na ochranu životného prostredia sa </w:t>
      </w:r>
      <w:r>
        <w:rPr>
          <w:rFonts w:ascii="Times New Roman" w:hAnsi="Times New Roman" w:cs="Times New Roman"/>
        </w:rPr>
        <w:t>vyčlenilo</w:t>
      </w:r>
      <w:r w:rsidRPr="0042266D">
        <w:rPr>
          <w:rFonts w:ascii="Times New Roman" w:hAnsi="Times New Roman" w:cs="Times New Roman"/>
        </w:rPr>
        <w:t xml:space="preserve"> v štátnom rozpočte </w:t>
      </w:r>
      <w:r>
        <w:rPr>
          <w:rFonts w:ascii="Times New Roman" w:hAnsi="Times New Roman" w:cs="Times New Roman"/>
        </w:rPr>
        <w:t>6 939,5 mil. Sk, táto suma  sa rozpočtovými opatreniami znížila na 4 636,6 mil. Sk. V skutočnom čerpaní vo výške 4 648,0 mil. Sk (100,2 %) je zahrnuté financovanie týchto aktivít:</w:t>
      </w:r>
    </w:p>
    <w:p w:rsidR="00672D42" w:rsidP="00672D42">
      <w:pPr>
        <w:spacing w:before="120"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znižovanie znečisťovania, ochrana krajiny, ozónovej vrstvy zeme, povrchových a podzemných vôd, horninového prostredia a pôdy pred znečistením </w:t>
      </w:r>
      <w:r>
        <w:rPr>
          <w:rFonts w:ascii="Times New Roman" w:hAnsi="Times New Roman" w:cs="Times New Roman"/>
        </w:rPr>
        <w:t>a pod. v sume 1 031,9 mil. Sk (100,4 %),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ochrana prírody a krajiny zahŕňajúca činnosti súvisiace s ochranou drevín, chránených stromov, rastlín, živočíchov, nerastov a skamenelín atď. v úhrnnej výške 394,7 mil. Sk (122,1 %),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nakladanie s odpadmi ako je zber, preprava, zhodnocovanie a zneškodňovanie odpadu, vrátane rádioaktívneho v sume 475,6 mil. Sk (100,0 %),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výskum a vývoj v oblasti ochrany životného prostredia v objeme 45,8 mil. Sk </w:t>
      </w:r>
      <w:r w:rsidR="0096069D">
        <w:rPr>
          <w:rFonts w:ascii="Times New Roman" w:hAnsi="Times New Roman" w:cs="Times New Roman"/>
        </w:rPr>
        <w:t xml:space="preserve"> </w:t>
      </w:r>
      <w:r>
        <w:rPr>
          <w:rFonts w:ascii="Times New Roman" w:hAnsi="Times New Roman" w:cs="Times New Roman"/>
        </w:rPr>
        <w:t>(100,0 %),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nakladanie s odpadovými vodami, prevádzkovanie kanalizačných sústav, vrátane čistenia odpadových vôd vo výške 191,9 mil. Sk (100,0 %),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ochrana životného prostredia inde nezaradená ako je riadenie, správa, regulácia, dohľad, plánovanie, monitorovanie projektovanie a podpora činností zameraných na stratégie, koncepcie, programy, a projekty na zlepšovanie životného prostredia, na legislatívu a uplatňovanie predpisov a noriem týkajúcich sa starostlivosti o životné prostredie v úhrnnom objeme 2 508,1 mil. Sk (97,5 %).</w:t>
      </w:r>
    </w:p>
    <w:p w:rsidR="00672D42" w:rsidP="00672D42">
      <w:pPr>
        <w:jc w:val="both"/>
        <w:rPr>
          <w:rFonts w:ascii="Times New Roman" w:hAnsi="Times New Roman" w:cs="Times New Roman"/>
        </w:rPr>
      </w:pPr>
    </w:p>
    <w:p w:rsidR="00672D42" w:rsidP="00672D42">
      <w:pPr>
        <w:spacing w:line="360" w:lineRule="auto"/>
        <w:ind w:firstLine="708"/>
        <w:jc w:val="both"/>
        <w:rPr>
          <w:rFonts w:ascii="Times New Roman" w:hAnsi="Times New Roman" w:cs="Times New Roman"/>
        </w:rPr>
      </w:pPr>
      <w:r w:rsidRPr="0096069D">
        <w:rPr>
          <w:rFonts w:ascii="Wingdings" w:hAnsi="Wingdings" w:cs="Times New Roman"/>
        </w:rPr>
        <w:sym w:font="Wingdings" w:char="F0D8"/>
      </w:r>
      <w:r>
        <w:rPr>
          <w:rFonts w:ascii="Times New Roman" w:hAnsi="Times New Roman" w:cs="Times New Roman"/>
          <w:b/>
        </w:rPr>
        <w:t xml:space="preserve"> </w:t>
      </w:r>
      <w:r w:rsidRPr="00C83FA9">
        <w:rPr>
          <w:rFonts w:ascii="Times New Roman" w:hAnsi="Times New Roman" w:cs="Times New Roman"/>
          <w:i/>
        </w:rPr>
        <w:t>Oddiel 06 – bývanie a občianska vybavenosť:</w:t>
      </w:r>
      <w:r>
        <w:rPr>
          <w:rFonts w:ascii="Times New Roman" w:hAnsi="Times New Roman" w:cs="Times New Roman"/>
        </w:rPr>
        <w:t xml:space="preserve"> na podporu rozvoja  bývania a občianskej vybavenosti sa v rozpočte uvažovalo s prostriedkami v objeme 7 104,0 mil. Sk. Rozpočtovými opatreniami sa pôvodný rozpočet upravil na 6 260,8 mil. Sk. Skutočné výdavky v objeme 6 220,2 mil. Sk znamenajú prakticky splnenie ročného predpokladu (99,4 %), pričom sa nimi financovali tieto zámery:</w:t>
      </w:r>
    </w:p>
    <w:p w:rsidR="00672D42" w:rsidP="00672D42">
      <w:pPr>
        <w:spacing w:before="120"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rozvoj bývania, a v rámci neho propagácia, monitorovanie, vyhodnocovanie činností v oblasti rozvoja bývania, vývoj a regulácia noriem bývania, výstavba, nákup a prestavba obytných jednotiek pre verejnosť, získavanie pozemkov potrebných na výstavbu a pod. vo výške 5 155,6 mil. Sk (99,2 %),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rozvoj obcí vrátane prípravy programov na financovanie plánovaného rozvoja obcí v sume 840,2 mil. Sk (100,0 %),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zásobovanie vodou, to znamená riadenie v oblasti geologického prieskumu a zásobovania vodou, dohľad nad všetkými aspektmi zásobovania pitnou vodou vrátane kontroly čistoty, ceny a množstva vody, budovanie alebo prevádzkovanie systémov na dodávku vody atď. v súhrnnom objeme 224,4</w:t>
      </w:r>
      <w:r>
        <w:rPr>
          <w:rFonts w:ascii="Times New Roman" w:hAnsi="Times New Roman" w:cs="Times New Roman"/>
        </w:rPr>
        <w:t xml:space="preserve"> mil. Sk (100,0 %).</w:t>
      </w:r>
    </w:p>
    <w:p w:rsidR="00672D42" w:rsidP="00672D42">
      <w:pPr>
        <w:jc w:val="both"/>
        <w:rPr>
          <w:rFonts w:ascii="Times New Roman" w:hAnsi="Times New Roman" w:cs="Times New Roman"/>
        </w:rPr>
      </w:pPr>
    </w:p>
    <w:p w:rsidR="00672D42" w:rsidP="00672D42">
      <w:pPr>
        <w:spacing w:line="360" w:lineRule="auto"/>
        <w:ind w:firstLine="708"/>
        <w:jc w:val="both"/>
        <w:rPr>
          <w:rFonts w:ascii="Times New Roman" w:hAnsi="Times New Roman" w:cs="Times New Roman"/>
        </w:rPr>
      </w:pPr>
      <w:r w:rsidRPr="0096069D">
        <w:rPr>
          <w:rFonts w:ascii="Wingdings" w:hAnsi="Wingdings" w:cs="Times New Roman"/>
        </w:rPr>
        <w:sym w:font="Wingdings" w:char="F0D8"/>
      </w:r>
      <w:r>
        <w:rPr>
          <w:rFonts w:ascii="Times New Roman" w:hAnsi="Times New Roman" w:cs="Times New Roman"/>
          <w:b/>
        </w:rPr>
        <w:t xml:space="preserve"> </w:t>
      </w:r>
      <w:r w:rsidRPr="00C83FA9">
        <w:rPr>
          <w:rFonts w:ascii="Times New Roman" w:hAnsi="Times New Roman" w:cs="Times New Roman"/>
          <w:i/>
        </w:rPr>
        <w:t>Oddiel 07 – zdravotníctvo:</w:t>
      </w:r>
      <w:r w:rsidRPr="000C7870">
        <w:rPr>
          <w:rFonts w:ascii="Times New Roman" w:hAnsi="Times New Roman" w:cs="Times New Roman"/>
          <w:b/>
        </w:rPr>
        <w:t xml:space="preserve">  </w:t>
      </w:r>
      <w:r w:rsidRPr="000C7870">
        <w:rPr>
          <w:rFonts w:ascii="Times New Roman" w:hAnsi="Times New Roman" w:cs="Times New Roman"/>
        </w:rPr>
        <w:t>na financovanie činností v odvetví zdravotníctva</w:t>
      </w:r>
      <w:r>
        <w:rPr>
          <w:rFonts w:ascii="Times New Roman" w:hAnsi="Times New Roman" w:cs="Times New Roman"/>
          <w:b/>
        </w:rPr>
        <w:t xml:space="preserve"> </w:t>
      </w:r>
      <w:r w:rsidRPr="000C7870">
        <w:rPr>
          <w:rFonts w:ascii="Times New Roman" w:hAnsi="Times New Roman" w:cs="Times New Roman"/>
        </w:rPr>
        <w:t>s</w:t>
      </w:r>
      <w:r>
        <w:rPr>
          <w:rFonts w:ascii="Times New Roman" w:hAnsi="Times New Roman" w:cs="Times New Roman"/>
        </w:rPr>
        <w:t>a  v pôvodnom rozpočte vyčlenilo 26 931,8 mil. Sk,  upravený rozpočet sa mierne zvýšil na 27 594,6 mil. Sk. Skutočne vynaloženými prostriedkami v tomto odvetví  27 659,8 mil. Sk sa financovali tieto výrobky a činnosti:</w:t>
      </w:r>
    </w:p>
    <w:p w:rsidR="00672D42" w:rsidP="00672D42">
      <w:pPr>
        <w:spacing w:before="120"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ústavná starostlivosť vo forme všeobecnej nemocničnej starostlivosti, špecializovanej nemocničnej starostlivosti v objeme 1 612,3 mil. Sk (98,1 %),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verejné zdravotné služby - ide o poskytovanie služieb v oblasti verejnej zdravotnej starostlivosti ako je prevádzka krvnej banky, zisťovanie chorôb, zber epidemiologických údajov a pod. v sume 1 040,3 mil. Sk (100,4 %),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ambulantná zdravotná starostlivosť a v rámci nej všeobecná lekárska zdravotná starostlivosť, špecializovaná zdravotná starostlivosť, stomatologické služby a iné zdravotnícke služby v úhrnnej sume 907,2 mil. Sk (115,0 %),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výskum a vývoj v oblasti zdravotníctva 71,0 mil. Sk (94,6 %),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zdravotnícke výrobky, prístroje a zariadenia – ide o obstaranie liekov, protéz, lekárskych prístrojov a iných zdravotníckych výrobkov pre jednotlivcov na lekársky predpis alebo lekársky preukaz, ktoré sú určené na spotrebu alebo použitie mimo zdravotníckeho zariadenia alebo inštitúcie v objeme 2,3 </w:t>
      </w:r>
      <w:r>
        <w:rPr>
          <w:rFonts w:ascii="Times New Roman" w:hAnsi="Times New Roman" w:cs="Times New Roman"/>
        </w:rPr>
        <w:t>mil. Sk (100,0 %),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zdravotníctvo inde nezaradené ako sú napr. výdavky na zostavovanie, riadenie, koordináciu a dohľad nad rámcovými zdravotnými stratégiami, plánmi a programami, príprava a uplatňovanie legislatívy a noriem na poskytovanie zdravotných služieb atď. v úhrnnej sume 24 026,7 mil. Sk (100,0 %).</w:t>
      </w:r>
    </w:p>
    <w:p w:rsidR="00672D42" w:rsidP="00672D42">
      <w:pPr>
        <w:jc w:val="both"/>
        <w:rPr>
          <w:rFonts w:ascii="Times New Roman" w:hAnsi="Times New Roman" w:cs="Times New Roman"/>
        </w:rPr>
      </w:pPr>
    </w:p>
    <w:p w:rsidR="00672D42" w:rsidP="00672D42">
      <w:pPr>
        <w:spacing w:line="360" w:lineRule="auto"/>
        <w:ind w:firstLine="708"/>
        <w:jc w:val="both"/>
        <w:rPr>
          <w:rFonts w:ascii="Times New Roman" w:hAnsi="Times New Roman" w:cs="Times New Roman"/>
        </w:rPr>
      </w:pPr>
      <w:r w:rsidRPr="0096069D">
        <w:rPr>
          <w:rFonts w:ascii="Wingdings" w:hAnsi="Wingdings" w:cs="Times New Roman"/>
        </w:rPr>
        <w:sym w:font="Wingdings" w:char="F0D8"/>
      </w:r>
      <w:r>
        <w:rPr>
          <w:rFonts w:ascii="Times New Roman" w:hAnsi="Times New Roman" w:cs="Times New Roman"/>
          <w:b/>
        </w:rPr>
        <w:t xml:space="preserve"> </w:t>
      </w:r>
      <w:r w:rsidRPr="0012489C">
        <w:rPr>
          <w:rFonts w:ascii="Times New Roman" w:hAnsi="Times New Roman" w:cs="Times New Roman"/>
          <w:i/>
        </w:rPr>
        <w:t>Oddiel 08 – rekreácia, kultúra a náboženstvo:</w:t>
      </w:r>
      <w:r w:rsidRPr="00804CDB">
        <w:rPr>
          <w:rFonts w:ascii="Times New Roman" w:hAnsi="Times New Roman" w:cs="Times New Roman"/>
        </w:rPr>
        <w:t xml:space="preserve"> na </w:t>
      </w:r>
      <w:r>
        <w:rPr>
          <w:rFonts w:ascii="Times New Roman" w:hAnsi="Times New Roman" w:cs="Times New Roman"/>
        </w:rPr>
        <w:t xml:space="preserve">tieto </w:t>
      </w:r>
      <w:r w:rsidRPr="00804CDB">
        <w:rPr>
          <w:rFonts w:ascii="Times New Roman" w:hAnsi="Times New Roman" w:cs="Times New Roman"/>
        </w:rPr>
        <w:t>potreby</w:t>
      </w:r>
      <w:r>
        <w:rPr>
          <w:rFonts w:ascii="Times New Roman" w:hAnsi="Times New Roman" w:cs="Times New Roman"/>
        </w:rPr>
        <w:t xml:space="preserve"> sa v štátnom rozpočte vyčlenilo 6 723,1 mil. Sk. Táto suma sa rozpočtovými opatreniami zvýšila na 7 042,6 mil. Sk. Dosiahnutými výdavkami vo výške 7 043,3 mil. Sk sa financovali služby poskytované jednotlivcom, domácnostiam, ako aj služby poskytované na kolektívnej báze v tomto prehľade:</w:t>
      </w:r>
    </w:p>
    <w:p w:rsidR="00672D42" w:rsidP="00672D42">
      <w:pPr>
        <w:spacing w:before="120" w:line="360" w:lineRule="auto"/>
        <w:ind w:firstLine="540"/>
        <w:jc w:val="both"/>
        <w:rPr>
          <w:rFonts w:ascii="Times New Roman" w:hAnsi="Times New Roman" w:cs="Times New Roman"/>
        </w:rPr>
      </w:pPr>
      <w:r>
        <w:rPr>
          <w:rFonts w:ascii="Times New Roman" w:hAnsi="Times New Roman" w:cs="Times New Roman"/>
        </w:rPr>
        <w:t xml:space="preserve"> </w:t>
      </w:r>
      <w:r>
        <w:rPr>
          <w:rFonts w:ascii="Arial Narrow" w:hAnsi="Arial Narrow" w:cs="Times New Roman"/>
        </w:rPr>
        <w:t>•</w:t>
      </w:r>
      <w:r>
        <w:rPr>
          <w:rFonts w:ascii="Times New Roman" w:hAnsi="Times New Roman" w:cs="Times New Roman"/>
        </w:rPr>
        <w:t xml:space="preserve"> 3 729,8 mil. Sk (100,0 %) na poskytovanie kultúrnych služieb, riadenie kultúrnych činností, dohľad na</w:t>
      </w:r>
      <w:r>
        <w:rPr>
          <w:rFonts w:ascii="Times New Roman" w:hAnsi="Times New Roman" w:cs="Times New Roman"/>
        </w:rPr>
        <w:t xml:space="preserve">d kultúrnymi zariadeniami, </w:t>
      </w:r>
    </w:p>
    <w:p w:rsidR="00672D42" w:rsidP="00672D42">
      <w:pPr>
        <w:spacing w:line="360" w:lineRule="auto"/>
        <w:ind w:firstLine="540"/>
        <w:jc w:val="both"/>
        <w:rPr>
          <w:rFonts w:ascii="Times New Roman" w:hAnsi="Times New Roman" w:cs="Times New Roman"/>
        </w:rPr>
      </w:pPr>
      <w:r>
        <w:rPr>
          <w:rFonts w:ascii="Times New Roman" w:hAnsi="Times New Roman" w:cs="Times New Roman"/>
        </w:rPr>
        <w:t xml:space="preserve"> </w:t>
      </w:r>
      <w:r>
        <w:rPr>
          <w:rFonts w:ascii="Arial Narrow" w:hAnsi="Arial Narrow" w:cs="Times New Roman"/>
        </w:rPr>
        <w:t>•</w:t>
      </w:r>
      <w:r>
        <w:rPr>
          <w:rFonts w:ascii="Times New Roman" w:hAnsi="Times New Roman" w:cs="Times New Roman"/>
        </w:rPr>
        <w:t xml:space="preserve"> 1 237,3 mil. Sk (100,3 %) na rekreačné a športové služby poskytované na prevádzkovanie a podporu  zariadení na aktívnu športovú činnosť </w:t>
      </w:r>
      <w:r w:rsidRPr="00CE264A">
        <w:rPr>
          <w:rFonts w:ascii="Times New Roman" w:hAnsi="Times New Roman" w:cs="Times New Roman"/>
          <w:b/>
        </w:rPr>
        <w:t xml:space="preserve"> </w:t>
      </w:r>
      <w:r w:rsidRPr="00360257">
        <w:rPr>
          <w:rFonts w:ascii="Times New Roman" w:hAnsi="Times New Roman" w:cs="Times New Roman"/>
        </w:rPr>
        <w:t>a výdavky</w:t>
      </w:r>
      <w:r w:rsidRPr="00715DEB">
        <w:rPr>
          <w:rFonts w:ascii="Times New Roman" w:hAnsi="Times New Roman" w:cs="Times New Roman"/>
        </w:rPr>
        <w:t xml:space="preserve"> </w:t>
      </w:r>
      <w:r>
        <w:rPr>
          <w:rFonts w:ascii="Times New Roman" w:hAnsi="Times New Roman" w:cs="Times New Roman"/>
        </w:rPr>
        <w:t xml:space="preserve">spojené s činnosťou </w:t>
      </w:r>
      <w:r w:rsidRPr="00715DEB">
        <w:rPr>
          <w:rFonts w:ascii="Times New Roman" w:hAnsi="Times New Roman" w:cs="Times New Roman"/>
        </w:rPr>
        <w:t xml:space="preserve">športových </w:t>
      </w:r>
      <w:r>
        <w:rPr>
          <w:rFonts w:ascii="Times New Roman" w:hAnsi="Times New Roman" w:cs="Times New Roman"/>
        </w:rPr>
        <w:t>občianskych združení a pod.,</w:t>
      </w:r>
    </w:p>
    <w:p w:rsidR="00672D42" w:rsidP="00672D42">
      <w:pPr>
        <w:spacing w:line="360" w:lineRule="auto"/>
        <w:ind w:firstLine="540"/>
        <w:jc w:val="both"/>
        <w:rPr>
          <w:rFonts w:ascii="Times New Roman" w:hAnsi="Times New Roman" w:cs="Times New Roman"/>
        </w:rPr>
      </w:pPr>
      <w:r>
        <w:rPr>
          <w:rFonts w:ascii="Times New Roman" w:hAnsi="Times New Roman" w:cs="Times New Roman"/>
        </w:rPr>
        <w:t xml:space="preserve"> </w:t>
      </w:r>
      <w:r>
        <w:rPr>
          <w:rFonts w:ascii="Arial Narrow" w:hAnsi="Arial Narrow" w:cs="Times New Roman"/>
        </w:rPr>
        <w:t>•</w:t>
      </w:r>
      <w:r>
        <w:rPr>
          <w:rFonts w:ascii="Times New Roman" w:hAnsi="Times New Roman" w:cs="Times New Roman"/>
        </w:rPr>
        <w:t xml:space="preserve"> 1 507,4 mil. Sk (100,0 %) na náboženské a iné spoločenské služby v podobe poskytovania zariadení a vybavenia pre náboženské a iné spoločenské služby vrátane podpory ich prevádzkovania, údržby a opráv, výplat duchovným a iným činiteľom náboženských inštitúcií, podpory vykonávania náboženských obradov a charitatívnych služieb ako aj podpory civilných, mládežníckych a sociálnych organizácií alebo odborov a politických strán, </w:t>
      </w:r>
    </w:p>
    <w:p w:rsidR="00672D42" w:rsidP="00672D42">
      <w:pPr>
        <w:spacing w:line="360" w:lineRule="auto"/>
        <w:ind w:firstLine="540"/>
        <w:jc w:val="both"/>
        <w:rPr>
          <w:rFonts w:ascii="Times New Roman" w:hAnsi="Times New Roman" w:cs="Times New Roman"/>
        </w:rPr>
      </w:pPr>
      <w:r>
        <w:rPr>
          <w:rFonts w:ascii="Times New Roman" w:hAnsi="Times New Roman" w:cs="Times New Roman"/>
        </w:rPr>
        <w:t xml:space="preserve"> </w:t>
      </w:r>
      <w:r>
        <w:rPr>
          <w:rFonts w:ascii="Arial Narrow" w:hAnsi="Arial Narrow" w:cs="Times New Roman"/>
        </w:rPr>
        <w:t>•</w:t>
      </w:r>
      <w:r>
        <w:rPr>
          <w:rFonts w:ascii="Times New Roman" w:hAnsi="Times New Roman" w:cs="Times New Roman"/>
        </w:rPr>
        <w:t xml:space="preserve"> 357,3 mil. Sk (100,0 %) na vysielacie a vydavateľské služby, do ktorých patria vzťahy k Slovenskému rozhlasu, Slovenskej televízii a Tlačovej agentúre Slovenskej republiky a pod., </w:t>
      </w:r>
    </w:p>
    <w:p w:rsidR="00672D42" w:rsidP="00672D42">
      <w:pPr>
        <w:spacing w:line="360" w:lineRule="auto"/>
        <w:ind w:firstLine="540"/>
        <w:jc w:val="both"/>
        <w:rPr>
          <w:rFonts w:ascii="Times New Roman" w:hAnsi="Times New Roman" w:cs="Times New Roman"/>
        </w:rPr>
      </w:pPr>
      <w:r>
        <w:rPr>
          <w:rFonts w:ascii="Times New Roman" w:hAnsi="Times New Roman" w:cs="Times New Roman"/>
        </w:rPr>
        <w:t xml:space="preserve"> </w:t>
      </w:r>
      <w:r>
        <w:rPr>
          <w:rFonts w:ascii="Arial Narrow" w:hAnsi="Arial Narrow" w:cs="Times New Roman"/>
        </w:rPr>
        <w:t>•</w:t>
      </w:r>
      <w:r>
        <w:rPr>
          <w:rFonts w:ascii="Times New Roman" w:hAnsi="Times New Roman" w:cs="Times New Roman"/>
        </w:rPr>
        <w:t xml:space="preserve"> 2,6 mil. Sk  (99,3 %) na výskum a vývoj v oblasti rekreácie, kultúry a náboženstva,</w:t>
      </w:r>
    </w:p>
    <w:p w:rsidR="00672D42" w:rsidP="00672D42">
      <w:pPr>
        <w:spacing w:line="360" w:lineRule="auto"/>
        <w:ind w:firstLine="540"/>
        <w:jc w:val="both"/>
        <w:rPr>
          <w:rFonts w:ascii="Times New Roman" w:hAnsi="Times New Roman" w:cs="Times New Roman"/>
        </w:rPr>
      </w:pPr>
      <w:r>
        <w:rPr>
          <w:rFonts w:ascii="Times New Roman" w:hAnsi="Times New Roman" w:cs="Times New Roman"/>
        </w:rPr>
        <w:t xml:space="preserve"> </w:t>
      </w:r>
      <w:r>
        <w:rPr>
          <w:rFonts w:ascii="Arial Narrow" w:hAnsi="Arial Narrow" w:cs="Times New Roman"/>
        </w:rPr>
        <w:t>•</w:t>
      </w:r>
      <w:r>
        <w:rPr>
          <w:rFonts w:ascii="Times New Roman" w:hAnsi="Times New Roman" w:cs="Times New Roman"/>
        </w:rPr>
        <w:t xml:space="preserve"> 208,9 mil. Sk (99,4 %) na činnosti v oblasti rekreácie, kultúry a náboženstva, ktoré neboli zatriedené inde ako je zostavovanie, riadenie, koordinácia a monitorovanie rámcových stratégií, plánovanie programov a rozpočtov, podpora športu, rekreácie, kultúry a náboženstva.</w:t>
      </w:r>
    </w:p>
    <w:p w:rsidR="00672D42" w:rsidP="00672D42">
      <w:pPr>
        <w:jc w:val="both"/>
        <w:rPr>
          <w:rFonts w:ascii="Times New Roman" w:hAnsi="Times New Roman" w:cs="Times New Roman"/>
        </w:rPr>
      </w:pPr>
    </w:p>
    <w:p w:rsidR="00672D42" w:rsidP="00672D42">
      <w:pPr>
        <w:spacing w:line="360" w:lineRule="auto"/>
        <w:ind w:firstLine="708"/>
        <w:jc w:val="both"/>
        <w:rPr>
          <w:rFonts w:ascii="Times New Roman" w:hAnsi="Times New Roman" w:cs="Times New Roman"/>
        </w:rPr>
      </w:pPr>
      <w:r w:rsidRPr="0096069D">
        <w:rPr>
          <w:rFonts w:ascii="Wingdings" w:hAnsi="Wingdings" w:cs="Times New Roman"/>
        </w:rPr>
        <w:sym w:font="Wingdings" w:char="F0D8"/>
      </w:r>
      <w:r>
        <w:rPr>
          <w:rFonts w:ascii="Times New Roman" w:hAnsi="Times New Roman" w:cs="Times New Roman"/>
          <w:b/>
        </w:rPr>
        <w:t xml:space="preserve"> </w:t>
      </w:r>
      <w:r w:rsidRPr="002D4F95">
        <w:rPr>
          <w:rFonts w:ascii="Times New Roman" w:hAnsi="Times New Roman" w:cs="Times New Roman"/>
          <w:i/>
        </w:rPr>
        <w:t>Oddiel 09 - vzdelávanie</w:t>
      </w:r>
      <w:r w:rsidRPr="009343AC">
        <w:rPr>
          <w:rFonts w:ascii="Times New Roman" w:hAnsi="Times New Roman" w:cs="Times New Roman"/>
          <w:b/>
        </w:rPr>
        <w:t xml:space="preserve">: </w:t>
      </w:r>
      <w:r w:rsidRPr="009343AC">
        <w:rPr>
          <w:rFonts w:ascii="Times New Roman" w:hAnsi="Times New Roman" w:cs="Times New Roman"/>
        </w:rPr>
        <w:t>na potreby</w:t>
      </w:r>
      <w:r w:rsidRPr="009343AC">
        <w:rPr>
          <w:rFonts w:ascii="Times New Roman" w:hAnsi="Times New Roman" w:cs="Times New Roman"/>
          <w:b/>
        </w:rPr>
        <w:t xml:space="preserve"> </w:t>
      </w:r>
      <w:r w:rsidRPr="009343AC">
        <w:rPr>
          <w:rFonts w:ascii="Times New Roman" w:hAnsi="Times New Roman" w:cs="Times New Roman"/>
        </w:rPr>
        <w:t xml:space="preserve">v odvetví </w:t>
      </w:r>
      <w:r w:rsidRPr="002D4F95">
        <w:rPr>
          <w:rFonts w:ascii="Times New Roman" w:hAnsi="Times New Roman" w:cs="Times New Roman"/>
        </w:rPr>
        <w:t>vzdelávania sa</w:t>
      </w:r>
      <w:r>
        <w:rPr>
          <w:rFonts w:ascii="Times New Roman" w:hAnsi="Times New Roman" w:cs="Times New Roman"/>
        </w:rPr>
        <w:t xml:space="preserve"> v </w:t>
      </w:r>
      <w:r w:rsidRPr="002D4F95">
        <w:rPr>
          <w:rFonts w:ascii="Times New Roman" w:hAnsi="Times New Roman" w:cs="Times New Roman"/>
        </w:rPr>
        <w:t>štátn</w:t>
      </w:r>
      <w:r>
        <w:rPr>
          <w:rFonts w:ascii="Times New Roman" w:hAnsi="Times New Roman" w:cs="Times New Roman"/>
        </w:rPr>
        <w:t>om rozpočte vyčlenilo 44 732,7 mil. Sk, ktoré sa rozpočtovými opatreniami mierne zvýšili na 44 967,2 mil. Sk. Skutočné čerpanie týchto výdavkov dosiahlo 45 005,0 mil. Sk (100,1 %)</w:t>
      </w:r>
      <w:r w:rsidRPr="009343AC">
        <w:rPr>
          <w:rFonts w:ascii="Times New Roman" w:hAnsi="Times New Roman" w:cs="Times New Roman"/>
        </w:rPr>
        <w:t xml:space="preserve"> </w:t>
      </w:r>
      <w:r>
        <w:rPr>
          <w:rFonts w:ascii="Times New Roman" w:hAnsi="Times New Roman" w:cs="Times New Roman"/>
        </w:rPr>
        <w:t>a financovali sa nimi tieto základné potreby školstva:</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predškolská vý</w:t>
      </w:r>
      <w:r>
        <w:rPr>
          <w:rFonts w:ascii="Times New Roman" w:hAnsi="Times New Roman" w:cs="Times New Roman"/>
        </w:rPr>
        <w:t>chova a základné vzdelanie 18 110,0 mil. Sk (100,1 %),</w:t>
      </w:r>
    </w:p>
    <w:p w:rsidR="00672D42" w:rsidP="00672D42">
      <w:pPr>
        <w:spacing w:before="120"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stredoškolské vzdelanie v osemročných gymnáziách, gymnáziách, športových gymnáziách, stredných odborných školách, stredných odborných školách umeleckého zamerania, stredných odborných učilištiach a odborných učilištiach, združených školách 12 470,5 mil. Sk (100,1 %),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vysokoškolské vzdelávanie a v jeho rámci prvý, druhý a tretí stupeň vysokoškolského vzdelávania 10 186,6 mil. Sk (100,0 %),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služby v školstve, poskytovanie pomocných služieb pridružených k školstvu, napr. v oblasti stravovania, dopravy, ubytovania, lekárskej a stomatologickej starostlivosti a nadväzných pridružených služieb žiakom a študentom a škôl v prírode 1 753,1 mil. Sk (101,2 %),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vzdelávanie nedefinovateľné podľa úrovne - sem patria vzdelávacie programy najmä pre dospelých, ktoré nevyžadujú žiadne predchádzajúce vzdelanie, najmä odborný výcvik a kultúrny rozvoj 515,2 mil. Sk (100,0 %),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výskum a vývoj v oblasti vzdelávania 94,0 mil. Sk (100,0 %),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vzdelávanie inde nezatriedené, napr. zostavovanie, riadenie, koordinácia a monitorovanie rámcových vzdelávacích stratégií, plánov, programov a rozpočtov, príprava a uplatňovanie legislatívy a noriem na poskytovanie vzdelávania vrátane udeľovania povolení pre vzdelávacie inštitúcie a p</w:t>
      </w:r>
      <w:r>
        <w:rPr>
          <w:rFonts w:ascii="Times New Roman" w:hAnsi="Times New Roman" w:cs="Times New Roman"/>
        </w:rPr>
        <w:t>od. v úhrnnej výške 1 875,4 mil. Sk (99,6 %),</w:t>
      </w:r>
    </w:p>
    <w:p w:rsidR="00672D42" w:rsidP="0096069D">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pomaturitné  vzdelávanie 0,2 mil. Sk (100,0 %),</w:t>
      </w:r>
    </w:p>
    <w:p w:rsidR="00672D42" w:rsidP="00672D42">
      <w:pPr>
        <w:jc w:val="both"/>
        <w:rPr>
          <w:rFonts w:ascii="Times New Roman" w:hAnsi="Times New Roman" w:cs="Times New Roman"/>
        </w:rPr>
      </w:pPr>
    </w:p>
    <w:p w:rsidR="00672D42" w:rsidP="00672D42">
      <w:pPr>
        <w:spacing w:line="360" w:lineRule="auto"/>
        <w:ind w:firstLine="708"/>
        <w:jc w:val="both"/>
        <w:rPr>
          <w:rFonts w:ascii="Times New Roman" w:hAnsi="Times New Roman" w:cs="Times New Roman"/>
        </w:rPr>
      </w:pPr>
      <w:r w:rsidRPr="0096069D">
        <w:rPr>
          <w:rFonts w:ascii="Wingdings" w:hAnsi="Wingdings" w:cs="Times New Roman"/>
        </w:rPr>
        <w:sym w:font="Wingdings" w:char="F0D8"/>
      </w:r>
      <w:r>
        <w:rPr>
          <w:rFonts w:ascii="Times New Roman" w:hAnsi="Times New Roman" w:cs="Times New Roman"/>
          <w:b/>
        </w:rPr>
        <w:t xml:space="preserve"> </w:t>
      </w:r>
      <w:r w:rsidRPr="00202CE9">
        <w:rPr>
          <w:rFonts w:ascii="Times New Roman" w:hAnsi="Times New Roman" w:cs="Times New Roman"/>
          <w:i/>
        </w:rPr>
        <w:t>Oddiel 10 – sociálne zabezpečenie:</w:t>
      </w:r>
      <w:r>
        <w:rPr>
          <w:rFonts w:ascii="Times New Roman" w:hAnsi="Times New Roman" w:cs="Times New Roman"/>
        </w:rPr>
        <w:t xml:space="preserve"> výdavky na sociálne zabezpečenie sa rozpočtovali v celkovom objeme 46 582,1 mil. Sk. Prijatými rozpočtovými opatreniami sa iba mierne znížili na 46 346,6 mil. Sk. V skutočnom plnení vo výške 45 968,4 mil. Sk (99,2 %) sa premietli tieto druhy výdavkov:</w:t>
      </w:r>
    </w:p>
    <w:p w:rsidR="00672D42" w:rsidP="00672D42">
      <w:pPr>
        <w:spacing w:before="120"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22 628,4 mil. Sk (99,5 %) na podporu rodiny a detí formou jednorazových príspevkov (príspevok pri narodení dieťaťa, príspevok rodičom, jednorazové príspevky pestúnskej starostlivosti) a priamych opakovaných príspevkov (prídavky na deti, rodičovský príspevok, zaopatrovací príspevok, odmena pestúna, sociálny príplatok, opakovaný príspevok na úhradu potrieb dieťaťa zvereného do pestúnskej starostlivosti atď.), </w:t>
      </w:r>
    </w:p>
    <w:p w:rsidR="00672D42" w:rsidRPr="001F00FA" w:rsidP="00672D42">
      <w:pPr>
        <w:spacing w:before="120" w:line="360" w:lineRule="auto"/>
        <w:ind w:firstLine="540"/>
        <w:jc w:val="both"/>
        <w:rPr>
          <w:rFonts w:ascii="Times New Roman" w:hAnsi="Times New Roman" w:cs="Times New Roman"/>
        </w:rPr>
      </w:pPr>
      <w:r w:rsidRPr="001F00FA">
        <w:rPr>
          <w:rFonts w:ascii="Times New Roman" w:hAnsi="Times New Roman" w:cs="Times New Roman"/>
        </w:rPr>
        <w:t xml:space="preserve">• 8 450,4 mil. Sk (98,5 %) na sociálnu pomoc občanom v hmotnej a sociálnej núdzi, </w:t>
      </w:r>
    </w:p>
    <w:p w:rsidR="00672D42" w:rsidRPr="001F00FA" w:rsidP="00672D42">
      <w:pPr>
        <w:spacing w:line="360" w:lineRule="auto"/>
        <w:ind w:firstLine="540"/>
        <w:jc w:val="both"/>
        <w:rPr>
          <w:rFonts w:ascii="Times New Roman" w:hAnsi="Times New Roman" w:cs="Times New Roman"/>
        </w:rPr>
      </w:pPr>
      <w:r w:rsidRPr="001F00FA">
        <w:rPr>
          <w:rFonts w:ascii="Times New Roman" w:hAnsi="Times New Roman" w:cs="Times New Roman"/>
        </w:rPr>
        <w:t xml:space="preserve">• 5 051,9 mil. Sk (100,0 %) na starobu, to znamená poskytovanie sociálnej ochrany v starobe, riadenie, prevádzkovanie alebo podpora takýchto programov sociálneho zabezpečenia,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5 259,2 mil. Sk (99,6 %) na chorobu, invaliditu a ťažké zdravotné postihnutie,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119,4 mil. Sk (88,4 %) na poskytovanie sociálnej ochrany vo forme dávok osobám pozostalým po zomretom (partner, deti, vnuci, rodičia a i</w:t>
      </w:r>
      <w:r>
        <w:rPr>
          <w:rFonts w:ascii="Times New Roman" w:hAnsi="Times New Roman" w:cs="Times New Roman"/>
        </w:rPr>
        <w:t xml:space="preserve">ní príbuzní),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16,4 mil. Sk (100,0 %) na výskum a vývoj v oblasti sociálneho zabezpečenia, </w:t>
      </w:r>
    </w:p>
    <w:p w:rsidR="00672D42" w:rsidP="00672D42">
      <w:pPr>
        <w:spacing w:line="360" w:lineRule="auto"/>
        <w:ind w:firstLine="540"/>
        <w:jc w:val="both"/>
        <w:rPr>
          <w:rFonts w:ascii="Times New Roman" w:hAnsi="Times New Roman" w:cs="Times New Roman"/>
        </w:rPr>
      </w:pPr>
      <w:r>
        <w:rPr>
          <w:rFonts w:ascii="Arial Narrow" w:hAnsi="Arial Narrow" w:cs="Times New Roman"/>
        </w:rPr>
        <w:t>•</w:t>
      </w:r>
      <w:r>
        <w:rPr>
          <w:rFonts w:ascii="Times New Roman" w:hAnsi="Times New Roman" w:cs="Times New Roman"/>
        </w:rPr>
        <w:t xml:space="preserve"> 4 442,7 mil. Sk (97,8 %) na sociálne zabezpečenie inde nezatriedené, napr. poskytovanie dávok obetiam požiarov, záplav, zemetrasení a iných katastrôf v čase mieru, na podporu takých činností ako je zostavovanie, správa, koordinácia a monitorovanie rámcových stratégií, plánov, programov a rozpočtov v oblasti sociálneho zabezpečenia. </w:t>
      </w:r>
    </w:p>
    <w:p w:rsidR="00672D42" w:rsidP="00672D42">
      <w:pPr>
        <w:spacing w:line="360" w:lineRule="auto"/>
        <w:jc w:val="both"/>
        <w:rPr>
          <w:rFonts w:ascii="Times New Roman" w:hAnsi="Times New Roman" w:cs="Times New Roman"/>
        </w:rPr>
      </w:pPr>
    </w:p>
    <w:p w:rsidR="00672D42" w:rsidP="00672D42">
      <w:pPr>
        <w:spacing w:line="360" w:lineRule="auto"/>
        <w:jc w:val="center"/>
        <w:rPr>
          <w:rFonts w:ascii="Times New Roman" w:hAnsi="Times New Roman" w:cs="Times New Roman"/>
          <w:b/>
        </w:rPr>
      </w:pPr>
      <w:r w:rsidRPr="00254E79">
        <w:rPr>
          <w:rFonts w:ascii="Times New Roman" w:hAnsi="Times New Roman" w:cs="Times New Roman"/>
          <w:b/>
        </w:rPr>
        <w:t>2.2.2.1. Výdavky štátneho rozpočtu na vedu a výskum</w:t>
      </w:r>
    </w:p>
    <w:p w:rsidR="00672D42" w:rsidP="00672D42">
      <w:pPr>
        <w:pStyle w:val="Title"/>
        <w:rPr>
          <w:rFonts w:cs="Times New Roman"/>
          <w:sz w:val="22"/>
        </w:rPr>
      </w:pPr>
      <w:r>
        <w:rPr>
          <w:rFonts w:cs="Times New Roman"/>
        </w:rPr>
        <w:tab/>
      </w:r>
    </w:p>
    <w:p w:rsidR="00672D42" w:rsidRPr="001E135D" w:rsidP="000F50C9">
      <w:pPr>
        <w:spacing w:after="120" w:line="360" w:lineRule="auto"/>
        <w:jc w:val="both"/>
        <w:rPr>
          <w:rFonts w:ascii="Times New Roman" w:hAnsi="Times New Roman" w:cs="Times New Roman"/>
        </w:rPr>
      </w:pPr>
      <w:r>
        <w:rPr>
          <w:rFonts w:ascii="Times New Roman" w:hAnsi="Times New Roman" w:cs="Times New Roman"/>
        </w:rPr>
        <w:tab/>
      </w:r>
      <w:r w:rsidRPr="001E135D">
        <w:rPr>
          <w:rFonts w:ascii="Times New Roman" w:hAnsi="Times New Roman" w:cs="Times New Roman"/>
        </w:rPr>
        <w:t xml:space="preserve">Výdavky na výskum a vývoj sa rozpočtovali v rámci jednotlivých funkcií verejnej správy v sume  5 329,4 mil. Sk. Ich objem sa v súlade s koncepciou štátnej politiky a na základe výsledkov analýzy potrieb a priorít v oblasti výskumu a vývoja medziročne zvýšil o 478,1 mil. Sk, na úroveň 0,32 % z HDP v roku 2006. Rozpočtované prostriedky boli určené prevažne na financovanie bežných výdavkov (4 938,8 mil. Sk) a na financovanie rozvoja technickej infraštruktúry rozpočtových a príspevkových organizácií (390,6 mil. Sk). Skutočne čerpané výdavky v objeme 5 308,9 mil. Sk sú v porovnaní s upraveným rozpočtom vyššie o 2,7 %. </w:t>
      </w:r>
    </w:p>
    <w:p w:rsidR="00672D42" w:rsidRPr="001E135D" w:rsidP="000F50C9">
      <w:pPr>
        <w:spacing w:after="120" w:line="360" w:lineRule="auto"/>
        <w:jc w:val="both"/>
        <w:rPr>
          <w:rFonts w:ascii="Times New Roman" w:hAnsi="Times New Roman" w:cs="Times New Roman"/>
        </w:rPr>
      </w:pPr>
      <w:r>
        <w:rPr>
          <w:rFonts w:ascii="Times New Roman" w:hAnsi="Times New Roman" w:cs="Times New Roman"/>
        </w:rPr>
        <w:tab/>
      </w:r>
      <w:r w:rsidRPr="001E135D">
        <w:rPr>
          <w:rFonts w:ascii="Times New Roman" w:hAnsi="Times New Roman" w:cs="Times New Roman"/>
        </w:rPr>
        <w:t xml:space="preserve">Vo vyššie uvedenej sume výdavkov na vedu a výskum sú zarátané len výdavky, ktoré podľa funkčnej klasifikácie sú vykazované na vedu a výskum. Nie </w:t>
      </w:r>
      <w:r>
        <w:rPr>
          <w:rFonts w:ascii="Times New Roman" w:hAnsi="Times New Roman" w:cs="Times New Roman"/>
        </w:rPr>
        <w:t xml:space="preserve">sú tam </w:t>
      </w:r>
      <w:r w:rsidRPr="001E135D">
        <w:rPr>
          <w:rFonts w:ascii="Times New Roman" w:hAnsi="Times New Roman" w:cs="Times New Roman"/>
        </w:rPr>
        <w:t xml:space="preserve">však výdavky, ktoré svojím charakterom tiež patria do výdavkov na vedu a výskum, ale sú podľa funkčnej klasifikácie zaradené do iných skupín, ako napr. osobné náklady na pedagogických pracovníkov vysokých škôl, ktorých pracovnou náplňou je okrem pedagogickej činnosti aj vedecká činnosť (300 až 500 hodín vedeckej činnosti ročne), budovanie Cyklotrónového centra, členské príspevky medzinárodným organizáciám (napr. do Európskej organizácie pre jadrový výskum, Výskumného fondu uhlia a ocele), či čerpanie finančných prostriedkov </w:t>
      </w:r>
      <w:r w:rsidRPr="001E135D">
        <w:rPr>
          <w:rFonts w:ascii="Times New Roman" w:hAnsi="Times New Roman" w:cs="Times New Roman"/>
        </w:rPr>
        <w:t xml:space="preserve">z vnútorných opatrení EÚ. </w:t>
      </w:r>
    </w:p>
    <w:p w:rsidR="00672D42" w:rsidRPr="001E135D" w:rsidP="0083017F">
      <w:pPr>
        <w:spacing w:after="120" w:line="360" w:lineRule="auto"/>
        <w:jc w:val="both"/>
        <w:rPr>
          <w:rFonts w:ascii="Times New Roman" w:hAnsi="Times New Roman" w:cs="Times New Roman"/>
        </w:rPr>
      </w:pPr>
      <w:r>
        <w:rPr>
          <w:rFonts w:ascii="Times New Roman" w:hAnsi="Times New Roman" w:cs="Times New Roman"/>
        </w:rPr>
        <w:tab/>
      </w:r>
      <w:r w:rsidRPr="001E135D">
        <w:rPr>
          <w:rFonts w:ascii="Times New Roman" w:hAnsi="Times New Roman" w:cs="Times New Roman"/>
        </w:rPr>
        <w:t>Z vynaložených prostriedkov pripadlo na financovanie bežných výdavkov 4 475</w:t>
      </w:r>
      <w:r w:rsidR="00B248F0">
        <w:rPr>
          <w:rFonts w:ascii="Times New Roman" w:hAnsi="Times New Roman" w:cs="Times New Roman"/>
        </w:rPr>
        <w:t>,1 mil. Sk (102,7 % z upraveného</w:t>
      </w:r>
      <w:r w:rsidRPr="001E135D">
        <w:rPr>
          <w:rFonts w:ascii="Times New Roman" w:hAnsi="Times New Roman" w:cs="Times New Roman"/>
        </w:rPr>
        <w:t xml:space="preserve"> rozpočtu). Medziročne sa bežné výdavky na výskum a vývoj zvýšili o 238,4 mil. Sk (index skutočnosti 105,6), čo súvisí so zmenami zákonných úprav v oblasti odmeňovania zamestnancov výskumu a vývoja na vysokých školách a v ostatných rozpočtových organizáciách výskumu a vývoja vrátane nadväzujúcich výdavkov (poistné a príspevky do Sociálnej poisťovne a zdravotných poisťovní), ako aj s plnením záväzkov SR v oblasti medzinárodnej vedecko-technickej spolupráce. Prostriedky sa použili na rezortné a medzirezortné výskumné a vývojové programy a úlohy výskumu a vývoja podporované Agentúrou na podporu výskumu a vývoja.</w:t>
      </w:r>
    </w:p>
    <w:p w:rsidR="00672D42" w:rsidRPr="001E135D" w:rsidP="00672D42">
      <w:pPr>
        <w:spacing w:after="120" w:line="360" w:lineRule="auto"/>
        <w:rPr>
          <w:rFonts w:ascii="Times New Roman" w:hAnsi="Times New Roman" w:cs="Times New Roman"/>
        </w:rPr>
      </w:pPr>
      <w:r>
        <w:rPr>
          <w:rFonts w:ascii="Times New Roman" w:hAnsi="Times New Roman" w:cs="Times New Roman"/>
        </w:rPr>
        <w:tab/>
      </w:r>
      <w:r w:rsidRPr="001E135D">
        <w:rPr>
          <w:rFonts w:ascii="Times New Roman" w:hAnsi="Times New Roman" w:cs="Times New Roman"/>
        </w:rPr>
        <w:t>Na kapitálové výdavky sa vynaložilo 833,7 mil. Sk,</w:t>
      </w:r>
      <w:r w:rsidR="00234CF8">
        <w:rPr>
          <w:rFonts w:ascii="Times New Roman" w:hAnsi="Times New Roman" w:cs="Times New Roman"/>
        </w:rPr>
        <w:t xml:space="preserve"> čo je 102,9 % k ich upravenému </w:t>
      </w:r>
      <w:r w:rsidRPr="001E135D">
        <w:rPr>
          <w:rFonts w:ascii="Times New Roman" w:hAnsi="Times New Roman" w:cs="Times New Roman"/>
        </w:rPr>
        <w:t>rozpočtu. Medziročne kapitálové výdavky na výskum a vývoj vzrástli v porovnaní s rokom 2005 o 402,2 mil. Sk (index</w:t>
      </w:r>
      <w:r w:rsidRPr="001E135D">
        <w:rPr>
          <w:rFonts w:ascii="Times New Roman" w:hAnsi="Times New Roman" w:cs="Times New Roman"/>
          <w:color w:val="FF6600"/>
        </w:rPr>
        <w:t xml:space="preserve"> </w:t>
      </w:r>
      <w:r w:rsidRPr="001E135D">
        <w:rPr>
          <w:rFonts w:ascii="Times New Roman" w:hAnsi="Times New Roman" w:cs="Times New Roman"/>
        </w:rPr>
        <w:t xml:space="preserve">skutočnosti 193,2). </w:t>
      </w:r>
    </w:p>
    <w:p w:rsidR="00672D42" w:rsidRPr="000F50C9" w:rsidP="00672D42">
      <w:pPr>
        <w:pStyle w:val="BodyText2"/>
        <w:spacing w:line="360" w:lineRule="auto"/>
        <w:jc w:val="both"/>
        <w:rPr>
          <w:rFonts w:ascii="Times New Roman" w:hAnsi="Times New Roman" w:cs="Times New Roman"/>
          <w:b w:val="0"/>
          <w:sz w:val="24"/>
        </w:rPr>
      </w:pPr>
      <w:r>
        <w:rPr>
          <w:rFonts w:ascii="Times New Roman" w:hAnsi="Times New Roman" w:cs="Times New Roman"/>
          <w:szCs w:val="22"/>
        </w:rPr>
        <w:tab/>
      </w:r>
      <w:r w:rsidRPr="000F50C9">
        <w:rPr>
          <w:rFonts w:ascii="Times New Roman" w:hAnsi="Times New Roman" w:cs="Times New Roman"/>
          <w:b w:val="0"/>
          <w:sz w:val="24"/>
        </w:rPr>
        <w:t>Výdavky na výskum a vývoj sa v rozhodujúcej miere čerpali na programy schválené vládou. Výdavky určené na programy výskumu a vývoja boli poskytnuté prostredníctvom vysokých škôl, Ministerstva hospodárstva SR, Ministerstva pôdohospodárstva SR, pracovísk SAV a iných.</w:t>
      </w:r>
    </w:p>
    <w:p w:rsidR="00D44C26" w:rsidP="0083017F">
      <w:pPr>
        <w:spacing w:after="120" w:line="360" w:lineRule="auto"/>
        <w:jc w:val="both"/>
        <w:rPr>
          <w:rFonts w:ascii="Times New Roman" w:hAnsi="Times New Roman" w:cs="Times New Roman"/>
        </w:rPr>
      </w:pPr>
      <w:r w:rsidRPr="001E135D" w:rsidR="00672D42">
        <w:rPr>
          <w:rFonts w:ascii="Times New Roman" w:hAnsi="Times New Roman" w:cs="Times New Roman"/>
        </w:rPr>
        <w:tab/>
        <w:t>Pokiaľ ide o sociálno-ekonomické ciele sledované podporou výskumu a vývoja, rozhodujúca časť celkových výdavkov smerovala na financovanie základného výskumu (71,7 %) a na aplikovaný výskum a vývoj v ekonomickej oblasti t.j. v oblasti poľnohospodárstva, lesníctva, ťažby, výroby, výstavby, dopravy, spojov a v iných odvetviach vrátane obchodnej a pracovnej oblasti (11,5 %). Zvyšok prostriedkov bol čerpaný na financovanie výskumu a vývoja v oblasti obrany, verejného poriadku a bezpečnosti (4,4 %) a v ostatných oblastiach výskumu a vývoja – ochrana životného prostredia, starostlivosť o zdravie, sociálne zabezpečenie, vzdelávanie a oblasť všeobecných verejných služieb (12,4 %).</w:t>
      </w:r>
    </w:p>
    <w:p w:rsidR="00672D42" w:rsidRPr="0083017F" w:rsidP="0083017F">
      <w:pPr>
        <w:spacing w:after="120" w:line="360" w:lineRule="auto"/>
        <w:jc w:val="both"/>
        <w:rPr>
          <w:rFonts w:ascii="Times New Roman" w:hAnsi="Times New Roman" w:cs="Times New Roman"/>
        </w:rPr>
      </w:pPr>
      <w:r w:rsidRPr="001E135D">
        <w:rPr>
          <w:rFonts w:ascii="Times New Roman" w:hAnsi="Times New Roman" w:cs="Times New Roman"/>
        </w:rPr>
        <w:t xml:space="preserve"> </w:t>
      </w:r>
    </w:p>
    <w:p w:rsidR="00672D42" w:rsidP="00672D42">
      <w:pPr>
        <w:jc w:val="center"/>
        <w:rPr>
          <w:rFonts w:ascii="Times New Roman" w:hAnsi="Times New Roman" w:cs="Times New Roman"/>
          <w:b/>
        </w:rPr>
      </w:pPr>
      <w:r w:rsidRPr="00D25B87">
        <w:rPr>
          <w:rFonts w:ascii="Times New Roman" w:hAnsi="Times New Roman" w:cs="Times New Roman"/>
          <w:b/>
        </w:rPr>
        <w:t>2.2.3. Výdavky štátneho rozpočtu triedené podľa programov</w:t>
      </w:r>
    </w:p>
    <w:p w:rsidR="00672D42" w:rsidP="00672D42">
      <w:pPr>
        <w:jc w:val="both"/>
        <w:rPr>
          <w:rFonts w:ascii="Times New Roman" w:hAnsi="Times New Roman" w:cs="Times New Roman"/>
          <w:b/>
        </w:rPr>
      </w:pPr>
    </w:p>
    <w:p w:rsidR="00672D42" w:rsidP="00672D42">
      <w:pPr>
        <w:spacing w:before="120" w:line="360" w:lineRule="auto"/>
        <w:ind w:firstLine="708"/>
        <w:jc w:val="both"/>
        <w:rPr>
          <w:rFonts w:ascii="Times New Roman" w:hAnsi="Times New Roman" w:cs="Times New Roman"/>
        </w:rPr>
      </w:pPr>
      <w:r w:rsidRPr="00731B39">
        <w:rPr>
          <w:rFonts w:ascii="Times New Roman" w:hAnsi="Times New Roman" w:cs="Times New Roman"/>
        </w:rPr>
        <w:t>Progra</w:t>
      </w:r>
      <w:r>
        <w:rPr>
          <w:rFonts w:ascii="Times New Roman" w:hAnsi="Times New Roman" w:cs="Times New Roman"/>
        </w:rPr>
        <w:t>mové rozpočtovanie je nástroj na posilnenie strategického plánovania a riadenia. Je súčasťou zavádzania moderného systému riadenia verejných financií, zodpovedajúceho súčasným potrebám. Programové rozpočtovanie triedi rozpočet výdavkov podľa programov a k týmto programom priraďuje disponibilné zdroje, pričom dôležitý je efekt a výsledky, ktoré tieto zdroje dokážu priniesť. Jednoznačná väzba poskytovaných zdrojov a dosahovaných výsledkoch musí byť prítomná pri využívaní zdrojov tak, aby výdavky smerovali do oblastí, kde prinesú spoločnosti najväčší prínos. Tento systém  pri správnom uplatňovaní umožňuje posilniť strednodobý charakter rozpočtovania, vyhnúť sa fiškálnemu stresu, zvýšiť efektívnosť použitia rozpočtových prostriedkov, zvýšiť transparentnosť štátneho rozpočtu a informovanosť o tom, do ktorých oblastí jeho z</w:t>
      </w:r>
      <w:r>
        <w:rPr>
          <w:rFonts w:ascii="Times New Roman" w:hAnsi="Times New Roman" w:cs="Times New Roman"/>
        </w:rPr>
        <w:t xml:space="preserve">droje smerujú. </w:t>
      </w:r>
    </w:p>
    <w:p w:rsidR="00672D42" w:rsidP="00672D42">
      <w:pPr>
        <w:spacing w:before="120" w:line="360" w:lineRule="auto"/>
        <w:ind w:firstLine="708"/>
        <w:jc w:val="both"/>
        <w:rPr>
          <w:rFonts w:ascii="Times New Roman" w:hAnsi="Times New Roman" w:cs="Times New Roman"/>
        </w:rPr>
      </w:pPr>
      <w:r>
        <w:rPr>
          <w:rFonts w:ascii="Times New Roman" w:hAnsi="Times New Roman" w:cs="Times New Roman"/>
        </w:rPr>
        <w:t xml:space="preserve">V súčasnosti je vo všetkých rozpočtových kapitolách zavedené programové rozpočtovanie a stabilizované programy, ktoré vyjadrujú, na aký účel sa rozpočtové prostriedky vynakladajú. Zámerom programového rozpočtovania v rozpočtovom roku 2006 a ďalších rokoch bolo skvalitňovať programové štruktúry v rozpočtových kapitolách, predovšetkým skvalitňovaním formulovania zámerov, cieľov a merateľných ukazovateľov, ktoré by bolo možné transparentne hodnotiť z hľadiska dosiahnutých výsledkov pri plnení zámerov  štátneho rozpočtu. </w:t>
      </w:r>
    </w:p>
    <w:p w:rsidR="0096069D" w:rsidP="00D44C26">
      <w:pPr>
        <w:spacing w:before="120" w:line="360" w:lineRule="auto"/>
        <w:ind w:firstLine="708"/>
        <w:jc w:val="both"/>
        <w:rPr>
          <w:rFonts w:ascii="Times New Roman" w:hAnsi="Times New Roman" w:cs="Times New Roman"/>
        </w:rPr>
      </w:pPr>
      <w:r w:rsidR="00672D42">
        <w:rPr>
          <w:rFonts w:ascii="Times New Roman" w:hAnsi="Times New Roman" w:cs="Times New Roman"/>
        </w:rPr>
        <w:t xml:space="preserve">Výdavky štátneho rozpočtu realizované v rozpočtovom roku 2006 podľa konkrétnych programov v jednotlivých rozpočtových kapitolách sú uvedené v tabuľke </w:t>
      </w:r>
      <w:r w:rsidRPr="006E6FDB" w:rsidR="00672D42">
        <w:rPr>
          <w:rFonts w:ascii="Times New Roman" w:hAnsi="Times New Roman" w:cs="Times New Roman"/>
          <w:color w:val="000000"/>
        </w:rPr>
        <w:t>č. 1</w:t>
      </w:r>
      <w:r w:rsidR="00672D42">
        <w:rPr>
          <w:rFonts w:ascii="Times New Roman" w:hAnsi="Times New Roman" w:cs="Times New Roman"/>
          <w:color w:val="000000"/>
        </w:rPr>
        <w:t>3</w:t>
      </w:r>
      <w:r w:rsidR="00672D42">
        <w:rPr>
          <w:rFonts w:ascii="Times New Roman" w:hAnsi="Times New Roman" w:cs="Times New Roman"/>
        </w:rPr>
        <w:t xml:space="preserve"> v tabuľkovej časti štátneho záverečného účtu.</w:t>
      </w:r>
    </w:p>
    <w:p w:rsidR="00D44C26" w:rsidP="00D44C26">
      <w:pPr>
        <w:spacing w:before="120" w:line="360" w:lineRule="auto"/>
        <w:ind w:firstLine="708"/>
        <w:jc w:val="both"/>
        <w:rPr>
          <w:rFonts w:ascii="Times New Roman" w:hAnsi="Times New Roman" w:cs="Times New Roman"/>
        </w:rPr>
      </w:pPr>
    </w:p>
    <w:p w:rsidR="00672D42" w:rsidP="00672D42">
      <w:pPr>
        <w:numPr>
          <w:ilvl w:val="2"/>
          <w:numId w:val="79"/>
        </w:numPr>
        <w:tabs>
          <w:tab w:val="left" w:pos="720"/>
        </w:tabs>
        <w:spacing w:before="120"/>
        <w:jc w:val="center"/>
        <w:rPr>
          <w:rFonts w:ascii="Times New Roman" w:hAnsi="Times New Roman" w:cs="Times New Roman"/>
          <w:b/>
        </w:rPr>
      </w:pPr>
      <w:r w:rsidRPr="004647D8">
        <w:rPr>
          <w:rFonts w:ascii="Times New Roman" w:hAnsi="Times New Roman" w:cs="Times New Roman"/>
          <w:b/>
        </w:rPr>
        <w:t>Príjmy a výdavky štátneho rozpočtu triedené podľa zdrojov</w:t>
      </w:r>
    </w:p>
    <w:p w:rsidR="00672D42" w:rsidP="00672D42">
      <w:pPr>
        <w:jc w:val="center"/>
        <w:rPr>
          <w:rFonts w:ascii="Times New Roman" w:hAnsi="Times New Roman" w:cs="Times New Roman"/>
          <w:b/>
        </w:rPr>
      </w:pPr>
    </w:p>
    <w:p w:rsidR="00672D42" w:rsidP="00672D42">
      <w:pPr>
        <w:spacing w:before="120" w:line="360" w:lineRule="auto"/>
        <w:ind w:firstLine="708"/>
        <w:jc w:val="both"/>
        <w:rPr>
          <w:rFonts w:ascii="Times New Roman" w:hAnsi="Times New Roman" w:cs="Times New Roman"/>
        </w:rPr>
      </w:pPr>
      <w:r>
        <w:rPr>
          <w:rFonts w:ascii="Times New Roman" w:hAnsi="Times New Roman" w:cs="Times New Roman"/>
        </w:rPr>
        <w:t>O</w:t>
      </w:r>
      <w:r w:rsidRPr="001057AF">
        <w:rPr>
          <w:rFonts w:ascii="Times New Roman" w:hAnsi="Times New Roman" w:cs="Times New Roman"/>
        </w:rPr>
        <w:t>bjem príjmov</w:t>
      </w:r>
      <w:r>
        <w:rPr>
          <w:rFonts w:ascii="Times New Roman" w:hAnsi="Times New Roman" w:cs="Times New Roman"/>
        </w:rPr>
        <w:t xml:space="preserve"> </w:t>
      </w:r>
      <w:r w:rsidRPr="0037268F">
        <w:rPr>
          <w:rFonts w:ascii="Times New Roman" w:hAnsi="Times New Roman" w:cs="Times New Roman"/>
        </w:rPr>
        <w:t>št</w:t>
      </w:r>
      <w:r>
        <w:rPr>
          <w:rFonts w:ascii="Times New Roman" w:hAnsi="Times New Roman" w:cs="Times New Roman"/>
        </w:rPr>
        <w:t xml:space="preserve">átneho rozpočtu na rok 2006 bol určený sumou 272 717,0 mil. Sk. Daňové a nedaňové príjmy sa na takto stanovenom rozpočte podieľali sumou 230 623,4 mil. Sk (84,6 % z celkových rozpočtovaných príjmov) a tuzemské granty a transfery sumou 14 213,3 mil. Sk (5,2 % z celkových príjmov). Transfery z rozpočtu Európskej únie sa podieľali na rozpočte príjmov sumou 27 880,3 mil. Sk (10,2 % z celkových príjmov). V rozpočtovaných transferoch z rozpočtu Európskej únie bola zahrnutá aj priznaná špeciálna kompenzačná platba v kapitole Všeobecná pokladničná správa v rozpočtovanej sume 482,2 mil. Sk, ktorá nie je účelovo viazaná, a preto sa ňou kryjú výdavky štátneho rozpočtu bez účelového určenia. </w:t>
      </w:r>
    </w:p>
    <w:p w:rsidR="00672D42" w:rsidP="00672D42">
      <w:pPr>
        <w:spacing w:before="120" w:line="360" w:lineRule="auto"/>
        <w:ind w:firstLine="708"/>
        <w:jc w:val="both"/>
        <w:rPr>
          <w:rFonts w:ascii="Times New Roman" w:hAnsi="Times New Roman" w:cs="Times New Roman"/>
        </w:rPr>
      </w:pPr>
      <w:r>
        <w:rPr>
          <w:rFonts w:ascii="Times New Roman" w:hAnsi="Times New Roman" w:cs="Times New Roman"/>
        </w:rPr>
        <w:t>Po vykonaných rozpočtových opatreniach sa objem transferov z rozpočtu Európskej únie znížil na 20 895,5 mil. Sk, čím sa zohľadnili reálne možnosti použitia týchto prostriedkov na financovanie spoločných programov v štátnom rozpočte. Skutočné transfery prijaté z rozpočtu Európskej únie dosiahli 20 420,7 mil. Sk (plnenie upraveného rozpočtu na 97,7 %).</w:t>
      </w:r>
    </w:p>
    <w:p w:rsidR="00672D42" w:rsidP="00672D42">
      <w:pPr>
        <w:spacing w:before="120" w:line="360" w:lineRule="auto"/>
        <w:ind w:firstLine="708"/>
        <w:jc w:val="both"/>
        <w:rPr>
          <w:rFonts w:ascii="Times New Roman" w:hAnsi="Times New Roman" w:cs="Times New Roman"/>
        </w:rPr>
      </w:pPr>
      <w:r>
        <w:rPr>
          <w:rFonts w:ascii="Times New Roman" w:hAnsi="Times New Roman" w:cs="Times New Roman"/>
        </w:rPr>
        <w:t>Zdroje z prostriedkov Európskej sa mali podieľať na celkových výdavkoch štátneho rozpočtu na rok 2006 (330 185,1 mil. Sk) sumou 27 403,9 mil. Sk, čo predstavuje 8,3 %-ný podiel na celkových výdavkoch. Po úprave rozpočtu v priebehu rozpočtového roku, v ktorej sa zohľadnili reálne možnosti využitia prostriedkov na finančné zabezpečenie spoločných programov v podmienkach Slovenskej republiky, sa objem týchto výdavkov</w:t>
      </w:r>
      <w:r w:rsidRPr="0037268F">
        <w:rPr>
          <w:rFonts w:ascii="Times New Roman" w:hAnsi="Times New Roman" w:cs="Times New Roman"/>
        </w:rPr>
        <w:t xml:space="preserve"> </w:t>
      </w:r>
      <w:r>
        <w:rPr>
          <w:rFonts w:ascii="Times New Roman" w:hAnsi="Times New Roman" w:cs="Times New Roman"/>
        </w:rPr>
        <w:t>znížil na 21 162,0 mil. S</w:t>
      </w:r>
      <w:r>
        <w:rPr>
          <w:rFonts w:ascii="Times New Roman" w:hAnsi="Times New Roman" w:cs="Times New Roman"/>
        </w:rPr>
        <w:t xml:space="preserve">k. </w:t>
      </w:r>
    </w:p>
    <w:p w:rsidR="00672D42" w:rsidP="00672D42">
      <w:pPr>
        <w:spacing w:before="120" w:line="360" w:lineRule="auto"/>
        <w:ind w:firstLine="708"/>
        <w:jc w:val="both"/>
        <w:rPr>
          <w:rFonts w:ascii="Times New Roman" w:hAnsi="Times New Roman" w:cs="Times New Roman"/>
        </w:rPr>
      </w:pPr>
      <w:r>
        <w:rPr>
          <w:rFonts w:ascii="Times New Roman" w:hAnsi="Times New Roman" w:cs="Times New Roman"/>
        </w:rPr>
        <w:t>Zo skutočne vynaložených celkových výdavkov štátneho rozpočtu v objeme 323 654,9 mil. Sk tvorili výdavky, ktorých zdrojmi boli  prostriedky Európskej únie 20 910,6 mil. Sk (t.j. 6,5 % z celkových dosiahnutých výdavkov). Podrobnejšie údaje o výdavkoch štátneho rozpočtu podľa kategórií rozpočtovej klasifikácie ako aj podľa zdrojov (vlastné prostriedky štátneho rozpočtu, prostriedky Európskej únie a spolufinancovanie spoločných programov zo štátneho rozpočtu) poskytuje tento prehľad:</w:t>
      </w:r>
    </w:p>
    <w:p w:rsidR="00672D42" w:rsidP="00672D42">
      <w:pPr>
        <w:spacing w:line="360" w:lineRule="auto"/>
        <w:ind w:firstLine="708"/>
        <w:jc w:val="both"/>
        <w:rPr>
          <w:rFonts w:ascii="Times New Roman" w:hAnsi="Times New Roman" w:cs="Times New Roman"/>
        </w:rPr>
      </w:pPr>
      <w:r>
        <w:rPr>
          <w:rFonts w:ascii="Times New Roman" w:hAnsi="Times New Roman" w:cs="Times New Roman"/>
        </w:rPr>
        <w:t>Z celkových výdavkov v</w:t>
      </w:r>
      <w:r>
        <w:rPr>
          <w:rFonts w:ascii="Times New Roman" w:hAnsi="Times New Roman" w:cs="Times New Roman"/>
        </w:rPr>
        <w:t> úhrnnej sume 323 654,9 mil. Sk (100,0 %) sa:</w:t>
      </w:r>
    </w:p>
    <w:p w:rsidR="00672D42" w:rsidP="0096069D">
      <w:pPr>
        <w:numPr>
          <w:ilvl w:val="0"/>
          <w:numId w:val="92"/>
        </w:numPr>
        <w:tabs>
          <w:tab w:val="clear" w:pos="1320"/>
        </w:tabs>
        <w:spacing w:line="360" w:lineRule="auto"/>
        <w:ind w:left="0" w:firstLine="360"/>
        <w:jc w:val="both"/>
        <w:rPr>
          <w:rFonts w:ascii="Times New Roman" w:hAnsi="Times New Roman" w:cs="Times New Roman"/>
        </w:rPr>
      </w:pPr>
      <w:r>
        <w:rPr>
          <w:rFonts w:ascii="Times New Roman" w:hAnsi="Times New Roman" w:cs="Times New Roman"/>
        </w:rPr>
        <w:t xml:space="preserve">vlastnými zdrojmi štátneho rozpočtu kryli rozpočtované potreby vo výške 302 744,3 mil. Sk (93,5 %), </w:t>
      </w:r>
    </w:p>
    <w:p w:rsidR="00672D42" w:rsidRPr="0096069D" w:rsidP="0096069D">
      <w:pPr>
        <w:numPr>
          <w:ilvl w:val="0"/>
          <w:numId w:val="92"/>
        </w:numPr>
        <w:tabs>
          <w:tab w:val="clear" w:pos="1320"/>
        </w:tabs>
        <w:spacing w:line="360" w:lineRule="auto"/>
        <w:ind w:left="0" w:firstLine="360"/>
        <w:jc w:val="both"/>
        <w:rPr>
          <w:rFonts w:ascii="Times New Roman" w:hAnsi="Times New Roman" w:cs="Times New Roman"/>
        </w:rPr>
      </w:pPr>
      <w:r>
        <w:rPr>
          <w:rFonts w:ascii="Times New Roman" w:hAnsi="Times New Roman" w:cs="Times New Roman"/>
        </w:rPr>
        <w:t xml:space="preserve">zo zdrojov rozpočtu Európskej únie financovali rozpočtované programy v sume 20 910,6 mil. Sk (6,5 %), </w:t>
      </w:r>
    </w:p>
    <w:tbl>
      <w:tblPr>
        <w:tblW w:w="9480" w:type="dxa"/>
        <w:tblInd w:w="55" w:type="dxa"/>
        <w:tblCellMar>
          <w:left w:w="70" w:type="dxa"/>
          <w:right w:w="70" w:type="dxa"/>
        </w:tblCellMar>
      </w:tblPr>
      <w:tblGrid>
        <w:gridCol w:w="1180"/>
        <w:gridCol w:w="2960"/>
        <w:gridCol w:w="1480"/>
        <w:gridCol w:w="1220"/>
        <w:gridCol w:w="1280"/>
        <w:gridCol w:w="1360"/>
      </w:tblGrid>
      <w:tr>
        <w:tblPrEx>
          <w:tblW w:w="9480" w:type="dxa"/>
          <w:tblInd w:w="55" w:type="dxa"/>
          <w:tblCellMar>
            <w:left w:w="70" w:type="dxa"/>
            <w:right w:w="70" w:type="dxa"/>
          </w:tblCellMar>
        </w:tblPrEx>
        <w:trPr>
          <w:trHeight w:val="840"/>
        </w:trPr>
        <w:tc>
          <w:tcPr>
            <w:tcW w:w="1180" w:type="dxa"/>
            <w:tcBorders>
              <w:top w:val="single" w:sz="8" w:space="0" w:color="auto"/>
              <w:left w:val="single" w:sz="8" w:space="0" w:color="auto"/>
              <w:bottom w:val="single" w:sz="8" w:space="0" w:color="auto"/>
              <w:right w:val="single" w:sz="4" w:space="0" w:color="auto"/>
              <w:tl2br w:val="nil"/>
              <w:tr2bl w:val="nil"/>
            </w:tcBorders>
            <w:textDirection w:val="lrTb"/>
            <w:vAlign w:val="center"/>
          </w:tcPr>
          <w:p w:rsidR="00F42A14">
            <w:pPr>
              <w:jc w:val="center"/>
              <w:rPr>
                <w:rFonts w:ascii="Times New Roman" w:hAnsi="Times New Roman" w:cs="Times New Roman"/>
                <w:b/>
                <w:bCs/>
                <w:sz w:val="20"/>
                <w:szCs w:val="20"/>
              </w:rPr>
            </w:pPr>
            <w:bookmarkStart w:id="0" w:name="RANGE!A1:F44"/>
            <w:r>
              <w:rPr>
                <w:rFonts w:ascii="Times New Roman" w:hAnsi="Times New Roman" w:cs="Times New Roman"/>
                <w:b/>
                <w:bCs/>
                <w:sz w:val="20"/>
                <w:szCs w:val="20"/>
              </w:rPr>
              <w:t>Rozpoč</w:t>
            </w:r>
            <w:r>
              <w:rPr>
                <w:rFonts w:ascii="Times New Roman" w:hAnsi="Times New Roman" w:cs="Times New Roman"/>
                <w:b/>
                <w:bCs/>
                <w:sz w:val="20"/>
                <w:szCs w:val="20"/>
              </w:rPr>
              <w:t>tová   klasifikácia</w:t>
            </w:r>
            <w:bookmarkEnd w:id="0"/>
          </w:p>
        </w:tc>
        <w:tc>
          <w:tcPr>
            <w:tcW w:w="2960" w:type="dxa"/>
            <w:tcBorders>
              <w:top w:val="single" w:sz="8" w:space="0" w:color="auto"/>
              <w:left w:val="nil"/>
              <w:bottom w:val="single" w:sz="8" w:space="0" w:color="auto"/>
              <w:right w:val="single" w:sz="4" w:space="0" w:color="auto"/>
              <w:tl2br w:val="nil"/>
              <w:tr2bl w:val="nil"/>
            </w:tcBorders>
            <w:textDirection w:val="lrTb"/>
            <w:vAlign w:val="center"/>
          </w:tcPr>
          <w:p w:rsidR="00F42A14">
            <w:pPr>
              <w:jc w:val="center"/>
              <w:rPr>
                <w:rFonts w:ascii="Times New Roman" w:hAnsi="Times New Roman" w:cs="Times New Roman"/>
                <w:b/>
                <w:bCs/>
                <w:sz w:val="20"/>
                <w:szCs w:val="20"/>
              </w:rPr>
            </w:pPr>
            <w:r>
              <w:rPr>
                <w:rFonts w:ascii="Times New Roman" w:hAnsi="Times New Roman" w:cs="Times New Roman"/>
                <w:b/>
                <w:bCs/>
                <w:sz w:val="20"/>
                <w:szCs w:val="20"/>
              </w:rPr>
              <w:t xml:space="preserve">Druh výdavkov </w:t>
            </w:r>
          </w:p>
        </w:tc>
        <w:tc>
          <w:tcPr>
            <w:tcW w:w="1480" w:type="dxa"/>
            <w:tcBorders>
              <w:top w:val="single" w:sz="8" w:space="0" w:color="auto"/>
              <w:left w:val="nil"/>
              <w:bottom w:val="single" w:sz="8" w:space="0" w:color="auto"/>
              <w:right w:val="single" w:sz="4" w:space="0" w:color="auto"/>
              <w:tl2br w:val="nil"/>
              <w:tr2bl w:val="nil"/>
            </w:tcBorders>
            <w:textDirection w:val="lrTb"/>
            <w:vAlign w:val="center"/>
          </w:tcPr>
          <w:p w:rsidR="00F42A14">
            <w:pPr>
              <w:jc w:val="center"/>
              <w:rPr>
                <w:rFonts w:ascii="Times New Roman" w:hAnsi="Times New Roman" w:cs="Times New Roman"/>
                <w:b/>
                <w:bCs/>
                <w:sz w:val="20"/>
                <w:szCs w:val="20"/>
              </w:rPr>
            </w:pPr>
            <w:r>
              <w:rPr>
                <w:rFonts w:ascii="Times New Roman" w:hAnsi="Times New Roman" w:cs="Times New Roman"/>
                <w:b/>
                <w:bCs/>
                <w:sz w:val="20"/>
                <w:szCs w:val="20"/>
              </w:rPr>
              <w:t>Ukazovateľ</w:t>
            </w:r>
          </w:p>
        </w:tc>
        <w:tc>
          <w:tcPr>
            <w:tcW w:w="1220" w:type="dxa"/>
            <w:tcBorders>
              <w:top w:val="single" w:sz="8" w:space="0" w:color="auto"/>
              <w:left w:val="nil"/>
              <w:bottom w:val="single" w:sz="8" w:space="0" w:color="auto"/>
              <w:right w:val="single" w:sz="4" w:space="0" w:color="auto"/>
              <w:tl2br w:val="nil"/>
              <w:tr2bl w:val="nil"/>
            </w:tcBorders>
            <w:textDirection w:val="lrTb"/>
            <w:vAlign w:val="center"/>
          </w:tcPr>
          <w:p w:rsidR="00F42A14">
            <w:pPr>
              <w:jc w:val="center"/>
              <w:rPr>
                <w:rFonts w:ascii="Times New Roman" w:hAnsi="Times New Roman" w:cs="Times New Roman"/>
                <w:b/>
                <w:bCs/>
                <w:sz w:val="20"/>
                <w:szCs w:val="20"/>
              </w:rPr>
            </w:pPr>
            <w:r>
              <w:rPr>
                <w:rFonts w:ascii="Times New Roman" w:hAnsi="Times New Roman" w:cs="Times New Roman"/>
                <w:b/>
                <w:bCs/>
                <w:sz w:val="20"/>
                <w:szCs w:val="20"/>
              </w:rPr>
              <w:t>Výdavky celkom</w:t>
            </w:r>
          </w:p>
        </w:tc>
        <w:tc>
          <w:tcPr>
            <w:tcW w:w="1280" w:type="dxa"/>
            <w:tcBorders>
              <w:top w:val="single" w:sz="8" w:space="0" w:color="auto"/>
              <w:left w:val="nil"/>
              <w:bottom w:val="single" w:sz="8" w:space="0" w:color="auto"/>
              <w:right w:val="single" w:sz="4" w:space="0" w:color="auto"/>
              <w:tl2br w:val="nil"/>
              <w:tr2bl w:val="nil"/>
            </w:tcBorders>
            <w:textDirection w:val="lrTb"/>
            <w:vAlign w:val="center"/>
          </w:tcPr>
          <w:p w:rsidR="00F42A14">
            <w:pPr>
              <w:jc w:val="center"/>
              <w:rPr>
                <w:rFonts w:ascii="Times New Roman" w:hAnsi="Times New Roman" w:cs="Times New Roman"/>
                <w:b/>
                <w:bCs/>
                <w:sz w:val="20"/>
                <w:szCs w:val="20"/>
              </w:rPr>
            </w:pPr>
            <w:r>
              <w:rPr>
                <w:rFonts w:ascii="Times New Roman" w:hAnsi="Times New Roman" w:cs="Times New Roman"/>
                <w:b/>
                <w:bCs/>
                <w:sz w:val="20"/>
                <w:szCs w:val="20"/>
              </w:rPr>
              <w:t>Prostriedky z rozpočtu EÚ</w:t>
            </w:r>
          </w:p>
        </w:tc>
        <w:tc>
          <w:tcPr>
            <w:tcW w:w="1360" w:type="dxa"/>
            <w:tcBorders>
              <w:top w:val="single" w:sz="8" w:space="0" w:color="auto"/>
              <w:left w:val="nil"/>
              <w:bottom w:val="single" w:sz="8" w:space="0" w:color="auto"/>
              <w:right w:val="single" w:sz="8" w:space="0" w:color="auto"/>
              <w:tl2br w:val="nil"/>
              <w:tr2bl w:val="nil"/>
            </w:tcBorders>
            <w:textDirection w:val="lrTb"/>
            <w:vAlign w:val="center"/>
          </w:tcPr>
          <w:p w:rsidR="00F42A14">
            <w:pPr>
              <w:jc w:val="center"/>
              <w:rPr>
                <w:rFonts w:ascii="Times New Roman" w:hAnsi="Times New Roman" w:cs="Times New Roman"/>
                <w:b/>
                <w:bCs/>
                <w:sz w:val="20"/>
                <w:szCs w:val="20"/>
              </w:rPr>
            </w:pPr>
            <w:r>
              <w:rPr>
                <w:rFonts w:ascii="Times New Roman" w:hAnsi="Times New Roman" w:cs="Times New Roman"/>
                <w:b/>
                <w:bCs/>
                <w:sz w:val="20"/>
                <w:szCs w:val="20"/>
              </w:rPr>
              <w:t>Výdavky bez prostriedkov EÚ</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b/>
                <w:bCs/>
                <w:sz w:val="20"/>
                <w:szCs w:val="20"/>
              </w:rPr>
            </w:pPr>
            <w:r>
              <w:rPr>
                <w:rFonts w:ascii="Times New Roman" w:hAnsi="Times New Roman" w:cs="Times New Roman"/>
                <w:b/>
                <w:bCs/>
                <w:sz w:val="20"/>
                <w:szCs w:val="20"/>
              </w:rPr>
              <w:t>600</w:t>
            </w:r>
          </w:p>
        </w:tc>
        <w:tc>
          <w:tcPr>
            <w:tcW w:w="296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b/>
                <w:bCs/>
                <w:sz w:val="20"/>
                <w:szCs w:val="20"/>
              </w:rPr>
            </w:pPr>
            <w:r>
              <w:rPr>
                <w:rFonts w:ascii="Times New Roman" w:hAnsi="Times New Roman" w:cs="Times New Roman"/>
                <w:b/>
                <w:bCs/>
                <w:sz w:val="20"/>
                <w:szCs w:val="20"/>
              </w:rPr>
              <w:t>Bežné výdavky spolu</w:t>
            </w:r>
          </w:p>
        </w:tc>
        <w:tc>
          <w:tcPr>
            <w:tcW w:w="148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b/>
                <w:bCs/>
                <w:sz w:val="20"/>
                <w:szCs w:val="20"/>
              </w:rPr>
            </w:pPr>
            <w:r>
              <w:rPr>
                <w:rFonts w:ascii="Times New Roman" w:hAnsi="Times New Roman" w:cs="Times New Roman"/>
                <w:b/>
                <w:bCs/>
                <w:sz w:val="20"/>
                <w:szCs w:val="20"/>
              </w:rPr>
              <w:t>schv.</w:t>
            </w:r>
            <w:r w:rsidR="00366416">
              <w:rPr>
                <w:rFonts w:ascii="Times New Roman" w:hAnsi="Times New Roman" w:cs="Times New Roman"/>
                <w:b/>
                <w:bCs/>
                <w:sz w:val="20"/>
                <w:szCs w:val="20"/>
              </w:rPr>
              <w:t xml:space="preserve"> </w:t>
            </w:r>
            <w:r>
              <w:rPr>
                <w:rFonts w:ascii="Times New Roman" w:hAnsi="Times New Roman" w:cs="Times New Roman"/>
                <w:b/>
                <w:bCs/>
                <w:sz w:val="20"/>
                <w:szCs w:val="20"/>
              </w:rPr>
              <w:t>rozpočet</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283 409,1</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14 466,1</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268 943,0</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b/>
                <w:bCs/>
                <w:sz w:val="20"/>
                <w:szCs w:val="20"/>
              </w:rPr>
            </w:pPr>
            <w:r>
              <w:rPr>
                <w:rFonts w:ascii="Times New Roman" w:hAnsi="Times New Roman" w:cs="Times New Roman"/>
                <w:b/>
                <w:bCs/>
                <w:sz w:val="20"/>
                <w:szCs w:val="20"/>
              </w:rPr>
              <w:t> </w:t>
            </w:r>
          </w:p>
        </w:tc>
        <w:tc>
          <w:tcPr>
            <w:tcW w:w="296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b/>
                <w:bCs/>
                <w:sz w:val="20"/>
                <w:szCs w:val="20"/>
              </w:rPr>
            </w:pPr>
            <w:r>
              <w:rPr>
                <w:rFonts w:ascii="Times New Roman" w:hAnsi="Times New Roman" w:cs="Times New Roman"/>
                <w:b/>
                <w:bCs/>
                <w:sz w:val="20"/>
                <w:szCs w:val="20"/>
              </w:rPr>
              <w:t> </w:t>
            </w:r>
          </w:p>
        </w:tc>
        <w:tc>
          <w:tcPr>
            <w:tcW w:w="148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b/>
                <w:bCs/>
                <w:sz w:val="20"/>
                <w:szCs w:val="20"/>
              </w:rPr>
            </w:pPr>
            <w:r w:rsidR="00366416">
              <w:rPr>
                <w:rFonts w:ascii="Times New Roman" w:hAnsi="Times New Roman" w:cs="Times New Roman"/>
                <w:b/>
                <w:bCs/>
                <w:sz w:val="20"/>
                <w:szCs w:val="20"/>
              </w:rPr>
              <w:t>U</w:t>
            </w:r>
            <w:r>
              <w:rPr>
                <w:rFonts w:ascii="Times New Roman" w:hAnsi="Times New Roman" w:cs="Times New Roman"/>
                <w:b/>
                <w:bCs/>
                <w:sz w:val="20"/>
                <w:szCs w:val="20"/>
              </w:rPr>
              <w:t>pr.</w:t>
            </w:r>
            <w:r w:rsidR="00366416">
              <w:rPr>
                <w:rFonts w:ascii="Times New Roman" w:hAnsi="Times New Roman" w:cs="Times New Roman"/>
                <w:b/>
                <w:bCs/>
                <w:sz w:val="20"/>
                <w:szCs w:val="20"/>
              </w:rPr>
              <w:t xml:space="preserve"> </w:t>
            </w:r>
            <w:r>
              <w:rPr>
                <w:rFonts w:ascii="Times New Roman" w:hAnsi="Times New Roman" w:cs="Times New Roman"/>
                <w:b/>
                <w:bCs/>
                <w:sz w:val="20"/>
                <w:szCs w:val="20"/>
              </w:rPr>
              <w:t>rozpočet</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283 606,3</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12 703,9</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270 902,4</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b/>
                <w:bCs/>
                <w:sz w:val="20"/>
                <w:szCs w:val="20"/>
              </w:rPr>
            </w:pPr>
            <w:r>
              <w:rPr>
                <w:rFonts w:ascii="Times New Roman" w:hAnsi="Times New Roman" w:cs="Times New Roman"/>
                <w:b/>
                <w:bCs/>
                <w:sz w:val="20"/>
                <w:szCs w:val="20"/>
              </w:rPr>
              <w:t> </w:t>
            </w:r>
          </w:p>
        </w:tc>
        <w:tc>
          <w:tcPr>
            <w:tcW w:w="296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b/>
                <w:bCs/>
                <w:sz w:val="20"/>
                <w:szCs w:val="20"/>
              </w:rPr>
            </w:pPr>
            <w:r>
              <w:rPr>
                <w:rFonts w:ascii="Times New Roman" w:hAnsi="Times New Roman" w:cs="Times New Roman"/>
                <w:b/>
                <w:bCs/>
                <w:sz w:val="20"/>
                <w:szCs w:val="20"/>
              </w:rPr>
              <w:t> </w:t>
            </w:r>
          </w:p>
        </w:tc>
        <w:tc>
          <w:tcPr>
            <w:tcW w:w="148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b/>
                <w:bCs/>
                <w:sz w:val="20"/>
                <w:szCs w:val="20"/>
              </w:rPr>
            </w:pPr>
            <w:r>
              <w:rPr>
                <w:rFonts w:ascii="Times New Roman" w:hAnsi="Times New Roman" w:cs="Times New Roman"/>
                <w:b/>
                <w:bCs/>
                <w:sz w:val="20"/>
                <w:szCs w:val="20"/>
              </w:rPr>
              <w:t>skutočnosť</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282 757,</w:t>
            </w:r>
            <w:r>
              <w:rPr>
                <w:rFonts w:ascii="Times New Roman" w:hAnsi="Times New Roman" w:cs="Times New Roman"/>
                <w:b/>
                <w:bCs/>
                <w:sz w:val="20"/>
                <w:szCs w:val="20"/>
              </w:rPr>
              <w:t>3</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12 452,5</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270 304,8</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b/>
                <w:bCs/>
                <w:sz w:val="20"/>
                <w:szCs w:val="20"/>
              </w:rPr>
            </w:pPr>
            <w:r>
              <w:rPr>
                <w:rFonts w:ascii="Times New Roman" w:hAnsi="Times New Roman" w:cs="Times New Roman"/>
                <w:b/>
                <w:bCs/>
                <w:sz w:val="20"/>
                <w:szCs w:val="20"/>
              </w:rPr>
              <w:t> </w:t>
            </w:r>
          </w:p>
        </w:tc>
        <w:tc>
          <w:tcPr>
            <w:tcW w:w="296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b/>
                <w:bCs/>
                <w:sz w:val="20"/>
                <w:szCs w:val="20"/>
              </w:rPr>
            </w:pPr>
            <w:r>
              <w:rPr>
                <w:rFonts w:ascii="Times New Roman" w:hAnsi="Times New Roman" w:cs="Times New Roman"/>
                <w:b/>
                <w:bCs/>
                <w:sz w:val="20"/>
                <w:szCs w:val="20"/>
              </w:rPr>
              <w:t> </w:t>
            </w:r>
          </w:p>
        </w:tc>
        <w:tc>
          <w:tcPr>
            <w:tcW w:w="148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b/>
                <w:bCs/>
                <w:sz w:val="20"/>
                <w:szCs w:val="20"/>
              </w:rPr>
            </w:pPr>
            <w:r>
              <w:rPr>
                <w:rFonts w:ascii="Times New Roman" w:hAnsi="Times New Roman" w:cs="Times New Roman"/>
                <w:b/>
                <w:bCs/>
                <w:sz w:val="20"/>
                <w:szCs w:val="20"/>
              </w:rPr>
              <w:t>% plnenia</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99,7</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98,0</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99,8</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v tom:</w:t>
            </w:r>
          </w:p>
        </w:tc>
        <w:tc>
          <w:tcPr>
            <w:tcW w:w="148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r>
      <w:tr>
        <w:tblPrEx>
          <w:tblW w:w="9480" w:type="dxa"/>
          <w:tblInd w:w="55" w:type="dxa"/>
          <w:tblCellMar>
            <w:left w:w="70" w:type="dxa"/>
            <w:right w:w="70" w:type="dxa"/>
          </w:tblCellMar>
        </w:tblPrEx>
        <w:trPr>
          <w:trHeight w:val="510"/>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610</w:t>
            </w:r>
          </w:p>
        </w:tc>
        <w:tc>
          <w:tcPr>
            <w:tcW w:w="2960" w:type="dxa"/>
            <w:tcBorders>
              <w:top w:val="nil"/>
              <w:left w:val="nil"/>
              <w:bottom w:val="single" w:sz="4" w:space="0" w:color="auto"/>
              <w:right w:val="single" w:sz="4" w:space="0" w:color="auto"/>
              <w:tl2br w:val="nil"/>
              <w:tr2bl w:val="nil"/>
            </w:tcBorders>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xml:space="preserve">Mzdy, platy, služobné príjmy a ostatné osobné vyrovnania </w:t>
            </w:r>
          </w:p>
        </w:tc>
        <w:tc>
          <w:tcPr>
            <w:tcW w:w="1480" w:type="dxa"/>
            <w:tcBorders>
              <w:top w:val="nil"/>
              <w:left w:val="nil"/>
              <w:bottom w:val="single" w:sz="4" w:space="0" w:color="auto"/>
              <w:right w:val="single" w:sz="4" w:space="0" w:color="auto"/>
              <w:tl2br w:val="nil"/>
              <w:tr2bl w:val="nil"/>
            </w:tcBorders>
            <w:noWrap/>
            <w:textDirection w:val="lrTb"/>
            <w:vAlign w:val="top"/>
          </w:tcPr>
          <w:p w:rsidR="00F42A14">
            <w:pPr>
              <w:rPr>
                <w:rFonts w:ascii="Times New Roman" w:hAnsi="Times New Roman" w:cs="Times New Roman"/>
                <w:sz w:val="20"/>
                <w:szCs w:val="20"/>
              </w:rPr>
            </w:pPr>
            <w:r>
              <w:rPr>
                <w:rFonts w:ascii="Times New Roman" w:hAnsi="Times New Roman" w:cs="Times New Roman"/>
                <w:sz w:val="20"/>
                <w:szCs w:val="20"/>
              </w:rPr>
              <w:t>schv.</w:t>
            </w:r>
            <w:r w:rsidR="00366416">
              <w:rPr>
                <w:rFonts w:ascii="Times New Roman" w:hAnsi="Times New Roman" w:cs="Times New Roman"/>
                <w:sz w:val="20"/>
                <w:szCs w:val="20"/>
              </w:rPr>
              <w:t xml:space="preserve"> </w:t>
            </w:r>
            <w:r>
              <w:rPr>
                <w:rFonts w:ascii="Times New Roman" w:hAnsi="Times New Roman" w:cs="Times New Roman"/>
                <w:sz w:val="20"/>
                <w:szCs w:val="20"/>
              </w:rPr>
              <w:t>rozpočet</w:t>
            </w:r>
          </w:p>
        </w:tc>
        <w:tc>
          <w:tcPr>
            <w:tcW w:w="1220" w:type="dxa"/>
            <w:tcBorders>
              <w:top w:val="nil"/>
              <w:left w:val="nil"/>
              <w:bottom w:val="single" w:sz="4" w:space="0" w:color="auto"/>
              <w:right w:val="single" w:sz="4" w:space="0" w:color="auto"/>
              <w:tl2br w:val="nil"/>
              <w:tr2bl w:val="nil"/>
            </w:tcBorders>
            <w:noWrap/>
            <w:textDirection w:val="lrTb"/>
            <w:vAlign w:val="top"/>
          </w:tcPr>
          <w:p w:rsidR="00F42A14">
            <w:pPr>
              <w:jc w:val="right"/>
              <w:rPr>
                <w:rFonts w:ascii="Times New Roman" w:hAnsi="Times New Roman" w:cs="Times New Roman"/>
                <w:sz w:val="20"/>
                <w:szCs w:val="20"/>
              </w:rPr>
            </w:pPr>
            <w:r>
              <w:rPr>
                <w:rFonts w:ascii="Times New Roman" w:hAnsi="Times New Roman" w:cs="Times New Roman"/>
                <w:sz w:val="20"/>
                <w:szCs w:val="20"/>
              </w:rPr>
              <w:t>38 631,1</w:t>
            </w:r>
          </w:p>
        </w:tc>
        <w:tc>
          <w:tcPr>
            <w:tcW w:w="1280" w:type="dxa"/>
            <w:tcBorders>
              <w:top w:val="nil"/>
              <w:left w:val="nil"/>
              <w:bottom w:val="single" w:sz="4" w:space="0" w:color="auto"/>
              <w:right w:val="single" w:sz="4" w:space="0" w:color="auto"/>
              <w:tl2br w:val="nil"/>
              <w:tr2bl w:val="nil"/>
            </w:tcBorders>
            <w:noWrap/>
            <w:textDirection w:val="lrTb"/>
            <w:vAlign w:val="top"/>
          </w:tcPr>
          <w:p w:rsidR="00F42A14">
            <w:pPr>
              <w:jc w:val="right"/>
              <w:rPr>
                <w:rFonts w:ascii="Times New Roman" w:hAnsi="Times New Roman" w:cs="Times New Roman"/>
                <w:sz w:val="20"/>
                <w:szCs w:val="20"/>
              </w:rPr>
            </w:pPr>
            <w:r>
              <w:rPr>
                <w:rFonts w:ascii="Times New Roman" w:hAnsi="Times New Roman" w:cs="Times New Roman"/>
                <w:sz w:val="20"/>
                <w:szCs w:val="20"/>
              </w:rPr>
              <w:t>0,0</w:t>
            </w:r>
          </w:p>
        </w:tc>
        <w:tc>
          <w:tcPr>
            <w:tcW w:w="1360" w:type="dxa"/>
            <w:tcBorders>
              <w:top w:val="nil"/>
              <w:left w:val="nil"/>
              <w:bottom w:val="single" w:sz="4" w:space="0" w:color="auto"/>
              <w:right w:val="single" w:sz="8" w:space="0" w:color="auto"/>
              <w:tl2br w:val="nil"/>
              <w:tr2bl w:val="nil"/>
            </w:tcBorders>
            <w:noWrap/>
            <w:textDirection w:val="lrTb"/>
            <w:vAlign w:val="top"/>
          </w:tcPr>
          <w:p w:rsidR="00F42A14">
            <w:pPr>
              <w:jc w:val="right"/>
              <w:rPr>
                <w:rFonts w:ascii="Times New Roman" w:hAnsi="Times New Roman" w:cs="Times New Roman"/>
                <w:sz w:val="20"/>
                <w:szCs w:val="20"/>
              </w:rPr>
            </w:pPr>
            <w:r>
              <w:rPr>
                <w:rFonts w:ascii="Times New Roman" w:hAnsi="Times New Roman" w:cs="Times New Roman"/>
                <w:sz w:val="20"/>
                <w:szCs w:val="20"/>
              </w:rPr>
              <w:t>38 631,1</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sidR="00366416">
              <w:rPr>
                <w:rFonts w:ascii="Times New Roman" w:hAnsi="Times New Roman" w:cs="Times New Roman"/>
                <w:sz w:val="20"/>
                <w:szCs w:val="20"/>
              </w:rPr>
              <w:t>U</w:t>
            </w:r>
            <w:r>
              <w:rPr>
                <w:rFonts w:ascii="Times New Roman" w:hAnsi="Times New Roman" w:cs="Times New Roman"/>
                <w:sz w:val="20"/>
                <w:szCs w:val="20"/>
              </w:rPr>
              <w:t>pr.</w:t>
            </w:r>
            <w:r w:rsidR="00366416">
              <w:rPr>
                <w:rFonts w:ascii="Times New Roman" w:hAnsi="Times New Roman" w:cs="Times New Roman"/>
                <w:sz w:val="20"/>
                <w:szCs w:val="20"/>
              </w:rPr>
              <w:t xml:space="preserve"> </w:t>
            </w:r>
            <w:r>
              <w:rPr>
                <w:rFonts w:ascii="Times New Roman" w:hAnsi="Times New Roman" w:cs="Times New Roman"/>
                <w:sz w:val="20"/>
                <w:szCs w:val="20"/>
              </w:rPr>
              <w:t>rozpočet</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38 980,0</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170,5</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38 809,5</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skutočnosť</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38 891,5</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170,5</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38 721,0</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plnenia</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99,8</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100,0</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99,8</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620</w:t>
            </w:r>
          </w:p>
        </w:tc>
        <w:tc>
          <w:tcPr>
            <w:tcW w:w="296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Poistné a príspevok do poisťovní</w:t>
            </w:r>
          </w:p>
        </w:tc>
        <w:tc>
          <w:tcPr>
            <w:tcW w:w="1480" w:type="dxa"/>
            <w:tcBorders>
              <w:top w:val="nil"/>
              <w:left w:val="nil"/>
              <w:bottom w:val="single" w:sz="4" w:space="0" w:color="auto"/>
              <w:right w:val="single" w:sz="4" w:space="0" w:color="auto"/>
              <w:tl2br w:val="nil"/>
              <w:tr2bl w:val="nil"/>
            </w:tcBorders>
            <w:noWrap/>
            <w:textDirection w:val="lrTb"/>
            <w:vAlign w:val="top"/>
          </w:tcPr>
          <w:p w:rsidR="00F42A14">
            <w:pPr>
              <w:rPr>
                <w:rFonts w:ascii="Times New Roman" w:hAnsi="Times New Roman" w:cs="Times New Roman"/>
                <w:sz w:val="20"/>
                <w:szCs w:val="20"/>
              </w:rPr>
            </w:pPr>
            <w:r>
              <w:rPr>
                <w:rFonts w:ascii="Times New Roman" w:hAnsi="Times New Roman" w:cs="Times New Roman"/>
                <w:sz w:val="20"/>
                <w:szCs w:val="20"/>
              </w:rPr>
              <w:t>schv.</w:t>
            </w:r>
            <w:r w:rsidR="00366416">
              <w:rPr>
                <w:rFonts w:ascii="Times New Roman" w:hAnsi="Times New Roman" w:cs="Times New Roman"/>
                <w:sz w:val="20"/>
                <w:szCs w:val="20"/>
              </w:rPr>
              <w:t xml:space="preserve"> </w:t>
            </w:r>
            <w:r>
              <w:rPr>
                <w:rFonts w:ascii="Times New Roman" w:hAnsi="Times New Roman" w:cs="Times New Roman"/>
                <w:sz w:val="20"/>
                <w:szCs w:val="20"/>
              </w:rPr>
              <w:t>rozpočet</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12 613,1</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0,0</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12 613,1</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sidR="00366416">
              <w:rPr>
                <w:rFonts w:ascii="Times New Roman" w:hAnsi="Times New Roman" w:cs="Times New Roman"/>
                <w:sz w:val="20"/>
                <w:szCs w:val="20"/>
              </w:rPr>
              <w:t>U</w:t>
            </w:r>
            <w:r>
              <w:rPr>
                <w:rFonts w:ascii="Times New Roman" w:hAnsi="Times New Roman" w:cs="Times New Roman"/>
                <w:sz w:val="20"/>
                <w:szCs w:val="20"/>
              </w:rPr>
              <w:t>pr.</w:t>
            </w:r>
            <w:r w:rsidR="00366416">
              <w:rPr>
                <w:rFonts w:ascii="Times New Roman" w:hAnsi="Times New Roman" w:cs="Times New Roman"/>
                <w:sz w:val="20"/>
                <w:szCs w:val="20"/>
              </w:rPr>
              <w:t xml:space="preserve"> </w:t>
            </w:r>
            <w:r>
              <w:rPr>
                <w:rFonts w:ascii="Times New Roman" w:hAnsi="Times New Roman" w:cs="Times New Roman"/>
                <w:sz w:val="20"/>
                <w:szCs w:val="20"/>
              </w:rPr>
              <w:t>rozpočet</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12 105,3</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54,6</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12 050,7</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skutočnosť</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12 053,9</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53,9</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12 000,0</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plnenia</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99,6</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98,7</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99,6</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630</w:t>
            </w:r>
          </w:p>
        </w:tc>
        <w:tc>
          <w:tcPr>
            <w:tcW w:w="296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Tovary a služby</w:t>
            </w:r>
          </w:p>
        </w:tc>
        <w:tc>
          <w:tcPr>
            <w:tcW w:w="1480" w:type="dxa"/>
            <w:tcBorders>
              <w:top w:val="nil"/>
              <w:left w:val="nil"/>
              <w:bottom w:val="single" w:sz="4" w:space="0" w:color="auto"/>
              <w:right w:val="single" w:sz="4" w:space="0" w:color="auto"/>
              <w:tl2br w:val="nil"/>
              <w:tr2bl w:val="nil"/>
            </w:tcBorders>
            <w:noWrap/>
            <w:textDirection w:val="lrTb"/>
            <w:vAlign w:val="top"/>
          </w:tcPr>
          <w:p w:rsidR="00F42A14">
            <w:pPr>
              <w:rPr>
                <w:rFonts w:ascii="Times New Roman" w:hAnsi="Times New Roman" w:cs="Times New Roman"/>
                <w:sz w:val="20"/>
                <w:szCs w:val="20"/>
              </w:rPr>
            </w:pPr>
            <w:r>
              <w:rPr>
                <w:rFonts w:ascii="Times New Roman" w:hAnsi="Times New Roman" w:cs="Times New Roman"/>
                <w:sz w:val="20"/>
                <w:szCs w:val="20"/>
              </w:rPr>
              <w:t>schv.</w:t>
            </w:r>
            <w:r w:rsidR="00EE3D3E">
              <w:rPr>
                <w:rFonts w:ascii="Times New Roman" w:hAnsi="Times New Roman" w:cs="Times New Roman"/>
                <w:sz w:val="20"/>
                <w:szCs w:val="20"/>
              </w:rPr>
              <w:t xml:space="preserve"> </w:t>
            </w:r>
            <w:r>
              <w:rPr>
                <w:rFonts w:ascii="Times New Roman" w:hAnsi="Times New Roman" w:cs="Times New Roman"/>
                <w:sz w:val="20"/>
                <w:szCs w:val="20"/>
              </w:rPr>
              <w:t>rozpočet</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43 811,</w:t>
            </w:r>
            <w:r>
              <w:rPr>
                <w:rFonts w:ascii="Times New Roman" w:hAnsi="Times New Roman" w:cs="Times New Roman"/>
                <w:sz w:val="20"/>
                <w:szCs w:val="20"/>
              </w:rPr>
              <w:t>3</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1 935,9</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41 875,4</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sidR="00366416">
              <w:rPr>
                <w:rFonts w:ascii="Times New Roman" w:hAnsi="Times New Roman" w:cs="Times New Roman"/>
                <w:sz w:val="20"/>
                <w:szCs w:val="20"/>
              </w:rPr>
              <w:t>U</w:t>
            </w:r>
            <w:r>
              <w:rPr>
                <w:rFonts w:ascii="Times New Roman" w:hAnsi="Times New Roman" w:cs="Times New Roman"/>
                <w:sz w:val="20"/>
                <w:szCs w:val="20"/>
              </w:rPr>
              <w:t>pr.</w:t>
            </w:r>
            <w:r w:rsidR="00EE3D3E">
              <w:rPr>
                <w:rFonts w:ascii="Times New Roman" w:hAnsi="Times New Roman" w:cs="Times New Roman"/>
                <w:sz w:val="20"/>
                <w:szCs w:val="20"/>
              </w:rPr>
              <w:t xml:space="preserve"> </w:t>
            </w:r>
            <w:r>
              <w:rPr>
                <w:rFonts w:ascii="Times New Roman" w:hAnsi="Times New Roman" w:cs="Times New Roman"/>
                <w:sz w:val="20"/>
                <w:szCs w:val="20"/>
              </w:rPr>
              <w:t>rozpočet</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41 095,6</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547,8</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40 547,8</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skutočnosť</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41 291,3</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538,5</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40 752,8</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plnenia</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100,5</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98,3</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100,5</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640</w:t>
            </w:r>
          </w:p>
        </w:tc>
        <w:tc>
          <w:tcPr>
            <w:tcW w:w="296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Bežné transfery</w:t>
            </w:r>
          </w:p>
        </w:tc>
        <w:tc>
          <w:tcPr>
            <w:tcW w:w="1480" w:type="dxa"/>
            <w:tcBorders>
              <w:top w:val="nil"/>
              <w:left w:val="nil"/>
              <w:bottom w:val="single" w:sz="4" w:space="0" w:color="auto"/>
              <w:right w:val="single" w:sz="4" w:space="0" w:color="auto"/>
              <w:tl2br w:val="nil"/>
              <w:tr2bl w:val="nil"/>
            </w:tcBorders>
            <w:noWrap/>
            <w:textDirection w:val="lrTb"/>
            <w:vAlign w:val="top"/>
          </w:tcPr>
          <w:p w:rsidR="00F42A14">
            <w:pPr>
              <w:rPr>
                <w:rFonts w:ascii="Times New Roman" w:hAnsi="Times New Roman" w:cs="Times New Roman"/>
                <w:sz w:val="20"/>
                <w:szCs w:val="20"/>
              </w:rPr>
            </w:pPr>
            <w:r>
              <w:rPr>
                <w:rFonts w:ascii="Times New Roman" w:hAnsi="Times New Roman" w:cs="Times New Roman"/>
                <w:sz w:val="20"/>
                <w:szCs w:val="20"/>
              </w:rPr>
              <w:t>schv.</w:t>
            </w:r>
            <w:r w:rsidR="00EE3D3E">
              <w:rPr>
                <w:rFonts w:ascii="Times New Roman" w:hAnsi="Times New Roman" w:cs="Times New Roman"/>
                <w:sz w:val="20"/>
                <w:szCs w:val="20"/>
              </w:rPr>
              <w:t xml:space="preserve"> </w:t>
            </w:r>
            <w:r>
              <w:rPr>
                <w:rFonts w:ascii="Times New Roman" w:hAnsi="Times New Roman" w:cs="Times New Roman"/>
                <w:sz w:val="20"/>
                <w:szCs w:val="20"/>
              </w:rPr>
              <w:t>rozpočet</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164 325,7</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12 530,2</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151 795,5</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sidR="00366416">
              <w:rPr>
                <w:rFonts w:ascii="Times New Roman" w:hAnsi="Times New Roman" w:cs="Times New Roman"/>
                <w:sz w:val="20"/>
                <w:szCs w:val="20"/>
              </w:rPr>
              <w:t>U</w:t>
            </w:r>
            <w:r>
              <w:rPr>
                <w:rFonts w:ascii="Times New Roman" w:hAnsi="Times New Roman" w:cs="Times New Roman"/>
                <w:sz w:val="20"/>
                <w:szCs w:val="20"/>
              </w:rPr>
              <w:t>pr.</w:t>
            </w:r>
            <w:r w:rsidR="00EE3D3E">
              <w:rPr>
                <w:rFonts w:ascii="Times New Roman" w:hAnsi="Times New Roman" w:cs="Times New Roman"/>
                <w:sz w:val="20"/>
                <w:szCs w:val="20"/>
              </w:rPr>
              <w:t xml:space="preserve"> </w:t>
            </w:r>
            <w:r>
              <w:rPr>
                <w:rFonts w:ascii="Times New Roman" w:hAnsi="Times New Roman" w:cs="Times New Roman"/>
                <w:sz w:val="20"/>
                <w:szCs w:val="20"/>
              </w:rPr>
              <w:t>rozpočet</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164 828,3</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11 931,0</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152 897,3</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skutočnosť</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164 150,6</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11 689,6</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152 461,0</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plnenia</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99,6</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98,0</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99,7</w:t>
            </w:r>
          </w:p>
        </w:tc>
      </w:tr>
      <w:tr>
        <w:tblPrEx>
          <w:tblW w:w="9480" w:type="dxa"/>
          <w:tblInd w:w="55" w:type="dxa"/>
          <w:tblCellMar>
            <w:left w:w="70" w:type="dxa"/>
            <w:right w:w="70" w:type="dxa"/>
          </w:tblCellMar>
        </w:tblPrEx>
        <w:trPr>
          <w:trHeight w:val="510"/>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650</w:t>
            </w:r>
          </w:p>
        </w:tc>
        <w:tc>
          <w:tcPr>
            <w:tcW w:w="2960" w:type="dxa"/>
            <w:tcBorders>
              <w:top w:val="nil"/>
              <w:left w:val="nil"/>
              <w:bottom w:val="single" w:sz="4" w:space="0" w:color="auto"/>
              <w:right w:val="single" w:sz="4" w:space="0" w:color="auto"/>
              <w:tl2br w:val="nil"/>
              <w:tr2bl w:val="nil"/>
            </w:tcBorders>
            <w:textDirection w:val="lrTb"/>
            <w:vAlign w:val="bottom"/>
          </w:tcPr>
          <w:p w:rsidR="00F42A14">
            <w:pPr>
              <w:rPr>
                <w:rFonts w:ascii="Times New Roman" w:hAnsi="Times New Roman" w:cs="Times New Roman"/>
                <w:sz w:val="20"/>
                <w:szCs w:val="20"/>
              </w:rPr>
            </w:pPr>
            <w:r w:rsidR="00EE3D3E">
              <w:rPr>
                <w:rFonts w:ascii="Times New Roman" w:hAnsi="Times New Roman" w:cs="Times New Roman"/>
                <w:sz w:val="20"/>
                <w:szCs w:val="20"/>
              </w:rPr>
              <w:t xml:space="preserve">Splácanie úrokov a ostatné </w:t>
            </w:r>
            <w:r>
              <w:rPr>
                <w:rFonts w:ascii="Times New Roman" w:hAnsi="Times New Roman" w:cs="Times New Roman"/>
                <w:sz w:val="20"/>
                <w:szCs w:val="20"/>
              </w:rPr>
              <w:t>platby súvis. s úvermi, pôžičkami NFV</w:t>
            </w:r>
          </w:p>
        </w:tc>
        <w:tc>
          <w:tcPr>
            <w:tcW w:w="1480" w:type="dxa"/>
            <w:tcBorders>
              <w:top w:val="nil"/>
              <w:left w:val="nil"/>
              <w:bottom w:val="single" w:sz="4" w:space="0" w:color="auto"/>
              <w:right w:val="single" w:sz="4" w:space="0" w:color="auto"/>
              <w:tl2br w:val="nil"/>
              <w:tr2bl w:val="nil"/>
            </w:tcBorders>
            <w:noWrap/>
            <w:textDirection w:val="lrTb"/>
            <w:vAlign w:val="top"/>
          </w:tcPr>
          <w:p w:rsidR="00F42A14">
            <w:pPr>
              <w:rPr>
                <w:rFonts w:ascii="Times New Roman" w:hAnsi="Times New Roman" w:cs="Times New Roman"/>
                <w:sz w:val="20"/>
                <w:szCs w:val="20"/>
              </w:rPr>
            </w:pPr>
            <w:r>
              <w:rPr>
                <w:rFonts w:ascii="Times New Roman" w:hAnsi="Times New Roman" w:cs="Times New Roman"/>
                <w:sz w:val="20"/>
                <w:szCs w:val="20"/>
              </w:rPr>
              <w:t>schv.</w:t>
            </w:r>
            <w:r w:rsidR="00EE3D3E">
              <w:rPr>
                <w:rFonts w:ascii="Times New Roman" w:hAnsi="Times New Roman" w:cs="Times New Roman"/>
                <w:sz w:val="20"/>
                <w:szCs w:val="20"/>
              </w:rPr>
              <w:t xml:space="preserve"> </w:t>
            </w:r>
            <w:r>
              <w:rPr>
                <w:rFonts w:ascii="Times New Roman" w:hAnsi="Times New Roman" w:cs="Times New Roman"/>
                <w:sz w:val="20"/>
                <w:szCs w:val="20"/>
              </w:rPr>
              <w:t>rozpočet</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24 027,9</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0,0</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24 027,9</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sidR="00366416">
              <w:rPr>
                <w:rFonts w:ascii="Times New Roman" w:hAnsi="Times New Roman" w:cs="Times New Roman"/>
                <w:sz w:val="20"/>
                <w:szCs w:val="20"/>
              </w:rPr>
              <w:t>U</w:t>
            </w:r>
            <w:r>
              <w:rPr>
                <w:rFonts w:ascii="Times New Roman" w:hAnsi="Times New Roman" w:cs="Times New Roman"/>
                <w:sz w:val="20"/>
                <w:szCs w:val="20"/>
              </w:rPr>
              <w:t>pr.</w:t>
            </w:r>
            <w:r w:rsidR="00EE3D3E">
              <w:rPr>
                <w:rFonts w:ascii="Times New Roman" w:hAnsi="Times New Roman" w:cs="Times New Roman"/>
                <w:sz w:val="20"/>
                <w:szCs w:val="20"/>
              </w:rPr>
              <w:t xml:space="preserve"> </w:t>
            </w:r>
            <w:r>
              <w:rPr>
                <w:rFonts w:ascii="Times New Roman" w:hAnsi="Times New Roman" w:cs="Times New Roman"/>
                <w:sz w:val="20"/>
                <w:szCs w:val="20"/>
              </w:rPr>
              <w:t>rozpočet</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26 597,1</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0,0</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26 597,1</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nil"/>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skutočnosť</w:t>
            </w:r>
          </w:p>
        </w:tc>
        <w:tc>
          <w:tcPr>
            <w:tcW w:w="122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26 370,0</w:t>
            </w:r>
          </w:p>
        </w:tc>
        <w:tc>
          <w:tcPr>
            <w:tcW w:w="1280" w:type="dxa"/>
            <w:tcBorders>
              <w:top w:val="nil"/>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0,0</w:t>
            </w:r>
          </w:p>
        </w:tc>
        <w:tc>
          <w:tcPr>
            <w:tcW w:w="1360" w:type="dxa"/>
            <w:tcBorders>
              <w:top w:val="nil"/>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26 370,0</w:t>
            </w:r>
          </w:p>
        </w:tc>
      </w:tr>
      <w:tr>
        <w:tblPrEx>
          <w:tblW w:w="9480" w:type="dxa"/>
          <w:tblInd w:w="55" w:type="dxa"/>
          <w:tblCellMar>
            <w:left w:w="70" w:type="dxa"/>
            <w:right w:w="70" w:type="dxa"/>
          </w:tblCellMar>
        </w:tblPrEx>
        <w:trPr>
          <w:trHeight w:val="255"/>
        </w:trPr>
        <w:tc>
          <w:tcPr>
            <w:tcW w:w="1180" w:type="dxa"/>
            <w:tcBorders>
              <w:top w:val="nil"/>
              <w:left w:val="single" w:sz="8" w:space="0" w:color="auto"/>
              <w:bottom w:val="single" w:sz="8"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nil"/>
              <w:left w:val="nil"/>
              <w:bottom w:val="single" w:sz="8"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nil"/>
              <w:left w:val="nil"/>
              <w:bottom w:val="single" w:sz="8"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plnenia</w:t>
            </w:r>
          </w:p>
        </w:tc>
        <w:tc>
          <w:tcPr>
            <w:tcW w:w="1220" w:type="dxa"/>
            <w:tcBorders>
              <w:top w:val="nil"/>
              <w:left w:val="nil"/>
              <w:bottom w:val="single" w:sz="8"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99,1</w:t>
            </w:r>
          </w:p>
        </w:tc>
        <w:tc>
          <w:tcPr>
            <w:tcW w:w="1280" w:type="dxa"/>
            <w:tcBorders>
              <w:top w:val="nil"/>
              <w:left w:val="nil"/>
              <w:bottom w:val="single" w:sz="8"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360" w:type="dxa"/>
            <w:tcBorders>
              <w:top w:val="nil"/>
              <w:left w:val="nil"/>
              <w:bottom w:val="single" w:sz="8"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99,1</w:t>
            </w:r>
          </w:p>
        </w:tc>
      </w:tr>
      <w:tr>
        <w:tblPrEx>
          <w:tblW w:w="9480" w:type="dxa"/>
          <w:tblInd w:w="55" w:type="dxa"/>
          <w:tblCellMar>
            <w:left w:w="70" w:type="dxa"/>
            <w:right w:w="70" w:type="dxa"/>
          </w:tblCellMar>
        </w:tblPrEx>
        <w:trPr>
          <w:trHeight w:val="255"/>
        </w:trPr>
        <w:tc>
          <w:tcPr>
            <w:tcW w:w="1180" w:type="dxa"/>
            <w:tcBorders>
              <w:top w:val="single" w:sz="8" w:space="0" w:color="auto"/>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b/>
                <w:bCs/>
                <w:sz w:val="20"/>
                <w:szCs w:val="20"/>
              </w:rPr>
            </w:pPr>
            <w:r>
              <w:rPr>
                <w:rFonts w:ascii="Times New Roman" w:hAnsi="Times New Roman" w:cs="Times New Roman"/>
                <w:b/>
                <w:bCs/>
                <w:sz w:val="20"/>
                <w:szCs w:val="20"/>
              </w:rPr>
              <w:t>700</w:t>
            </w:r>
          </w:p>
        </w:tc>
        <w:tc>
          <w:tcPr>
            <w:tcW w:w="2960" w:type="dxa"/>
            <w:tcBorders>
              <w:top w:val="single" w:sz="8"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b/>
                <w:bCs/>
                <w:sz w:val="20"/>
                <w:szCs w:val="20"/>
              </w:rPr>
            </w:pPr>
            <w:r>
              <w:rPr>
                <w:rFonts w:ascii="Times New Roman" w:hAnsi="Times New Roman" w:cs="Times New Roman"/>
                <w:b/>
                <w:bCs/>
                <w:sz w:val="20"/>
                <w:szCs w:val="20"/>
              </w:rPr>
              <w:t>Kapitálové výdavky spolu</w:t>
            </w:r>
          </w:p>
        </w:tc>
        <w:tc>
          <w:tcPr>
            <w:tcW w:w="1480" w:type="dxa"/>
            <w:tcBorders>
              <w:top w:val="single" w:sz="8"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b/>
                <w:bCs/>
                <w:sz w:val="20"/>
                <w:szCs w:val="20"/>
              </w:rPr>
            </w:pPr>
            <w:r>
              <w:rPr>
                <w:rFonts w:ascii="Times New Roman" w:hAnsi="Times New Roman" w:cs="Times New Roman"/>
                <w:b/>
                <w:bCs/>
                <w:sz w:val="20"/>
                <w:szCs w:val="20"/>
              </w:rPr>
              <w:t>schv.</w:t>
            </w:r>
            <w:r w:rsidR="00366416">
              <w:rPr>
                <w:rFonts w:ascii="Times New Roman" w:hAnsi="Times New Roman" w:cs="Times New Roman"/>
                <w:b/>
                <w:bCs/>
                <w:sz w:val="20"/>
                <w:szCs w:val="20"/>
              </w:rPr>
              <w:t xml:space="preserve"> </w:t>
            </w:r>
            <w:r>
              <w:rPr>
                <w:rFonts w:ascii="Times New Roman" w:hAnsi="Times New Roman" w:cs="Times New Roman"/>
                <w:b/>
                <w:bCs/>
                <w:sz w:val="20"/>
                <w:szCs w:val="20"/>
              </w:rPr>
              <w:t>rozpočet</w:t>
            </w:r>
          </w:p>
        </w:tc>
        <w:tc>
          <w:tcPr>
            <w:tcW w:w="1220" w:type="dxa"/>
            <w:tcBorders>
              <w:top w:val="single" w:sz="8"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46 776,0</w:t>
            </w:r>
          </w:p>
        </w:tc>
        <w:tc>
          <w:tcPr>
            <w:tcW w:w="1280" w:type="dxa"/>
            <w:tcBorders>
              <w:top w:val="single" w:sz="8"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12 937,8</w:t>
            </w:r>
          </w:p>
        </w:tc>
        <w:tc>
          <w:tcPr>
            <w:tcW w:w="1360" w:type="dxa"/>
            <w:tcBorders>
              <w:top w:val="single" w:sz="8" w:space="0" w:color="auto"/>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33 838,2</w:t>
            </w:r>
          </w:p>
        </w:tc>
      </w:tr>
      <w:tr>
        <w:tblPrEx>
          <w:tblW w:w="9480" w:type="dxa"/>
          <w:tblInd w:w="55" w:type="dxa"/>
          <w:tblCellMar>
            <w:left w:w="70" w:type="dxa"/>
            <w:right w:w="70" w:type="dxa"/>
          </w:tblCellMar>
        </w:tblPrEx>
        <w:trPr>
          <w:trHeight w:val="255"/>
        </w:trPr>
        <w:tc>
          <w:tcPr>
            <w:tcW w:w="1180"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b/>
                <w:bCs/>
                <w:sz w:val="20"/>
                <w:szCs w:val="20"/>
              </w:rPr>
            </w:pPr>
            <w:r w:rsidR="00366416">
              <w:rPr>
                <w:rFonts w:ascii="Times New Roman" w:hAnsi="Times New Roman" w:cs="Times New Roman"/>
                <w:b/>
                <w:bCs/>
                <w:sz w:val="20"/>
                <w:szCs w:val="20"/>
              </w:rPr>
              <w:t>U</w:t>
            </w:r>
            <w:r>
              <w:rPr>
                <w:rFonts w:ascii="Times New Roman" w:hAnsi="Times New Roman" w:cs="Times New Roman"/>
                <w:b/>
                <w:bCs/>
                <w:sz w:val="20"/>
                <w:szCs w:val="20"/>
              </w:rPr>
              <w:t>pr.</w:t>
            </w:r>
            <w:r w:rsidR="00366416">
              <w:rPr>
                <w:rFonts w:ascii="Times New Roman" w:hAnsi="Times New Roman" w:cs="Times New Roman"/>
                <w:b/>
                <w:bCs/>
                <w:sz w:val="20"/>
                <w:szCs w:val="20"/>
              </w:rPr>
              <w:t xml:space="preserve"> </w:t>
            </w:r>
            <w:r>
              <w:rPr>
                <w:rFonts w:ascii="Times New Roman" w:hAnsi="Times New Roman" w:cs="Times New Roman"/>
                <w:b/>
                <w:bCs/>
                <w:sz w:val="20"/>
                <w:szCs w:val="20"/>
              </w:rPr>
              <w:t>rozpočet</w:t>
            </w:r>
          </w:p>
        </w:tc>
        <w:tc>
          <w:tcPr>
            <w:tcW w:w="122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40 343,4</w:t>
            </w:r>
          </w:p>
        </w:tc>
        <w:tc>
          <w:tcPr>
            <w:tcW w:w="12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8 458,2</w:t>
            </w:r>
          </w:p>
        </w:tc>
        <w:tc>
          <w:tcPr>
            <w:tcW w:w="1360" w:type="dxa"/>
            <w:tcBorders>
              <w:top w:val="single" w:sz="4" w:space="0" w:color="auto"/>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31 885,2</w:t>
            </w:r>
          </w:p>
        </w:tc>
      </w:tr>
      <w:tr>
        <w:tblPrEx>
          <w:tblW w:w="9480" w:type="dxa"/>
          <w:tblInd w:w="55" w:type="dxa"/>
          <w:tblCellMar>
            <w:left w:w="70" w:type="dxa"/>
            <w:right w:w="70" w:type="dxa"/>
          </w:tblCellMar>
        </w:tblPrEx>
        <w:trPr>
          <w:trHeight w:val="255"/>
        </w:trPr>
        <w:tc>
          <w:tcPr>
            <w:tcW w:w="1180"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b/>
                <w:bCs/>
                <w:sz w:val="20"/>
                <w:szCs w:val="20"/>
              </w:rPr>
            </w:pPr>
            <w:r>
              <w:rPr>
                <w:rFonts w:ascii="Times New Roman" w:hAnsi="Times New Roman" w:cs="Times New Roman"/>
                <w:b/>
                <w:bCs/>
                <w:sz w:val="20"/>
                <w:szCs w:val="20"/>
              </w:rPr>
              <w:t>skutočnosť</w:t>
            </w:r>
          </w:p>
        </w:tc>
        <w:tc>
          <w:tcPr>
            <w:tcW w:w="122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40 897,6</w:t>
            </w:r>
          </w:p>
        </w:tc>
        <w:tc>
          <w:tcPr>
            <w:tcW w:w="12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8 458,1</w:t>
            </w:r>
          </w:p>
        </w:tc>
        <w:tc>
          <w:tcPr>
            <w:tcW w:w="1360" w:type="dxa"/>
            <w:tcBorders>
              <w:top w:val="single" w:sz="4" w:space="0" w:color="auto"/>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32 439,5</w:t>
            </w:r>
          </w:p>
        </w:tc>
      </w:tr>
      <w:tr>
        <w:tblPrEx>
          <w:tblW w:w="9480" w:type="dxa"/>
          <w:tblInd w:w="55" w:type="dxa"/>
          <w:tblCellMar>
            <w:left w:w="70" w:type="dxa"/>
            <w:right w:w="70" w:type="dxa"/>
          </w:tblCellMar>
        </w:tblPrEx>
        <w:trPr>
          <w:trHeight w:val="255"/>
        </w:trPr>
        <w:tc>
          <w:tcPr>
            <w:tcW w:w="1180"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b/>
                <w:bCs/>
                <w:sz w:val="20"/>
                <w:szCs w:val="20"/>
              </w:rPr>
            </w:pPr>
            <w:r>
              <w:rPr>
                <w:rFonts w:ascii="Times New Roman" w:hAnsi="Times New Roman" w:cs="Times New Roman"/>
                <w:b/>
                <w:bCs/>
                <w:sz w:val="20"/>
                <w:szCs w:val="20"/>
              </w:rPr>
              <w:t>% plnenia</w:t>
            </w:r>
          </w:p>
        </w:tc>
        <w:tc>
          <w:tcPr>
            <w:tcW w:w="122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101,4</w:t>
            </w:r>
          </w:p>
        </w:tc>
        <w:tc>
          <w:tcPr>
            <w:tcW w:w="12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100,0</w:t>
            </w:r>
          </w:p>
        </w:tc>
        <w:tc>
          <w:tcPr>
            <w:tcW w:w="1360" w:type="dxa"/>
            <w:tcBorders>
              <w:top w:val="single" w:sz="4" w:space="0" w:color="auto"/>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101,7</w:t>
            </w:r>
          </w:p>
        </w:tc>
      </w:tr>
      <w:tr>
        <w:tblPrEx>
          <w:tblW w:w="9480" w:type="dxa"/>
          <w:tblInd w:w="55" w:type="dxa"/>
          <w:tblCellMar>
            <w:left w:w="70" w:type="dxa"/>
            <w:right w:w="70" w:type="dxa"/>
          </w:tblCellMar>
        </w:tblPrEx>
        <w:trPr>
          <w:trHeight w:val="255"/>
        </w:trPr>
        <w:tc>
          <w:tcPr>
            <w:tcW w:w="1180"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v tom:</w:t>
            </w:r>
          </w:p>
        </w:tc>
        <w:tc>
          <w:tcPr>
            <w:tcW w:w="14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22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2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360" w:type="dxa"/>
            <w:tcBorders>
              <w:top w:val="single" w:sz="4" w:space="0" w:color="auto"/>
              <w:left w:val="nil"/>
              <w:bottom w:val="single" w:sz="4" w:space="0" w:color="auto"/>
              <w:right w:val="single" w:sz="8"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r>
      <w:tr>
        <w:tblPrEx>
          <w:tblW w:w="9480" w:type="dxa"/>
          <w:tblInd w:w="55" w:type="dxa"/>
          <w:tblCellMar>
            <w:left w:w="70" w:type="dxa"/>
            <w:right w:w="70" w:type="dxa"/>
          </w:tblCellMar>
        </w:tblPrEx>
        <w:trPr>
          <w:trHeight w:val="255"/>
        </w:trPr>
        <w:tc>
          <w:tcPr>
            <w:tcW w:w="1180"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710</w:t>
            </w:r>
          </w:p>
        </w:tc>
        <w:tc>
          <w:tcPr>
            <w:tcW w:w="296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Obstarávanie kapit</w:t>
            </w:r>
            <w:r>
              <w:rPr>
                <w:rFonts w:ascii="Times New Roman" w:hAnsi="Times New Roman" w:cs="Times New Roman"/>
                <w:sz w:val="20"/>
                <w:szCs w:val="20"/>
              </w:rPr>
              <w:t>álových aktív</w:t>
            </w:r>
          </w:p>
        </w:tc>
        <w:tc>
          <w:tcPr>
            <w:tcW w:w="1480" w:type="dxa"/>
            <w:tcBorders>
              <w:top w:val="single" w:sz="4" w:space="0" w:color="auto"/>
              <w:left w:val="nil"/>
              <w:bottom w:val="single" w:sz="4" w:space="0" w:color="auto"/>
              <w:right w:val="single" w:sz="4" w:space="0" w:color="auto"/>
              <w:tl2br w:val="nil"/>
              <w:tr2bl w:val="nil"/>
            </w:tcBorders>
            <w:noWrap/>
            <w:textDirection w:val="lrTb"/>
            <w:vAlign w:val="top"/>
          </w:tcPr>
          <w:p w:rsidR="00F42A14">
            <w:pPr>
              <w:rPr>
                <w:rFonts w:ascii="Times New Roman" w:hAnsi="Times New Roman" w:cs="Times New Roman"/>
                <w:sz w:val="20"/>
                <w:szCs w:val="20"/>
              </w:rPr>
            </w:pPr>
            <w:r>
              <w:rPr>
                <w:rFonts w:ascii="Times New Roman" w:hAnsi="Times New Roman" w:cs="Times New Roman"/>
                <w:sz w:val="20"/>
                <w:szCs w:val="20"/>
              </w:rPr>
              <w:t>schv.</w:t>
            </w:r>
            <w:r w:rsidR="00366416">
              <w:rPr>
                <w:rFonts w:ascii="Times New Roman" w:hAnsi="Times New Roman" w:cs="Times New Roman"/>
                <w:sz w:val="20"/>
                <w:szCs w:val="20"/>
              </w:rPr>
              <w:t xml:space="preserve"> </w:t>
            </w:r>
            <w:r>
              <w:rPr>
                <w:rFonts w:ascii="Times New Roman" w:hAnsi="Times New Roman" w:cs="Times New Roman"/>
                <w:sz w:val="20"/>
                <w:szCs w:val="20"/>
              </w:rPr>
              <w:t>rozpočet</w:t>
            </w:r>
          </w:p>
        </w:tc>
        <w:tc>
          <w:tcPr>
            <w:tcW w:w="122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12 165,1</w:t>
            </w:r>
          </w:p>
        </w:tc>
        <w:tc>
          <w:tcPr>
            <w:tcW w:w="12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28,9</w:t>
            </w:r>
          </w:p>
        </w:tc>
        <w:tc>
          <w:tcPr>
            <w:tcW w:w="1360" w:type="dxa"/>
            <w:tcBorders>
              <w:top w:val="single" w:sz="4" w:space="0" w:color="auto"/>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12 136,2</w:t>
            </w:r>
          </w:p>
        </w:tc>
      </w:tr>
      <w:tr>
        <w:tblPrEx>
          <w:tblW w:w="9480" w:type="dxa"/>
          <w:tblInd w:w="55" w:type="dxa"/>
          <w:tblCellMar>
            <w:left w:w="70" w:type="dxa"/>
            <w:right w:w="70" w:type="dxa"/>
          </w:tblCellMar>
        </w:tblPrEx>
        <w:trPr>
          <w:trHeight w:val="255"/>
        </w:trPr>
        <w:tc>
          <w:tcPr>
            <w:tcW w:w="1180"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sidR="00366416">
              <w:rPr>
                <w:rFonts w:ascii="Times New Roman" w:hAnsi="Times New Roman" w:cs="Times New Roman"/>
                <w:sz w:val="20"/>
                <w:szCs w:val="20"/>
              </w:rPr>
              <w:t>U</w:t>
            </w:r>
            <w:r>
              <w:rPr>
                <w:rFonts w:ascii="Times New Roman" w:hAnsi="Times New Roman" w:cs="Times New Roman"/>
                <w:sz w:val="20"/>
                <w:szCs w:val="20"/>
              </w:rPr>
              <w:t>pr.</w:t>
            </w:r>
            <w:r w:rsidR="00366416">
              <w:rPr>
                <w:rFonts w:ascii="Times New Roman" w:hAnsi="Times New Roman" w:cs="Times New Roman"/>
                <w:sz w:val="20"/>
                <w:szCs w:val="20"/>
              </w:rPr>
              <w:t xml:space="preserve"> </w:t>
            </w:r>
            <w:r>
              <w:rPr>
                <w:rFonts w:ascii="Times New Roman" w:hAnsi="Times New Roman" w:cs="Times New Roman"/>
                <w:sz w:val="20"/>
                <w:szCs w:val="20"/>
              </w:rPr>
              <w:t>rozpočet</w:t>
            </w:r>
          </w:p>
        </w:tc>
        <w:tc>
          <w:tcPr>
            <w:tcW w:w="122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9 720,9</w:t>
            </w:r>
          </w:p>
        </w:tc>
        <w:tc>
          <w:tcPr>
            <w:tcW w:w="12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83,0</w:t>
            </w:r>
          </w:p>
        </w:tc>
        <w:tc>
          <w:tcPr>
            <w:tcW w:w="1360" w:type="dxa"/>
            <w:tcBorders>
              <w:top w:val="single" w:sz="4" w:space="0" w:color="auto"/>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9 637,9</w:t>
            </w:r>
          </w:p>
        </w:tc>
      </w:tr>
      <w:tr>
        <w:tblPrEx>
          <w:tblW w:w="9480" w:type="dxa"/>
          <w:tblInd w:w="55" w:type="dxa"/>
          <w:tblCellMar>
            <w:left w:w="70" w:type="dxa"/>
            <w:right w:w="70" w:type="dxa"/>
          </w:tblCellMar>
        </w:tblPrEx>
        <w:trPr>
          <w:trHeight w:val="255"/>
        </w:trPr>
        <w:tc>
          <w:tcPr>
            <w:tcW w:w="1180"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skutočnosť</w:t>
            </w:r>
          </w:p>
        </w:tc>
        <w:tc>
          <w:tcPr>
            <w:tcW w:w="122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10 174,1</w:t>
            </w:r>
          </w:p>
        </w:tc>
        <w:tc>
          <w:tcPr>
            <w:tcW w:w="12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83,0</w:t>
            </w:r>
          </w:p>
        </w:tc>
        <w:tc>
          <w:tcPr>
            <w:tcW w:w="1360" w:type="dxa"/>
            <w:tcBorders>
              <w:top w:val="single" w:sz="4" w:space="0" w:color="auto"/>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10 091,1</w:t>
            </w:r>
          </w:p>
        </w:tc>
      </w:tr>
      <w:tr>
        <w:tblPrEx>
          <w:tblW w:w="9480" w:type="dxa"/>
          <w:tblInd w:w="55" w:type="dxa"/>
          <w:tblCellMar>
            <w:left w:w="70" w:type="dxa"/>
            <w:right w:w="70" w:type="dxa"/>
          </w:tblCellMar>
        </w:tblPrEx>
        <w:trPr>
          <w:trHeight w:val="255"/>
        </w:trPr>
        <w:tc>
          <w:tcPr>
            <w:tcW w:w="1180"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plnenia</w:t>
            </w:r>
          </w:p>
        </w:tc>
        <w:tc>
          <w:tcPr>
            <w:tcW w:w="122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104,7</w:t>
            </w:r>
          </w:p>
        </w:tc>
        <w:tc>
          <w:tcPr>
            <w:tcW w:w="12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100,0</w:t>
            </w:r>
          </w:p>
        </w:tc>
        <w:tc>
          <w:tcPr>
            <w:tcW w:w="1360" w:type="dxa"/>
            <w:tcBorders>
              <w:top w:val="single" w:sz="4" w:space="0" w:color="auto"/>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104,7</w:t>
            </w:r>
          </w:p>
        </w:tc>
      </w:tr>
      <w:tr>
        <w:tblPrEx>
          <w:tblW w:w="9480" w:type="dxa"/>
          <w:tblInd w:w="55" w:type="dxa"/>
          <w:tblCellMar>
            <w:left w:w="70" w:type="dxa"/>
            <w:right w:w="70" w:type="dxa"/>
          </w:tblCellMar>
        </w:tblPrEx>
        <w:trPr>
          <w:trHeight w:val="255"/>
        </w:trPr>
        <w:tc>
          <w:tcPr>
            <w:tcW w:w="1180"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720</w:t>
            </w:r>
          </w:p>
        </w:tc>
        <w:tc>
          <w:tcPr>
            <w:tcW w:w="296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Kapitálové transfery</w:t>
            </w:r>
          </w:p>
        </w:tc>
        <w:tc>
          <w:tcPr>
            <w:tcW w:w="1480" w:type="dxa"/>
            <w:tcBorders>
              <w:top w:val="single" w:sz="4" w:space="0" w:color="auto"/>
              <w:left w:val="nil"/>
              <w:bottom w:val="single" w:sz="4" w:space="0" w:color="auto"/>
              <w:right w:val="single" w:sz="4" w:space="0" w:color="auto"/>
              <w:tl2br w:val="nil"/>
              <w:tr2bl w:val="nil"/>
            </w:tcBorders>
            <w:noWrap/>
            <w:textDirection w:val="lrTb"/>
            <w:vAlign w:val="top"/>
          </w:tcPr>
          <w:p w:rsidR="00F42A14">
            <w:pPr>
              <w:rPr>
                <w:rFonts w:ascii="Times New Roman" w:hAnsi="Times New Roman" w:cs="Times New Roman"/>
                <w:sz w:val="20"/>
                <w:szCs w:val="20"/>
              </w:rPr>
            </w:pPr>
            <w:r>
              <w:rPr>
                <w:rFonts w:ascii="Times New Roman" w:hAnsi="Times New Roman" w:cs="Times New Roman"/>
                <w:sz w:val="20"/>
                <w:szCs w:val="20"/>
              </w:rPr>
              <w:t>schv.</w:t>
            </w:r>
            <w:r w:rsidR="00366416">
              <w:rPr>
                <w:rFonts w:ascii="Times New Roman" w:hAnsi="Times New Roman" w:cs="Times New Roman"/>
                <w:sz w:val="20"/>
                <w:szCs w:val="20"/>
              </w:rPr>
              <w:t xml:space="preserve"> </w:t>
            </w:r>
            <w:r>
              <w:rPr>
                <w:rFonts w:ascii="Times New Roman" w:hAnsi="Times New Roman" w:cs="Times New Roman"/>
                <w:sz w:val="20"/>
                <w:szCs w:val="20"/>
              </w:rPr>
              <w:t>rozpočet</w:t>
            </w:r>
          </w:p>
        </w:tc>
        <w:tc>
          <w:tcPr>
            <w:tcW w:w="122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34 610,9</w:t>
            </w:r>
          </w:p>
        </w:tc>
        <w:tc>
          <w:tcPr>
            <w:tcW w:w="12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12 908,9</w:t>
            </w:r>
          </w:p>
        </w:tc>
        <w:tc>
          <w:tcPr>
            <w:tcW w:w="1360" w:type="dxa"/>
            <w:tcBorders>
              <w:top w:val="single" w:sz="4" w:space="0" w:color="auto"/>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21 702,0</w:t>
            </w:r>
          </w:p>
        </w:tc>
      </w:tr>
      <w:tr>
        <w:tblPrEx>
          <w:tblW w:w="9480" w:type="dxa"/>
          <w:tblInd w:w="55" w:type="dxa"/>
          <w:tblCellMar>
            <w:left w:w="70" w:type="dxa"/>
            <w:right w:w="70" w:type="dxa"/>
          </w:tblCellMar>
        </w:tblPrEx>
        <w:trPr>
          <w:trHeight w:val="255"/>
        </w:trPr>
        <w:tc>
          <w:tcPr>
            <w:tcW w:w="1180"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sidR="00366416">
              <w:rPr>
                <w:rFonts w:ascii="Times New Roman" w:hAnsi="Times New Roman" w:cs="Times New Roman"/>
                <w:sz w:val="20"/>
                <w:szCs w:val="20"/>
              </w:rPr>
              <w:t>U</w:t>
            </w:r>
            <w:r>
              <w:rPr>
                <w:rFonts w:ascii="Times New Roman" w:hAnsi="Times New Roman" w:cs="Times New Roman"/>
                <w:sz w:val="20"/>
                <w:szCs w:val="20"/>
              </w:rPr>
              <w:t>pr.</w:t>
            </w:r>
            <w:r w:rsidR="00366416">
              <w:rPr>
                <w:rFonts w:ascii="Times New Roman" w:hAnsi="Times New Roman" w:cs="Times New Roman"/>
                <w:sz w:val="20"/>
                <w:szCs w:val="20"/>
              </w:rPr>
              <w:t xml:space="preserve"> </w:t>
            </w:r>
            <w:r>
              <w:rPr>
                <w:rFonts w:ascii="Times New Roman" w:hAnsi="Times New Roman" w:cs="Times New Roman"/>
                <w:sz w:val="20"/>
                <w:szCs w:val="20"/>
              </w:rPr>
              <w:t>rozpočet</w:t>
            </w:r>
          </w:p>
        </w:tc>
        <w:tc>
          <w:tcPr>
            <w:tcW w:w="122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30 62</w:t>
            </w:r>
            <w:r>
              <w:rPr>
                <w:rFonts w:ascii="Times New Roman" w:hAnsi="Times New Roman" w:cs="Times New Roman"/>
                <w:sz w:val="20"/>
                <w:szCs w:val="20"/>
              </w:rPr>
              <w:t>2,5</w:t>
            </w:r>
          </w:p>
        </w:tc>
        <w:tc>
          <w:tcPr>
            <w:tcW w:w="12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8 375,2</w:t>
            </w:r>
          </w:p>
        </w:tc>
        <w:tc>
          <w:tcPr>
            <w:tcW w:w="1360" w:type="dxa"/>
            <w:tcBorders>
              <w:top w:val="single" w:sz="4" w:space="0" w:color="auto"/>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22 247,3</w:t>
            </w:r>
          </w:p>
        </w:tc>
      </w:tr>
      <w:tr>
        <w:tblPrEx>
          <w:tblW w:w="9480" w:type="dxa"/>
          <w:tblInd w:w="55" w:type="dxa"/>
          <w:tblCellMar>
            <w:left w:w="70" w:type="dxa"/>
            <w:right w:w="70" w:type="dxa"/>
          </w:tblCellMar>
        </w:tblPrEx>
        <w:trPr>
          <w:trHeight w:val="255"/>
        </w:trPr>
        <w:tc>
          <w:tcPr>
            <w:tcW w:w="1180"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F42A14">
            <w:pPr>
              <w:jc w:val="cente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skutočnosť</w:t>
            </w:r>
          </w:p>
        </w:tc>
        <w:tc>
          <w:tcPr>
            <w:tcW w:w="122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30 723,5</w:t>
            </w:r>
          </w:p>
        </w:tc>
        <w:tc>
          <w:tcPr>
            <w:tcW w:w="12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8 375,1</w:t>
            </w:r>
          </w:p>
        </w:tc>
        <w:tc>
          <w:tcPr>
            <w:tcW w:w="1360" w:type="dxa"/>
            <w:tcBorders>
              <w:top w:val="single" w:sz="4" w:space="0" w:color="auto"/>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22 348,4</w:t>
            </w:r>
          </w:p>
        </w:tc>
      </w:tr>
      <w:tr>
        <w:tblPrEx>
          <w:tblW w:w="9480" w:type="dxa"/>
          <w:tblInd w:w="55" w:type="dxa"/>
          <w:tblCellMar>
            <w:left w:w="70" w:type="dxa"/>
            <w:right w:w="70" w:type="dxa"/>
          </w:tblCellMar>
        </w:tblPrEx>
        <w:trPr>
          <w:trHeight w:val="255"/>
        </w:trPr>
        <w:tc>
          <w:tcPr>
            <w:tcW w:w="1180"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plnenia</w:t>
            </w:r>
          </w:p>
        </w:tc>
        <w:tc>
          <w:tcPr>
            <w:tcW w:w="122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100,3</w:t>
            </w:r>
          </w:p>
        </w:tc>
        <w:tc>
          <w:tcPr>
            <w:tcW w:w="12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100,0</w:t>
            </w:r>
          </w:p>
        </w:tc>
        <w:tc>
          <w:tcPr>
            <w:tcW w:w="1360" w:type="dxa"/>
            <w:tcBorders>
              <w:top w:val="single" w:sz="4" w:space="0" w:color="auto"/>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sz w:val="20"/>
                <w:szCs w:val="20"/>
              </w:rPr>
            </w:pPr>
            <w:r>
              <w:rPr>
                <w:rFonts w:ascii="Times New Roman" w:hAnsi="Times New Roman" w:cs="Times New Roman"/>
                <w:sz w:val="20"/>
                <w:szCs w:val="20"/>
              </w:rPr>
              <w:t>100,5</w:t>
            </w:r>
          </w:p>
        </w:tc>
      </w:tr>
      <w:tr>
        <w:tblPrEx>
          <w:tblW w:w="9480" w:type="dxa"/>
          <w:tblInd w:w="55" w:type="dxa"/>
          <w:tblCellMar>
            <w:left w:w="70" w:type="dxa"/>
            <w:right w:w="70" w:type="dxa"/>
          </w:tblCellMar>
        </w:tblPrEx>
        <w:trPr>
          <w:trHeight w:val="255"/>
        </w:trPr>
        <w:tc>
          <w:tcPr>
            <w:tcW w:w="1180"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b/>
                <w:bCs/>
                <w:sz w:val="20"/>
                <w:szCs w:val="20"/>
              </w:rPr>
            </w:pPr>
            <w:r>
              <w:rPr>
                <w:rFonts w:ascii="Times New Roman" w:hAnsi="Times New Roman" w:cs="Times New Roman"/>
                <w:b/>
                <w:bCs/>
                <w:sz w:val="20"/>
                <w:szCs w:val="20"/>
              </w:rPr>
              <w:t>Výdavky celkom</w:t>
            </w:r>
          </w:p>
        </w:tc>
        <w:tc>
          <w:tcPr>
            <w:tcW w:w="14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b/>
                <w:bCs/>
                <w:sz w:val="20"/>
                <w:szCs w:val="20"/>
              </w:rPr>
            </w:pPr>
            <w:r>
              <w:rPr>
                <w:rFonts w:ascii="Times New Roman" w:hAnsi="Times New Roman" w:cs="Times New Roman"/>
                <w:b/>
                <w:bCs/>
                <w:sz w:val="20"/>
                <w:szCs w:val="20"/>
              </w:rPr>
              <w:t>schv.</w:t>
            </w:r>
            <w:r w:rsidR="00366416">
              <w:rPr>
                <w:rFonts w:ascii="Times New Roman" w:hAnsi="Times New Roman" w:cs="Times New Roman"/>
                <w:b/>
                <w:bCs/>
                <w:sz w:val="20"/>
                <w:szCs w:val="20"/>
              </w:rPr>
              <w:t xml:space="preserve"> </w:t>
            </w:r>
            <w:r>
              <w:rPr>
                <w:rFonts w:ascii="Times New Roman" w:hAnsi="Times New Roman" w:cs="Times New Roman"/>
                <w:b/>
                <w:bCs/>
                <w:sz w:val="20"/>
                <w:szCs w:val="20"/>
              </w:rPr>
              <w:t>rozpočet</w:t>
            </w:r>
          </w:p>
        </w:tc>
        <w:tc>
          <w:tcPr>
            <w:tcW w:w="122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330 185,1</w:t>
            </w:r>
          </w:p>
        </w:tc>
        <w:tc>
          <w:tcPr>
            <w:tcW w:w="12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27 403,9</w:t>
            </w:r>
          </w:p>
        </w:tc>
        <w:tc>
          <w:tcPr>
            <w:tcW w:w="1360" w:type="dxa"/>
            <w:tcBorders>
              <w:top w:val="single" w:sz="4" w:space="0" w:color="auto"/>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302 781,2</w:t>
            </w:r>
          </w:p>
        </w:tc>
      </w:tr>
      <w:tr>
        <w:tblPrEx>
          <w:tblW w:w="9480" w:type="dxa"/>
          <w:tblInd w:w="55" w:type="dxa"/>
          <w:tblCellMar>
            <w:left w:w="70" w:type="dxa"/>
            <w:right w:w="70" w:type="dxa"/>
          </w:tblCellMar>
        </w:tblPrEx>
        <w:trPr>
          <w:trHeight w:val="255"/>
        </w:trPr>
        <w:tc>
          <w:tcPr>
            <w:tcW w:w="1180"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b/>
                <w:bCs/>
                <w:sz w:val="20"/>
                <w:szCs w:val="20"/>
              </w:rPr>
            </w:pPr>
            <w:r w:rsidR="00366416">
              <w:rPr>
                <w:rFonts w:ascii="Times New Roman" w:hAnsi="Times New Roman" w:cs="Times New Roman"/>
                <w:b/>
                <w:bCs/>
                <w:sz w:val="20"/>
                <w:szCs w:val="20"/>
              </w:rPr>
              <w:t>U</w:t>
            </w:r>
            <w:r>
              <w:rPr>
                <w:rFonts w:ascii="Times New Roman" w:hAnsi="Times New Roman" w:cs="Times New Roman"/>
                <w:b/>
                <w:bCs/>
                <w:sz w:val="20"/>
                <w:szCs w:val="20"/>
              </w:rPr>
              <w:t>pr.</w:t>
            </w:r>
            <w:r w:rsidR="00366416">
              <w:rPr>
                <w:rFonts w:ascii="Times New Roman" w:hAnsi="Times New Roman" w:cs="Times New Roman"/>
                <w:b/>
                <w:bCs/>
                <w:sz w:val="20"/>
                <w:szCs w:val="20"/>
              </w:rPr>
              <w:t xml:space="preserve"> </w:t>
            </w:r>
            <w:r>
              <w:rPr>
                <w:rFonts w:ascii="Times New Roman" w:hAnsi="Times New Roman" w:cs="Times New Roman"/>
                <w:b/>
                <w:bCs/>
                <w:sz w:val="20"/>
                <w:szCs w:val="20"/>
              </w:rPr>
              <w:t>rozpočet</w:t>
            </w:r>
          </w:p>
        </w:tc>
        <w:tc>
          <w:tcPr>
            <w:tcW w:w="122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323 949,7</w:t>
            </w:r>
          </w:p>
        </w:tc>
        <w:tc>
          <w:tcPr>
            <w:tcW w:w="12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21 162,1</w:t>
            </w:r>
          </w:p>
        </w:tc>
        <w:tc>
          <w:tcPr>
            <w:tcW w:w="1360" w:type="dxa"/>
            <w:tcBorders>
              <w:top w:val="single" w:sz="4" w:space="0" w:color="auto"/>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302 787,6</w:t>
            </w:r>
          </w:p>
        </w:tc>
      </w:tr>
      <w:tr>
        <w:tblPrEx>
          <w:tblW w:w="9480" w:type="dxa"/>
          <w:tblInd w:w="55" w:type="dxa"/>
          <w:tblCellMar>
            <w:left w:w="70" w:type="dxa"/>
            <w:right w:w="70" w:type="dxa"/>
          </w:tblCellMar>
        </w:tblPrEx>
        <w:trPr>
          <w:trHeight w:val="255"/>
        </w:trPr>
        <w:tc>
          <w:tcPr>
            <w:tcW w:w="1180"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rPr>
                <w:rFonts w:ascii="Times New Roman" w:hAnsi="Times New Roman" w:cs="Times New Roman"/>
                <w:b/>
                <w:bCs/>
                <w:sz w:val="20"/>
                <w:szCs w:val="20"/>
              </w:rPr>
            </w:pPr>
            <w:r>
              <w:rPr>
                <w:rFonts w:ascii="Times New Roman" w:hAnsi="Times New Roman" w:cs="Times New Roman"/>
                <w:b/>
                <w:bCs/>
                <w:sz w:val="20"/>
                <w:szCs w:val="20"/>
              </w:rPr>
              <w:t>skutočnosť</w:t>
            </w:r>
          </w:p>
        </w:tc>
        <w:tc>
          <w:tcPr>
            <w:tcW w:w="122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323 654,9</w:t>
            </w:r>
          </w:p>
        </w:tc>
        <w:tc>
          <w:tcPr>
            <w:tcW w:w="1280" w:type="dxa"/>
            <w:tcBorders>
              <w:top w:val="single" w:sz="4" w:space="0" w:color="auto"/>
              <w:left w:val="nil"/>
              <w:bottom w:val="single" w:sz="4"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20 910,6</w:t>
            </w:r>
          </w:p>
        </w:tc>
        <w:tc>
          <w:tcPr>
            <w:tcW w:w="1360" w:type="dxa"/>
            <w:tcBorders>
              <w:top w:val="single" w:sz="4" w:space="0" w:color="auto"/>
              <w:left w:val="nil"/>
              <w:bottom w:val="single" w:sz="4" w:space="0" w:color="auto"/>
              <w:right w:val="single" w:sz="8"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302 744,3</w:t>
            </w:r>
          </w:p>
        </w:tc>
      </w:tr>
      <w:tr>
        <w:tblPrEx>
          <w:tblW w:w="9480" w:type="dxa"/>
          <w:tblInd w:w="55" w:type="dxa"/>
          <w:tblCellMar>
            <w:left w:w="70" w:type="dxa"/>
            <w:right w:w="70" w:type="dxa"/>
          </w:tblCellMar>
        </w:tblPrEx>
        <w:trPr>
          <w:trHeight w:val="255"/>
        </w:trPr>
        <w:tc>
          <w:tcPr>
            <w:tcW w:w="1180" w:type="dxa"/>
            <w:tcBorders>
              <w:top w:val="single" w:sz="4" w:space="0" w:color="auto"/>
              <w:left w:val="single" w:sz="8" w:space="0" w:color="auto"/>
              <w:bottom w:val="single" w:sz="8"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2960" w:type="dxa"/>
            <w:tcBorders>
              <w:top w:val="single" w:sz="4" w:space="0" w:color="auto"/>
              <w:left w:val="nil"/>
              <w:bottom w:val="single" w:sz="8" w:space="0" w:color="auto"/>
              <w:right w:val="single" w:sz="4" w:space="0" w:color="auto"/>
              <w:tl2br w:val="nil"/>
              <w:tr2bl w:val="nil"/>
            </w:tcBorders>
            <w:noWrap/>
            <w:textDirection w:val="lrTb"/>
            <w:vAlign w:val="bottom"/>
          </w:tcPr>
          <w:p w:rsidR="00F42A14">
            <w:pPr>
              <w:rPr>
                <w:rFonts w:ascii="Times New Roman" w:hAnsi="Times New Roman" w:cs="Times New Roman"/>
                <w:sz w:val="20"/>
                <w:szCs w:val="20"/>
              </w:rPr>
            </w:pPr>
            <w:r>
              <w:rPr>
                <w:rFonts w:ascii="Times New Roman" w:hAnsi="Times New Roman" w:cs="Times New Roman"/>
                <w:sz w:val="20"/>
                <w:szCs w:val="20"/>
              </w:rPr>
              <w:t> </w:t>
            </w:r>
          </w:p>
        </w:tc>
        <w:tc>
          <w:tcPr>
            <w:tcW w:w="1480" w:type="dxa"/>
            <w:tcBorders>
              <w:top w:val="single" w:sz="4" w:space="0" w:color="auto"/>
              <w:left w:val="nil"/>
              <w:bottom w:val="single" w:sz="8" w:space="0" w:color="auto"/>
              <w:right w:val="single" w:sz="4" w:space="0" w:color="auto"/>
              <w:tl2br w:val="nil"/>
              <w:tr2bl w:val="nil"/>
            </w:tcBorders>
            <w:noWrap/>
            <w:textDirection w:val="lrTb"/>
            <w:vAlign w:val="bottom"/>
          </w:tcPr>
          <w:p w:rsidR="00F42A14">
            <w:pPr>
              <w:rPr>
                <w:rFonts w:ascii="Times New Roman" w:hAnsi="Times New Roman" w:cs="Times New Roman"/>
                <w:b/>
                <w:bCs/>
                <w:sz w:val="20"/>
                <w:szCs w:val="20"/>
              </w:rPr>
            </w:pPr>
            <w:r>
              <w:rPr>
                <w:rFonts w:ascii="Times New Roman" w:hAnsi="Times New Roman" w:cs="Times New Roman"/>
                <w:b/>
                <w:bCs/>
                <w:sz w:val="20"/>
                <w:szCs w:val="20"/>
              </w:rPr>
              <w:t>% plnenia</w:t>
            </w:r>
          </w:p>
        </w:tc>
        <w:tc>
          <w:tcPr>
            <w:tcW w:w="1220" w:type="dxa"/>
            <w:tcBorders>
              <w:top w:val="single" w:sz="4" w:space="0" w:color="auto"/>
              <w:left w:val="nil"/>
              <w:bottom w:val="single" w:sz="8"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99,9</w:t>
            </w:r>
          </w:p>
        </w:tc>
        <w:tc>
          <w:tcPr>
            <w:tcW w:w="1280" w:type="dxa"/>
            <w:tcBorders>
              <w:top w:val="single" w:sz="4" w:space="0" w:color="auto"/>
              <w:left w:val="nil"/>
              <w:bottom w:val="single" w:sz="8" w:space="0" w:color="auto"/>
              <w:right w:val="single" w:sz="4"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98,8</w:t>
            </w:r>
          </w:p>
        </w:tc>
        <w:tc>
          <w:tcPr>
            <w:tcW w:w="1360" w:type="dxa"/>
            <w:tcBorders>
              <w:top w:val="single" w:sz="4" w:space="0" w:color="auto"/>
              <w:left w:val="nil"/>
              <w:bottom w:val="single" w:sz="8" w:space="0" w:color="auto"/>
              <w:right w:val="single" w:sz="8" w:space="0" w:color="auto"/>
              <w:tl2br w:val="nil"/>
              <w:tr2bl w:val="nil"/>
            </w:tcBorders>
            <w:noWrap/>
            <w:textDirection w:val="lrTb"/>
            <w:vAlign w:val="bottom"/>
          </w:tcPr>
          <w:p w:rsidR="00F42A14">
            <w:pPr>
              <w:jc w:val="right"/>
              <w:rPr>
                <w:rFonts w:ascii="Times New Roman" w:hAnsi="Times New Roman" w:cs="Times New Roman"/>
                <w:b/>
                <w:bCs/>
                <w:sz w:val="20"/>
                <w:szCs w:val="20"/>
              </w:rPr>
            </w:pPr>
            <w:r>
              <w:rPr>
                <w:rFonts w:ascii="Times New Roman" w:hAnsi="Times New Roman" w:cs="Times New Roman"/>
                <w:b/>
                <w:bCs/>
                <w:sz w:val="20"/>
                <w:szCs w:val="20"/>
              </w:rPr>
              <w:t>100,0</w:t>
            </w:r>
          </w:p>
        </w:tc>
      </w:tr>
      <w:tr>
        <w:tblPrEx>
          <w:tblW w:w="9480" w:type="dxa"/>
          <w:tblInd w:w="55" w:type="dxa"/>
          <w:tblCellMar>
            <w:left w:w="70" w:type="dxa"/>
            <w:right w:w="70" w:type="dxa"/>
          </w:tblCellMar>
        </w:tblPrEx>
        <w:trPr>
          <w:trHeight w:val="255"/>
        </w:trPr>
        <w:tc>
          <w:tcPr>
            <w:tcW w:w="4140" w:type="dxa"/>
            <w:gridSpan w:val="2"/>
            <w:tcBorders>
              <w:top w:val="single" w:sz="8" w:space="0" w:color="auto"/>
              <w:left w:val="nil"/>
              <w:bottom w:val="nil"/>
              <w:right w:val="nil"/>
              <w:tl2br w:val="nil"/>
              <w:tr2bl w:val="nil"/>
            </w:tcBorders>
            <w:noWrap/>
            <w:textDirection w:val="lrTb"/>
            <w:vAlign w:val="bottom"/>
          </w:tcPr>
          <w:p w:rsidR="00F42A14" w:rsidRPr="005D1E91">
            <w:pPr>
              <w:rPr>
                <w:rFonts w:ascii="Times New Roman" w:hAnsi="Times New Roman" w:cs="Times New Roman"/>
                <w:sz w:val="16"/>
                <w:szCs w:val="16"/>
              </w:rPr>
            </w:pPr>
            <w:r w:rsidRPr="005D1E91">
              <w:rPr>
                <w:rFonts w:ascii="Times New Roman" w:hAnsi="Times New Roman" w:cs="Times New Roman"/>
                <w:sz w:val="16"/>
                <w:szCs w:val="16"/>
              </w:rPr>
              <w:t>Zdroj: Ministerstvo financií SR</w:t>
            </w:r>
          </w:p>
        </w:tc>
        <w:tc>
          <w:tcPr>
            <w:tcW w:w="1480" w:type="dxa"/>
            <w:tcBorders>
              <w:top w:val="single" w:sz="8" w:space="0" w:color="auto"/>
              <w:left w:val="nil"/>
              <w:bottom w:val="nil"/>
              <w:right w:val="nil"/>
              <w:tl2br w:val="nil"/>
              <w:tr2bl w:val="nil"/>
            </w:tcBorders>
            <w:noWrap/>
            <w:textDirection w:val="lrTb"/>
            <w:vAlign w:val="bottom"/>
          </w:tcPr>
          <w:p w:rsidR="00F42A14">
            <w:pPr>
              <w:rPr>
                <w:rFonts w:ascii="Arial" w:hAnsi="Arial" w:cs="Arial"/>
                <w:sz w:val="20"/>
                <w:szCs w:val="20"/>
              </w:rPr>
            </w:pPr>
          </w:p>
        </w:tc>
        <w:tc>
          <w:tcPr>
            <w:tcW w:w="1220" w:type="dxa"/>
            <w:tcBorders>
              <w:top w:val="single" w:sz="8" w:space="0" w:color="auto"/>
              <w:left w:val="nil"/>
              <w:bottom w:val="nil"/>
              <w:right w:val="nil"/>
              <w:tl2br w:val="nil"/>
              <w:tr2bl w:val="nil"/>
            </w:tcBorders>
            <w:noWrap/>
            <w:textDirection w:val="lrTb"/>
            <w:vAlign w:val="bottom"/>
          </w:tcPr>
          <w:p w:rsidR="00F42A14">
            <w:pPr>
              <w:rPr>
                <w:rFonts w:ascii="Arial" w:hAnsi="Arial" w:cs="Arial"/>
                <w:sz w:val="20"/>
                <w:szCs w:val="20"/>
              </w:rPr>
            </w:pPr>
          </w:p>
        </w:tc>
        <w:tc>
          <w:tcPr>
            <w:tcW w:w="1280" w:type="dxa"/>
            <w:tcBorders>
              <w:top w:val="single" w:sz="8" w:space="0" w:color="auto"/>
              <w:left w:val="nil"/>
              <w:bottom w:val="nil"/>
              <w:right w:val="nil"/>
              <w:tl2br w:val="nil"/>
              <w:tr2bl w:val="nil"/>
            </w:tcBorders>
            <w:noWrap/>
            <w:textDirection w:val="lrTb"/>
            <w:vAlign w:val="bottom"/>
          </w:tcPr>
          <w:p w:rsidR="00F42A14">
            <w:pPr>
              <w:rPr>
                <w:rFonts w:ascii="Arial" w:hAnsi="Arial" w:cs="Arial"/>
                <w:sz w:val="20"/>
                <w:szCs w:val="20"/>
              </w:rPr>
            </w:pPr>
          </w:p>
        </w:tc>
        <w:tc>
          <w:tcPr>
            <w:tcW w:w="1360" w:type="dxa"/>
            <w:tcBorders>
              <w:top w:val="single" w:sz="8" w:space="0" w:color="auto"/>
              <w:left w:val="nil"/>
              <w:bottom w:val="nil"/>
              <w:right w:val="nil"/>
              <w:tl2br w:val="nil"/>
              <w:tr2bl w:val="nil"/>
            </w:tcBorders>
            <w:noWrap/>
            <w:textDirection w:val="lrTb"/>
            <w:vAlign w:val="bottom"/>
          </w:tcPr>
          <w:p w:rsidR="00F42A14">
            <w:pPr>
              <w:rPr>
                <w:rFonts w:ascii="Arial" w:hAnsi="Arial" w:cs="Arial"/>
                <w:sz w:val="20"/>
                <w:szCs w:val="20"/>
              </w:rPr>
            </w:pPr>
          </w:p>
        </w:tc>
      </w:tr>
    </w:tbl>
    <w:p w:rsidR="00DE3128" w:rsidP="00DE3128">
      <w:pPr>
        <w:spacing w:before="120" w:after="120" w:line="360" w:lineRule="auto"/>
        <w:ind w:firstLine="709"/>
        <w:jc w:val="both"/>
        <w:rPr>
          <w:rFonts w:ascii="Times New Roman" w:hAnsi="Times New Roman" w:cs="Times New Roman"/>
        </w:rPr>
      </w:pPr>
    </w:p>
    <w:p w:rsidR="00FB6644" w:rsidRPr="00DE3128" w:rsidP="00DE3128">
      <w:pPr>
        <w:jc w:val="center"/>
        <w:rPr>
          <w:rFonts w:ascii="Times New Roman" w:hAnsi="Times New Roman" w:cs="Times New Roman"/>
          <w:b/>
        </w:rPr>
      </w:pPr>
      <w:r w:rsidRPr="00DE3128">
        <w:rPr>
          <w:rFonts w:ascii="Times New Roman" w:hAnsi="Times New Roman" w:cs="Times New Roman"/>
          <w:b/>
        </w:rPr>
        <w:t>2.3. Rozpočtové vzťahy Slovenskej republiky a Európskej únie</w:t>
      </w:r>
    </w:p>
    <w:p w:rsidR="00FB6644" w:rsidRPr="00FB6644" w:rsidP="00FB6644">
      <w:pPr>
        <w:jc w:val="center"/>
        <w:rPr>
          <w:rFonts w:ascii="Times New Roman" w:hAnsi="Times New Roman" w:cs="Times New Roman"/>
        </w:rPr>
      </w:pPr>
    </w:p>
    <w:p w:rsidR="00FB6644" w:rsidRPr="00FB6644" w:rsidP="00FB6644">
      <w:pPr>
        <w:pStyle w:val="BodyTextIndent"/>
        <w:spacing w:before="120" w:line="360" w:lineRule="auto"/>
        <w:ind w:left="284" w:firstLine="709"/>
        <w:jc w:val="both"/>
        <w:rPr>
          <w:rFonts w:ascii="Times New Roman" w:hAnsi="Times New Roman" w:cs="Times New Roman"/>
        </w:rPr>
      </w:pPr>
      <w:r w:rsidRPr="00FB6644">
        <w:rPr>
          <w:rFonts w:ascii="Times New Roman" w:hAnsi="Times New Roman" w:cs="Times New Roman"/>
        </w:rPr>
        <w:t xml:space="preserve">Rok 2006 bol z pohľadu rozpočtových vzťahov SR a EÚ posledným rokom skráteného programového obdobia 2004-2006. Čerpanie finančných prostriedkov zo záväzkov daného obdobia v rámci niektorých fondov (napr. záručnej sekcie EAGGF) bolo rokom 2006 ukončené, avšak napr. pri štrukturálnych fondoch bude čerpanie finančných prostriedkov pokračovať až do roku 2008. Zároveň sa významnou mierou na čerpaní prostriedkov z EÚ podieľali aj finančné prostriedky z dobiehajúcich predvstupových fondov. </w:t>
      </w:r>
    </w:p>
    <w:p w:rsidR="00FB6644" w:rsidRPr="00FB6644" w:rsidP="00FB6644">
      <w:pPr>
        <w:pStyle w:val="BodyTextIndent"/>
        <w:spacing w:before="120" w:line="360" w:lineRule="auto"/>
        <w:ind w:left="284" w:firstLine="709"/>
        <w:jc w:val="both"/>
        <w:rPr>
          <w:rFonts w:ascii="Times New Roman" w:hAnsi="Times New Roman" w:cs="Times New Roman"/>
        </w:rPr>
      </w:pPr>
      <w:r w:rsidRPr="00FB6644">
        <w:rPr>
          <w:rFonts w:ascii="Times New Roman" w:hAnsi="Times New Roman" w:cs="Times New Roman"/>
        </w:rPr>
        <w:t xml:space="preserve">V roku 2006 sa SR aktívne podieľala na procese tvorby rozpočtu EÚ na rok 2007 a končiacich sa prípravách na nové programové obdobie 2007-2013. </w:t>
      </w:r>
    </w:p>
    <w:p w:rsidR="00FB6644" w:rsidRPr="00FB6644" w:rsidP="00FB6644">
      <w:pPr>
        <w:pStyle w:val="BodyTextIndent"/>
        <w:spacing w:before="120" w:line="360" w:lineRule="auto"/>
        <w:ind w:left="284" w:firstLine="709"/>
        <w:jc w:val="both"/>
        <w:rPr>
          <w:rFonts w:ascii="Times New Roman" w:hAnsi="Times New Roman" w:cs="Times New Roman"/>
        </w:rPr>
      </w:pPr>
      <w:r w:rsidRPr="00FB6644">
        <w:rPr>
          <w:rFonts w:ascii="Times New Roman" w:hAnsi="Times New Roman" w:cs="Times New Roman"/>
        </w:rPr>
        <w:t xml:space="preserve">Na základe porovnania skutočne odvedených prostriedkov SR do rozpočtu EÚ a prostriedkov poskytnutých z rozpočtu EÚ konečným prijímateľom/príjemcom pomoci môžeme tretí rok členstva SR v EÚ z pohľadu rozpočtových vzťahov hodnotiť pozitívne. SR získala v roku 2006 o 11 065,2 mil. Sk finančných prostriedkov viac ako odviedla (v mil. Sk). </w:t>
      </w:r>
    </w:p>
    <w:p w:rsidR="00D44C26">
      <w:pPr>
        <w:rPr>
          <w:rFonts w:ascii="Times New Roman" w:hAnsi="Times New Roman" w:cs="Times New Roman"/>
        </w:rPr>
      </w:pPr>
      <w:r>
        <w:rPr>
          <w:rFonts w:ascii="Times New Roman" w:hAnsi="Times New Roman" w:cs="Times New Roman"/>
        </w:rPr>
        <w:br w:type="page"/>
      </w:r>
    </w:p>
    <w:tbl>
      <w:tblPr>
        <w:tblW w:w="9258" w:type="dxa"/>
        <w:tblInd w:w="-62" w:type="dxa"/>
        <w:tblBorders>
          <w:top w:val="single" w:sz="8" w:space="0" w:color="auto"/>
          <w:left w:val="single" w:sz="8" w:space="0" w:color="auto"/>
          <w:bottom w:val="double" w:sz="6" w:space="0" w:color="auto"/>
          <w:right w:val="single" w:sz="8" w:space="0" w:color="auto"/>
          <w:insideH w:val="single" w:sz="6" w:space="0" w:color="auto"/>
          <w:insideV w:val="single" w:sz="6" w:space="0" w:color="auto"/>
        </w:tblBorders>
        <w:tblCellMar>
          <w:top w:w="0" w:type="dxa"/>
          <w:left w:w="70" w:type="dxa"/>
          <w:bottom w:w="0" w:type="dxa"/>
          <w:right w:w="70" w:type="dxa"/>
        </w:tblCellMar>
      </w:tblPr>
      <w:tblGrid>
        <w:gridCol w:w="1007"/>
        <w:gridCol w:w="4347"/>
        <w:gridCol w:w="1867"/>
        <w:gridCol w:w="2037"/>
      </w:tblGrid>
      <w:tr>
        <w:tblPrEx>
          <w:tblW w:w="9258" w:type="dxa"/>
          <w:tblInd w:w="-62" w:type="dxa"/>
          <w:tblBorders>
            <w:top w:val="single" w:sz="8" w:space="0" w:color="auto"/>
            <w:left w:val="single" w:sz="8" w:space="0" w:color="auto"/>
            <w:bottom w:val="double" w:sz="6" w:space="0" w:color="auto"/>
            <w:right w:val="single" w:sz="8" w:space="0" w:color="auto"/>
            <w:insideH w:val="single" w:sz="6" w:space="0" w:color="auto"/>
            <w:insideV w:val="single" w:sz="6" w:space="0" w:color="auto"/>
          </w:tblBorders>
          <w:tblCellMar>
            <w:top w:w="0" w:type="dxa"/>
            <w:left w:w="70" w:type="dxa"/>
            <w:bottom w:w="0" w:type="dxa"/>
            <w:right w:w="70" w:type="dxa"/>
          </w:tblCellMar>
        </w:tblPrEx>
        <w:trPr>
          <w:trHeight w:val="432"/>
        </w:trPr>
        <w:tc>
          <w:tcPr>
            <w:tcW w:w="5354" w:type="dxa"/>
            <w:gridSpan w:val="2"/>
            <w:tcBorders>
              <w:top w:val="single" w:sz="8"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D44C26" w:rsidP="00FB6644">
            <w:pPr>
              <w:jc w:val="right"/>
              <w:rPr>
                <w:rFonts w:ascii="Times New Roman" w:hAnsi="Times New Roman" w:cs="Times New Roman"/>
                <w:sz w:val="20"/>
                <w:szCs w:val="20"/>
              </w:rPr>
            </w:pPr>
          </w:p>
        </w:tc>
        <w:tc>
          <w:tcPr>
            <w:tcW w:w="1867" w:type="dxa"/>
            <w:tcBorders>
              <w:top w:val="single" w:sz="8" w:space="0" w:color="auto"/>
              <w:left w:val="single" w:sz="6" w:space="0" w:color="auto"/>
              <w:bottom w:val="single" w:sz="6" w:space="0" w:color="auto"/>
              <w:right w:val="single" w:sz="6" w:space="0" w:color="auto"/>
              <w:tl2br w:val="nil"/>
              <w:tr2bl w:val="nil"/>
            </w:tcBorders>
            <w:textDirection w:val="lrTb"/>
            <w:vAlign w:val="center"/>
          </w:tcPr>
          <w:p w:rsidR="00FB6644" w:rsidRPr="00D44C26" w:rsidP="00D44C26">
            <w:pPr>
              <w:pStyle w:val="Heading9"/>
              <w:rPr>
                <w:rFonts w:ascii="Times New Roman" w:hAnsi="Times New Roman" w:cs="Times New Roman"/>
                <w:szCs w:val="20"/>
              </w:rPr>
            </w:pPr>
            <w:r w:rsidRPr="00D44C26">
              <w:rPr>
                <w:rFonts w:ascii="Times New Roman" w:hAnsi="Times New Roman" w:cs="Times New Roman"/>
                <w:szCs w:val="20"/>
              </w:rPr>
              <w:t>Skutočnosť 2005</w:t>
            </w:r>
          </w:p>
        </w:tc>
        <w:tc>
          <w:tcPr>
            <w:tcW w:w="2037" w:type="dxa"/>
            <w:tcBorders>
              <w:top w:val="single" w:sz="8" w:space="0" w:color="auto"/>
              <w:left w:val="single" w:sz="6" w:space="0" w:color="auto"/>
              <w:bottom w:val="single" w:sz="6" w:space="0" w:color="auto"/>
              <w:right w:val="single" w:sz="8" w:space="0" w:color="auto"/>
              <w:tl2br w:val="nil"/>
              <w:tr2bl w:val="nil"/>
            </w:tcBorders>
            <w:textDirection w:val="lrTb"/>
            <w:vAlign w:val="center"/>
          </w:tcPr>
          <w:p w:rsidR="00FB6644" w:rsidRPr="00D44C26" w:rsidP="00D44C26">
            <w:pPr>
              <w:pStyle w:val="Heading9"/>
              <w:rPr>
                <w:rFonts w:ascii="Times New Roman" w:hAnsi="Times New Roman" w:cs="Times New Roman"/>
                <w:szCs w:val="20"/>
              </w:rPr>
            </w:pPr>
            <w:r w:rsidRPr="00D44C26">
              <w:rPr>
                <w:rFonts w:ascii="Times New Roman" w:hAnsi="Times New Roman" w:cs="Times New Roman"/>
                <w:szCs w:val="20"/>
              </w:rPr>
              <w:t>Skutočnosť 2006</w:t>
            </w:r>
          </w:p>
        </w:tc>
      </w:tr>
      <w:tr>
        <w:tblPrEx>
          <w:tblW w:w="9258" w:type="dxa"/>
          <w:tblInd w:w="-62" w:type="dxa"/>
          <w:tblCellMar>
            <w:top w:w="0" w:type="dxa"/>
            <w:left w:w="70" w:type="dxa"/>
            <w:bottom w:w="0" w:type="dxa"/>
            <w:right w:w="70" w:type="dxa"/>
          </w:tblCellMar>
        </w:tblPrEx>
        <w:trPr>
          <w:trHeight w:val="276"/>
        </w:trPr>
        <w:tc>
          <w:tcPr>
            <w:tcW w:w="1007"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center"/>
          </w:tcPr>
          <w:p w:rsidR="00FB6644" w:rsidRPr="00D44C26" w:rsidP="00FB6644">
            <w:pPr>
              <w:jc w:val="center"/>
              <w:rPr>
                <w:rFonts w:ascii="Times New Roman" w:hAnsi="Times New Roman" w:cs="Times New Roman"/>
                <w:sz w:val="20"/>
                <w:szCs w:val="20"/>
              </w:rPr>
            </w:pPr>
            <w:r w:rsidRPr="00D44C26">
              <w:rPr>
                <w:rFonts w:ascii="Times New Roman" w:hAnsi="Times New Roman" w:cs="Times New Roman"/>
                <w:sz w:val="20"/>
                <w:szCs w:val="20"/>
              </w:rPr>
              <w:t>A</w:t>
            </w:r>
          </w:p>
        </w:tc>
        <w:tc>
          <w:tcPr>
            <w:tcW w:w="4347"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D44C26" w:rsidP="00FB6644">
            <w:pPr>
              <w:rPr>
                <w:rFonts w:ascii="Times New Roman" w:hAnsi="Times New Roman" w:cs="Times New Roman"/>
                <w:sz w:val="20"/>
                <w:szCs w:val="20"/>
              </w:rPr>
            </w:pPr>
            <w:r w:rsidRPr="00D44C26">
              <w:rPr>
                <w:rFonts w:ascii="Times New Roman" w:hAnsi="Times New Roman" w:cs="Times New Roman"/>
                <w:sz w:val="20"/>
                <w:szCs w:val="20"/>
              </w:rPr>
              <w:t>Odvody a príspevky spolu</w:t>
            </w:r>
          </w:p>
        </w:tc>
        <w:tc>
          <w:tcPr>
            <w:tcW w:w="1867"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D44C26" w:rsidP="00FB6644">
            <w:pPr>
              <w:jc w:val="right"/>
              <w:rPr>
                <w:rFonts w:ascii="Times New Roman" w:hAnsi="Times New Roman" w:cs="Times New Roman"/>
                <w:sz w:val="20"/>
                <w:szCs w:val="20"/>
              </w:rPr>
            </w:pPr>
            <w:r w:rsidRPr="00D44C26">
              <w:rPr>
                <w:rFonts w:ascii="Times New Roman" w:hAnsi="Times New Roman" w:cs="Times New Roman"/>
                <w:sz w:val="20"/>
                <w:szCs w:val="20"/>
              </w:rPr>
              <w:t>14 585,7</w:t>
            </w:r>
          </w:p>
        </w:tc>
        <w:tc>
          <w:tcPr>
            <w:tcW w:w="2037"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D44C26" w:rsidP="00FB6644">
            <w:pPr>
              <w:jc w:val="right"/>
              <w:rPr>
                <w:rFonts w:ascii="Times New Roman" w:hAnsi="Times New Roman" w:cs="Times New Roman"/>
                <w:sz w:val="20"/>
                <w:szCs w:val="20"/>
              </w:rPr>
            </w:pPr>
            <w:r w:rsidRPr="00D44C26">
              <w:rPr>
                <w:rFonts w:ascii="Times New Roman" w:hAnsi="Times New Roman" w:cs="Times New Roman"/>
                <w:sz w:val="20"/>
                <w:szCs w:val="20"/>
              </w:rPr>
              <w:t>15 856,1</w:t>
            </w:r>
          </w:p>
        </w:tc>
      </w:tr>
      <w:tr>
        <w:tblPrEx>
          <w:tblW w:w="9258" w:type="dxa"/>
          <w:tblInd w:w="-62" w:type="dxa"/>
          <w:tblCellMar>
            <w:top w:w="0" w:type="dxa"/>
            <w:left w:w="70" w:type="dxa"/>
            <w:bottom w:w="0" w:type="dxa"/>
            <w:right w:w="70" w:type="dxa"/>
          </w:tblCellMar>
        </w:tblPrEx>
        <w:trPr>
          <w:trHeight w:val="276"/>
        </w:trPr>
        <w:tc>
          <w:tcPr>
            <w:tcW w:w="1007"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center"/>
          </w:tcPr>
          <w:p w:rsidR="00FB6644" w:rsidRPr="00D44C26" w:rsidP="00FB6644">
            <w:pPr>
              <w:jc w:val="center"/>
              <w:rPr>
                <w:rFonts w:ascii="Times New Roman" w:hAnsi="Times New Roman" w:cs="Times New Roman"/>
                <w:bCs/>
                <w:sz w:val="20"/>
                <w:szCs w:val="20"/>
              </w:rPr>
            </w:pPr>
            <w:r w:rsidRPr="00D44C26">
              <w:rPr>
                <w:rFonts w:ascii="Times New Roman" w:hAnsi="Times New Roman" w:cs="Times New Roman"/>
                <w:bCs/>
                <w:sz w:val="20"/>
                <w:szCs w:val="20"/>
              </w:rPr>
              <w:t>B=B1+B2</w:t>
            </w:r>
          </w:p>
        </w:tc>
        <w:tc>
          <w:tcPr>
            <w:tcW w:w="4347"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D44C26" w:rsidP="00FB6644">
            <w:pPr>
              <w:rPr>
                <w:rFonts w:ascii="Times New Roman" w:hAnsi="Times New Roman" w:cs="Times New Roman"/>
                <w:bCs/>
                <w:sz w:val="20"/>
                <w:szCs w:val="20"/>
              </w:rPr>
            </w:pPr>
            <w:r w:rsidRPr="00D44C26">
              <w:rPr>
                <w:rFonts w:ascii="Times New Roman" w:hAnsi="Times New Roman" w:cs="Times New Roman"/>
                <w:bCs/>
                <w:sz w:val="20"/>
                <w:szCs w:val="20"/>
              </w:rPr>
              <w:t>Príjmy z EÚ spolu</w:t>
            </w:r>
          </w:p>
        </w:tc>
        <w:tc>
          <w:tcPr>
            <w:tcW w:w="1867"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D44C26" w:rsidP="00FB6644">
            <w:pPr>
              <w:jc w:val="right"/>
              <w:rPr>
                <w:rFonts w:ascii="Times New Roman" w:hAnsi="Times New Roman" w:cs="Times New Roman"/>
                <w:bCs/>
                <w:sz w:val="20"/>
                <w:szCs w:val="20"/>
              </w:rPr>
            </w:pPr>
            <w:r w:rsidRPr="00D44C26">
              <w:rPr>
                <w:rFonts w:ascii="Times New Roman" w:hAnsi="Times New Roman" w:cs="Times New Roman"/>
                <w:bCs/>
                <w:sz w:val="20"/>
                <w:szCs w:val="20"/>
              </w:rPr>
              <w:t>20 900,6</w:t>
            </w:r>
          </w:p>
        </w:tc>
        <w:tc>
          <w:tcPr>
            <w:tcW w:w="2037"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D44C26" w:rsidP="00FB6644">
            <w:pPr>
              <w:jc w:val="right"/>
              <w:rPr>
                <w:rFonts w:ascii="Times New Roman" w:hAnsi="Times New Roman" w:cs="Times New Roman"/>
                <w:sz w:val="20"/>
                <w:szCs w:val="20"/>
              </w:rPr>
            </w:pPr>
            <w:r w:rsidRPr="00D44C26">
              <w:rPr>
                <w:rFonts w:ascii="Times New Roman" w:hAnsi="Times New Roman" w:cs="Times New Roman"/>
                <w:sz w:val="20"/>
                <w:szCs w:val="20"/>
              </w:rPr>
              <w:t>26 921,3</w:t>
            </w:r>
          </w:p>
        </w:tc>
      </w:tr>
      <w:tr>
        <w:tblPrEx>
          <w:tblW w:w="9258" w:type="dxa"/>
          <w:tblInd w:w="-62" w:type="dxa"/>
          <w:tblCellMar>
            <w:top w:w="0" w:type="dxa"/>
            <w:left w:w="70" w:type="dxa"/>
            <w:bottom w:w="0" w:type="dxa"/>
            <w:right w:w="70" w:type="dxa"/>
          </w:tblCellMar>
        </w:tblPrEx>
        <w:trPr>
          <w:trHeight w:val="276"/>
        </w:trPr>
        <w:tc>
          <w:tcPr>
            <w:tcW w:w="1007"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center"/>
          </w:tcPr>
          <w:p w:rsidR="00FB6644" w:rsidRPr="00D44C26" w:rsidP="00FB6644">
            <w:pPr>
              <w:jc w:val="center"/>
              <w:rPr>
                <w:rFonts w:ascii="Times New Roman" w:hAnsi="Times New Roman" w:cs="Times New Roman"/>
                <w:i/>
                <w:iCs/>
                <w:sz w:val="20"/>
                <w:szCs w:val="20"/>
              </w:rPr>
            </w:pPr>
            <w:r w:rsidRPr="00D44C26">
              <w:rPr>
                <w:rFonts w:ascii="Times New Roman" w:hAnsi="Times New Roman" w:cs="Times New Roman"/>
                <w:i/>
                <w:iCs/>
                <w:sz w:val="20"/>
                <w:szCs w:val="20"/>
              </w:rPr>
              <w:t>B1</w:t>
            </w:r>
          </w:p>
        </w:tc>
        <w:tc>
          <w:tcPr>
            <w:tcW w:w="4347"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D44C26" w:rsidP="00FB6644">
            <w:pPr>
              <w:rPr>
                <w:rFonts w:ascii="Times New Roman" w:hAnsi="Times New Roman" w:cs="Times New Roman"/>
                <w:i/>
                <w:iCs/>
                <w:sz w:val="20"/>
                <w:szCs w:val="20"/>
              </w:rPr>
            </w:pPr>
            <w:r w:rsidRPr="00D44C26">
              <w:rPr>
                <w:rFonts w:ascii="Times New Roman" w:hAnsi="Times New Roman" w:cs="Times New Roman"/>
                <w:i/>
                <w:iCs/>
                <w:sz w:val="20"/>
                <w:szCs w:val="20"/>
              </w:rPr>
              <w:t xml:space="preserve">Príjmy z EÚ </w:t>
            </w:r>
            <w:r w:rsidRPr="00D44C26">
              <w:rPr>
                <w:rFonts w:ascii="Times New Roman" w:hAnsi="Times New Roman" w:cs="Times New Roman"/>
                <w:i/>
                <w:iCs/>
                <w:sz w:val="20"/>
                <w:szCs w:val="20"/>
                <w:u w:val="single"/>
              </w:rPr>
              <w:t>zaradené</w:t>
            </w:r>
            <w:r w:rsidRPr="00D44C26">
              <w:rPr>
                <w:rFonts w:ascii="Times New Roman" w:hAnsi="Times New Roman" w:cs="Times New Roman"/>
                <w:i/>
                <w:iCs/>
                <w:sz w:val="20"/>
                <w:szCs w:val="20"/>
              </w:rPr>
              <w:t xml:space="preserve"> do príjmov štátneho rozpočtu</w:t>
            </w:r>
          </w:p>
        </w:tc>
        <w:tc>
          <w:tcPr>
            <w:tcW w:w="1867"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D44C26" w:rsidP="00FB6644">
            <w:pPr>
              <w:jc w:val="right"/>
              <w:rPr>
                <w:rFonts w:ascii="Times New Roman" w:hAnsi="Times New Roman" w:cs="Times New Roman"/>
                <w:i/>
                <w:iCs/>
                <w:sz w:val="20"/>
                <w:szCs w:val="20"/>
              </w:rPr>
            </w:pPr>
            <w:r w:rsidRPr="00D44C26">
              <w:rPr>
                <w:rFonts w:ascii="Times New Roman" w:hAnsi="Times New Roman" w:cs="Times New Roman"/>
                <w:i/>
                <w:iCs/>
                <w:sz w:val="20"/>
                <w:szCs w:val="20"/>
              </w:rPr>
              <w:t>13 </w:t>
            </w:r>
            <w:r w:rsidRPr="00D44C26">
              <w:rPr>
                <w:rFonts w:ascii="Times New Roman" w:hAnsi="Times New Roman" w:cs="Times New Roman"/>
                <w:i/>
                <w:iCs/>
                <w:sz w:val="20"/>
                <w:szCs w:val="20"/>
              </w:rPr>
              <w:t>869,3</w:t>
            </w:r>
          </w:p>
        </w:tc>
        <w:tc>
          <w:tcPr>
            <w:tcW w:w="2037"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D44C26" w:rsidP="00FB6644">
            <w:pPr>
              <w:jc w:val="right"/>
              <w:rPr>
                <w:rFonts w:ascii="Times New Roman" w:hAnsi="Times New Roman" w:cs="Times New Roman"/>
                <w:i/>
                <w:iCs/>
                <w:sz w:val="20"/>
                <w:szCs w:val="20"/>
              </w:rPr>
            </w:pPr>
            <w:r w:rsidRPr="00D44C26">
              <w:rPr>
                <w:rFonts w:ascii="Times New Roman" w:hAnsi="Times New Roman" w:cs="Times New Roman"/>
                <w:i/>
                <w:iCs/>
                <w:sz w:val="20"/>
                <w:szCs w:val="20"/>
              </w:rPr>
              <w:t>20 420,7</w:t>
            </w:r>
          </w:p>
        </w:tc>
      </w:tr>
      <w:tr>
        <w:tblPrEx>
          <w:tblW w:w="9258" w:type="dxa"/>
          <w:tblInd w:w="-62" w:type="dxa"/>
          <w:tblCellMar>
            <w:top w:w="0" w:type="dxa"/>
            <w:left w:w="70" w:type="dxa"/>
            <w:bottom w:w="0" w:type="dxa"/>
            <w:right w:w="70" w:type="dxa"/>
          </w:tblCellMar>
        </w:tblPrEx>
        <w:trPr>
          <w:trHeight w:val="276"/>
        </w:trPr>
        <w:tc>
          <w:tcPr>
            <w:tcW w:w="1007"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center"/>
          </w:tcPr>
          <w:p w:rsidR="00FB6644" w:rsidRPr="00D44C26" w:rsidP="00FB6644">
            <w:pPr>
              <w:jc w:val="center"/>
              <w:rPr>
                <w:rFonts w:ascii="Times New Roman" w:hAnsi="Times New Roman" w:cs="Times New Roman"/>
                <w:i/>
                <w:iCs/>
                <w:sz w:val="20"/>
                <w:szCs w:val="20"/>
              </w:rPr>
            </w:pPr>
            <w:r w:rsidRPr="00D44C26">
              <w:rPr>
                <w:rFonts w:ascii="Times New Roman" w:hAnsi="Times New Roman" w:cs="Times New Roman"/>
                <w:i/>
                <w:iCs/>
                <w:sz w:val="20"/>
                <w:szCs w:val="20"/>
              </w:rPr>
              <w:t>B2</w:t>
            </w:r>
          </w:p>
        </w:tc>
        <w:tc>
          <w:tcPr>
            <w:tcW w:w="4347"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D44C26" w:rsidP="00FB6644">
            <w:pPr>
              <w:rPr>
                <w:rFonts w:ascii="Times New Roman" w:hAnsi="Times New Roman" w:cs="Times New Roman"/>
                <w:i/>
                <w:iCs/>
                <w:sz w:val="20"/>
                <w:szCs w:val="20"/>
              </w:rPr>
            </w:pPr>
            <w:r w:rsidRPr="00D44C26">
              <w:rPr>
                <w:rFonts w:ascii="Times New Roman" w:hAnsi="Times New Roman" w:cs="Times New Roman"/>
                <w:i/>
                <w:iCs/>
                <w:sz w:val="20"/>
                <w:szCs w:val="20"/>
              </w:rPr>
              <w:t xml:space="preserve">Príjmy z EÚ </w:t>
            </w:r>
            <w:r w:rsidRPr="00D44C26">
              <w:rPr>
                <w:rFonts w:ascii="Times New Roman" w:hAnsi="Times New Roman" w:cs="Times New Roman"/>
                <w:i/>
                <w:iCs/>
                <w:sz w:val="20"/>
                <w:szCs w:val="20"/>
                <w:u w:val="single"/>
              </w:rPr>
              <w:t xml:space="preserve">nezaradené </w:t>
            </w:r>
            <w:r w:rsidRPr="00D44C26">
              <w:rPr>
                <w:rFonts w:ascii="Times New Roman" w:hAnsi="Times New Roman" w:cs="Times New Roman"/>
                <w:i/>
                <w:iCs/>
                <w:sz w:val="20"/>
                <w:szCs w:val="20"/>
              </w:rPr>
              <w:t>do príjmov štátneho rozpočtu</w:t>
            </w:r>
          </w:p>
        </w:tc>
        <w:tc>
          <w:tcPr>
            <w:tcW w:w="1867"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D44C26" w:rsidP="00FB6644">
            <w:pPr>
              <w:jc w:val="right"/>
              <w:rPr>
                <w:rFonts w:ascii="Times New Roman" w:hAnsi="Times New Roman" w:cs="Times New Roman"/>
                <w:i/>
                <w:iCs/>
                <w:sz w:val="20"/>
                <w:szCs w:val="20"/>
              </w:rPr>
            </w:pPr>
            <w:r w:rsidRPr="00D44C26">
              <w:rPr>
                <w:rFonts w:ascii="Times New Roman" w:hAnsi="Times New Roman" w:cs="Times New Roman"/>
                <w:i/>
                <w:iCs/>
                <w:sz w:val="20"/>
                <w:szCs w:val="20"/>
              </w:rPr>
              <w:t>7 031,3</w:t>
            </w:r>
          </w:p>
        </w:tc>
        <w:tc>
          <w:tcPr>
            <w:tcW w:w="2037"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D44C26" w:rsidP="00FB6644">
            <w:pPr>
              <w:jc w:val="right"/>
              <w:rPr>
                <w:rFonts w:ascii="Times New Roman" w:hAnsi="Times New Roman" w:cs="Times New Roman"/>
                <w:i/>
                <w:iCs/>
                <w:sz w:val="20"/>
                <w:szCs w:val="20"/>
              </w:rPr>
            </w:pPr>
            <w:r w:rsidRPr="00D44C26">
              <w:rPr>
                <w:rFonts w:ascii="Times New Roman" w:hAnsi="Times New Roman" w:cs="Times New Roman"/>
                <w:i/>
                <w:iCs/>
                <w:sz w:val="20"/>
                <w:szCs w:val="20"/>
              </w:rPr>
              <w:t>6 500,6</w:t>
            </w:r>
          </w:p>
        </w:tc>
      </w:tr>
      <w:tr>
        <w:tblPrEx>
          <w:tblW w:w="9258" w:type="dxa"/>
          <w:tblInd w:w="-62" w:type="dxa"/>
          <w:tblCellMar>
            <w:top w:w="0" w:type="dxa"/>
            <w:left w:w="70" w:type="dxa"/>
            <w:bottom w:w="0" w:type="dxa"/>
            <w:right w:w="70" w:type="dxa"/>
          </w:tblCellMar>
        </w:tblPrEx>
        <w:trPr>
          <w:trHeight w:val="276"/>
        </w:trPr>
        <w:tc>
          <w:tcPr>
            <w:tcW w:w="1007" w:type="dxa"/>
            <w:tcBorders>
              <w:top w:val="single" w:sz="6" w:space="0" w:color="auto"/>
              <w:left w:val="single" w:sz="8" w:space="0" w:color="auto"/>
              <w:bottom w:val="double" w:sz="6" w:space="0" w:color="auto"/>
              <w:right w:val="single" w:sz="6" w:space="0" w:color="auto"/>
              <w:tl2br w:val="nil"/>
              <w:tr2bl w:val="nil"/>
            </w:tcBorders>
            <w:tcMar>
              <w:left w:w="0" w:type="dxa"/>
              <w:right w:w="0" w:type="dxa"/>
            </w:tcMar>
            <w:textDirection w:val="lrTb"/>
            <w:vAlign w:val="center"/>
          </w:tcPr>
          <w:p w:rsidR="00FB6644" w:rsidRPr="00D44C26" w:rsidP="00FB6644">
            <w:pPr>
              <w:jc w:val="center"/>
              <w:rPr>
                <w:rFonts w:ascii="Times New Roman" w:hAnsi="Times New Roman" w:cs="Times New Roman"/>
                <w:b/>
                <w:bCs/>
                <w:sz w:val="20"/>
                <w:szCs w:val="20"/>
              </w:rPr>
            </w:pPr>
            <w:r w:rsidRPr="00D44C26">
              <w:rPr>
                <w:rFonts w:ascii="Times New Roman" w:hAnsi="Times New Roman" w:cs="Times New Roman"/>
                <w:b/>
                <w:bCs/>
                <w:sz w:val="20"/>
                <w:szCs w:val="20"/>
              </w:rPr>
              <w:t>C=B-A</w:t>
            </w:r>
          </w:p>
        </w:tc>
        <w:tc>
          <w:tcPr>
            <w:tcW w:w="4347"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D44C26" w:rsidP="00FB6644">
            <w:pPr>
              <w:pStyle w:val="Heading2"/>
              <w:rPr>
                <w:rFonts w:ascii="Times New Roman" w:hAnsi="Times New Roman" w:cs="Times New Roman"/>
                <w:szCs w:val="20"/>
              </w:rPr>
            </w:pPr>
            <w:r w:rsidRPr="00D44C26">
              <w:rPr>
                <w:rFonts w:ascii="Times New Roman" w:hAnsi="Times New Roman" w:cs="Times New Roman"/>
                <w:szCs w:val="20"/>
              </w:rPr>
              <w:t>Spolu</w:t>
            </w:r>
          </w:p>
        </w:tc>
        <w:tc>
          <w:tcPr>
            <w:tcW w:w="1867"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D44C26" w:rsidP="00FB6644">
            <w:pPr>
              <w:pStyle w:val="Heading2"/>
              <w:jc w:val="right"/>
              <w:rPr>
                <w:rFonts w:ascii="Times New Roman" w:hAnsi="Times New Roman" w:cs="Times New Roman"/>
                <w:szCs w:val="20"/>
              </w:rPr>
            </w:pPr>
            <w:r w:rsidRPr="00D44C26">
              <w:rPr>
                <w:rFonts w:ascii="Times New Roman" w:hAnsi="Times New Roman" w:cs="Times New Roman"/>
                <w:szCs w:val="20"/>
              </w:rPr>
              <w:t>6 314,9</w:t>
            </w:r>
          </w:p>
        </w:tc>
        <w:tc>
          <w:tcPr>
            <w:tcW w:w="2037" w:type="dxa"/>
            <w:tcBorders>
              <w:top w:val="single" w:sz="6" w:space="0" w:color="auto"/>
              <w:left w:val="single" w:sz="6" w:space="0" w:color="auto"/>
              <w:bottom w:val="double" w:sz="6" w:space="0" w:color="auto"/>
              <w:right w:val="single" w:sz="8" w:space="0" w:color="auto"/>
              <w:tl2br w:val="nil"/>
              <w:tr2bl w:val="nil"/>
            </w:tcBorders>
            <w:textDirection w:val="lrTb"/>
            <w:vAlign w:val="bottom"/>
          </w:tcPr>
          <w:p w:rsidR="00FB6644" w:rsidRPr="00D44C26" w:rsidP="00FB6644">
            <w:pPr>
              <w:jc w:val="right"/>
              <w:rPr>
                <w:rFonts w:ascii="Times New Roman" w:hAnsi="Times New Roman" w:cs="Times New Roman"/>
                <w:b/>
                <w:bCs/>
                <w:sz w:val="20"/>
                <w:szCs w:val="20"/>
              </w:rPr>
            </w:pPr>
            <w:r w:rsidRPr="00D44C26">
              <w:rPr>
                <w:rFonts w:ascii="Times New Roman" w:hAnsi="Times New Roman" w:cs="Times New Roman"/>
                <w:b/>
                <w:bCs/>
                <w:sz w:val="20"/>
                <w:szCs w:val="20"/>
              </w:rPr>
              <w:t>11 065,2</w:t>
            </w:r>
          </w:p>
        </w:tc>
      </w:tr>
    </w:tbl>
    <w:p w:rsidR="00FB6644" w:rsidRPr="00FB6644" w:rsidP="00FB6644">
      <w:pPr>
        <w:spacing w:after="120"/>
        <w:rPr>
          <w:rFonts w:ascii="Times New Roman" w:hAnsi="Times New Roman" w:cs="Times New Roman"/>
        </w:rPr>
      </w:pPr>
    </w:p>
    <w:p w:rsidR="00FB6644" w:rsidRPr="00FB6644" w:rsidP="00FB6644">
      <w:pPr>
        <w:spacing w:after="120"/>
        <w:rPr>
          <w:rFonts w:ascii="Times New Roman" w:hAnsi="Times New Roman" w:cs="Times New Roman"/>
          <w:b/>
        </w:rPr>
      </w:pPr>
    </w:p>
    <w:p w:rsidR="00FB6644" w:rsidRPr="00FB6644" w:rsidP="00FB6644">
      <w:pPr>
        <w:pStyle w:val="Heading4"/>
        <w:numPr>
          <w:ilvl w:val="2"/>
          <w:numId w:val="11"/>
        </w:numPr>
        <w:tabs>
          <w:tab w:val="left" w:pos="720"/>
        </w:tabs>
        <w:spacing w:line="360" w:lineRule="auto"/>
        <w:jc w:val="center"/>
        <w:rPr>
          <w:rFonts w:ascii="Times New Roman" w:hAnsi="Times New Roman" w:cs="Times New Roman"/>
          <w:sz w:val="24"/>
        </w:rPr>
      </w:pPr>
      <w:r w:rsidRPr="00FB6644">
        <w:rPr>
          <w:rFonts w:ascii="Times New Roman" w:hAnsi="Times New Roman" w:cs="Times New Roman"/>
          <w:sz w:val="24"/>
        </w:rPr>
        <w:t>Príjmy z rozpočtu Európskej únie zaradené a nezaradené do príjmov štátneho rozpočtu</w:t>
      </w:r>
    </w:p>
    <w:p w:rsidR="00FB6644" w:rsidRPr="00FB6644" w:rsidP="00FB6644">
      <w:pPr>
        <w:rPr>
          <w:rFonts w:ascii="Times New Roman" w:hAnsi="Times New Roman" w:cs="Times New Roman"/>
        </w:rPr>
      </w:pPr>
    </w:p>
    <w:p w:rsidR="00FB6644" w:rsidRPr="00FB6644" w:rsidP="00FB6644">
      <w:pPr>
        <w:spacing w:before="120" w:after="120" w:line="360" w:lineRule="auto"/>
        <w:ind w:firstLine="709"/>
        <w:jc w:val="both"/>
        <w:rPr>
          <w:rFonts w:ascii="Times New Roman" w:hAnsi="Times New Roman" w:cs="Times New Roman"/>
        </w:rPr>
      </w:pPr>
      <w:r w:rsidRPr="00FB6644">
        <w:rPr>
          <w:rFonts w:ascii="Times New Roman" w:hAnsi="Times New Roman" w:cs="Times New Roman"/>
        </w:rPr>
        <w:t>Prostriedky poskytnuté z rozpočtu EÚ a zaradené do príjmov štátneho rozpočtu boli rozpočtované vo výške 27 880,2 mil. Sk. Skutočné plnenie predstavuje  20 420,7 mil. Sk.</w:t>
      </w:r>
    </w:p>
    <w:p w:rsidR="00FB6644" w:rsidP="00234CF8">
      <w:pPr>
        <w:spacing w:before="120" w:after="120" w:line="360" w:lineRule="auto"/>
        <w:ind w:firstLine="709"/>
        <w:jc w:val="both"/>
        <w:rPr>
          <w:rFonts w:ascii="Times New Roman" w:hAnsi="Times New Roman" w:cs="Times New Roman"/>
        </w:rPr>
      </w:pPr>
      <w:r w:rsidRPr="00FB6644">
        <w:rPr>
          <w:rFonts w:ascii="Times New Roman" w:hAnsi="Times New Roman" w:cs="Times New Roman"/>
        </w:rPr>
        <w:t>Podrobnú štruktúru uvedených prostriedkov charakterizujú údaje nasledovnej tabuľky (v mil. Sk):</w:t>
      </w:r>
    </w:p>
    <w:p w:rsidR="00FB6644" w:rsidRPr="00FB6644" w:rsidP="00FB6644">
      <w:pPr>
        <w:spacing w:before="120" w:after="120" w:line="360" w:lineRule="auto"/>
        <w:ind w:firstLine="709"/>
        <w:jc w:val="both"/>
        <w:rPr>
          <w:rFonts w:ascii="Times New Roman" w:hAnsi="Times New Roman" w:cs="Times New Roman"/>
        </w:rPr>
      </w:pPr>
    </w:p>
    <w:tbl>
      <w:tblPr>
        <w:tblW w:w="0" w:type="auto"/>
        <w:tblBorders>
          <w:top w:val="single" w:sz="8" w:space="0" w:color="auto"/>
          <w:left w:val="single" w:sz="8" w:space="0" w:color="auto"/>
          <w:bottom w:val="double" w:sz="6" w:space="0" w:color="auto"/>
          <w:right w:val="single" w:sz="8" w:space="0" w:color="auto"/>
          <w:insideH w:val="single" w:sz="6" w:space="0" w:color="auto"/>
          <w:insideV w:val="single" w:sz="6" w:space="0" w:color="auto"/>
        </w:tblBorders>
        <w:tblCellMar>
          <w:top w:w="0" w:type="dxa"/>
          <w:left w:w="70" w:type="dxa"/>
          <w:bottom w:w="0" w:type="dxa"/>
          <w:right w:w="70" w:type="dxa"/>
        </w:tblCellMar>
      </w:tblPr>
      <w:tblGrid>
        <w:gridCol w:w="1408"/>
        <w:gridCol w:w="1123"/>
        <w:gridCol w:w="1139"/>
        <w:gridCol w:w="1080"/>
        <w:gridCol w:w="1260"/>
        <w:gridCol w:w="1080"/>
        <w:gridCol w:w="1067"/>
        <w:gridCol w:w="1010"/>
      </w:tblGrid>
      <w:tr>
        <w:tblPrEx>
          <w:tblW w:w="0" w:type="auto"/>
          <w:tblBorders>
            <w:top w:val="single" w:sz="8" w:space="0" w:color="auto"/>
            <w:left w:val="single" w:sz="8" w:space="0" w:color="auto"/>
            <w:bottom w:val="double" w:sz="6" w:space="0" w:color="auto"/>
            <w:right w:val="single" w:sz="8" w:space="0" w:color="auto"/>
            <w:insideH w:val="single" w:sz="6" w:space="0" w:color="auto"/>
            <w:insideV w:val="single" w:sz="6" w:space="0" w:color="auto"/>
          </w:tblBorders>
          <w:tblCellMar>
            <w:top w:w="0" w:type="dxa"/>
            <w:left w:w="70" w:type="dxa"/>
            <w:bottom w:w="0" w:type="dxa"/>
            <w:right w:w="70" w:type="dxa"/>
          </w:tblCellMar>
        </w:tblPrEx>
        <w:trPr>
          <w:cantSplit/>
          <w:trHeight w:hRule="auto" w:val="0"/>
        </w:trPr>
        <w:tc>
          <w:tcPr>
            <w:tcW w:w="1408" w:type="dxa"/>
            <w:vMerge w:val="restart"/>
            <w:tcBorders>
              <w:top w:val="single" w:sz="8" w:space="0" w:color="auto"/>
              <w:left w:val="single" w:sz="8"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both"/>
              <w:rPr>
                <w:rFonts w:ascii="Times New Roman" w:hAnsi="Times New Roman" w:cs="Times New Roman"/>
                <w:sz w:val="20"/>
                <w:szCs w:val="20"/>
              </w:rPr>
            </w:pPr>
          </w:p>
        </w:tc>
        <w:tc>
          <w:tcPr>
            <w:tcW w:w="1123"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96069D" w:rsidP="00FB6644">
            <w:pPr>
              <w:jc w:val="center"/>
              <w:rPr>
                <w:rFonts w:ascii="Times New Roman" w:hAnsi="Times New Roman" w:cs="Times New Roman"/>
                <w:b/>
                <w:bCs/>
                <w:sz w:val="20"/>
                <w:szCs w:val="20"/>
              </w:rPr>
            </w:pPr>
            <w:r w:rsidRPr="0096069D">
              <w:rPr>
                <w:rFonts w:ascii="Times New Roman" w:hAnsi="Times New Roman" w:cs="Times New Roman"/>
                <w:b/>
                <w:bCs/>
                <w:sz w:val="20"/>
                <w:szCs w:val="20"/>
              </w:rPr>
              <w:t>Skutočnosť 2005</w:t>
            </w:r>
          </w:p>
        </w:tc>
        <w:tc>
          <w:tcPr>
            <w:tcW w:w="2219" w:type="dxa"/>
            <w:gridSpan w:val="2"/>
            <w:tcBorders>
              <w:top w:val="single" w:sz="8" w:space="0" w:color="auto"/>
              <w:left w:val="single" w:sz="6" w:space="0" w:color="auto"/>
              <w:bottom w:val="single" w:sz="4" w:space="0" w:color="auto"/>
              <w:right w:val="single" w:sz="6" w:space="0" w:color="auto"/>
              <w:tl2br w:val="nil"/>
              <w:tr2bl w:val="nil"/>
            </w:tcBorders>
            <w:shd w:val="clear" w:color="auto" w:fill="FFFFFF"/>
            <w:textDirection w:val="lrTb"/>
            <w:vAlign w:val="top"/>
          </w:tcPr>
          <w:p w:rsidR="00FB6644" w:rsidRPr="0096069D" w:rsidP="00FB6644">
            <w:pPr>
              <w:jc w:val="center"/>
              <w:rPr>
                <w:rFonts w:ascii="Times New Roman" w:hAnsi="Times New Roman" w:cs="Times New Roman"/>
                <w:b/>
                <w:bCs/>
                <w:sz w:val="20"/>
                <w:szCs w:val="20"/>
              </w:rPr>
            </w:pPr>
            <w:r w:rsidRPr="0096069D">
              <w:rPr>
                <w:rFonts w:ascii="Times New Roman" w:hAnsi="Times New Roman" w:cs="Times New Roman"/>
                <w:b/>
                <w:bCs/>
                <w:sz w:val="20"/>
                <w:szCs w:val="20"/>
              </w:rPr>
              <w:t>Rozpočet 2006</w:t>
            </w:r>
          </w:p>
        </w:tc>
        <w:tc>
          <w:tcPr>
            <w:tcW w:w="1260"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center"/>
              <w:rPr>
                <w:rFonts w:ascii="Times New Roman" w:hAnsi="Times New Roman" w:cs="Times New Roman"/>
                <w:b/>
                <w:bCs/>
                <w:sz w:val="20"/>
                <w:szCs w:val="20"/>
              </w:rPr>
            </w:pPr>
            <w:r w:rsidRPr="0096069D">
              <w:rPr>
                <w:rFonts w:ascii="Times New Roman" w:hAnsi="Times New Roman" w:cs="Times New Roman"/>
                <w:b/>
                <w:bCs/>
                <w:sz w:val="20"/>
                <w:szCs w:val="20"/>
              </w:rPr>
              <w:t>Skutočnosť 2006</w:t>
            </w:r>
          </w:p>
        </w:tc>
        <w:tc>
          <w:tcPr>
            <w:tcW w:w="1080"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96069D" w:rsidP="00FB6644">
            <w:pPr>
              <w:jc w:val="center"/>
              <w:rPr>
                <w:rFonts w:ascii="Times New Roman" w:hAnsi="Times New Roman" w:cs="Times New Roman"/>
                <w:b/>
                <w:bCs/>
                <w:sz w:val="20"/>
                <w:szCs w:val="20"/>
              </w:rPr>
            </w:pPr>
            <w:r w:rsidRPr="0096069D">
              <w:rPr>
                <w:rFonts w:ascii="Times New Roman" w:hAnsi="Times New Roman" w:cs="Times New Roman"/>
                <w:b/>
                <w:bCs/>
                <w:sz w:val="20"/>
                <w:szCs w:val="20"/>
              </w:rPr>
              <w:t>Plnenie v %</w:t>
            </w:r>
          </w:p>
        </w:tc>
        <w:tc>
          <w:tcPr>
            <w:tcW w:w="1067"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96069D" w:rsidP="00FB6644">
            <w:pPr>
              <w:jc w:val="center"/>
              <w:rPr>
                <w:rFonts w:ascii="Times New Roman" w:hAnsi="Times New Roman" w:cs="Times New Roman"/>
                <w:b/>
                <w:bCs/>
                <w:sz w:val="20"/>
                <w:szCs w:val="20"/>
              </w:rPr>
            </w:pPr>
            <w:r w:rsidRPr="0096069D">
              <w:rPr>
                <w:rFonts w:ascii="Times New Roman" w:hAnsi="Times New Roman" w:cs="Times New Roman"/>
                <w:b/>
                <w:bCs/>
                <w:sz w:val="20"/>
                <w:szCs w:val="20"/>
              </w:rPr>
              <w:t>Rozdiel 2005-2006</w:t>
            </w:r>
          </w:p>
        </w:tc>
        <w:tc>
          <w:tcPr>
            <w:tcW w:w="1010" w:type="dxa"/>
            <w:vMerge w:val="restart"/>
            <w:tcBorders>
              <w:top w:val="single" w:sz="8" w:space="0" w:color="auto"/>
              <w:left w:val="single" w:sz="6" w:space="0" w:color="auto"/>
              <w:bottom w:val="single" w:sz="6" w:space="0" w:color="auto"/>
              <w:right w:val="single" w:sz="8" w:space="0" w:color="auto"/>
              <w:tl2br w:val="nil"/>
              <w:tr2bl w:val="nil"/>
            </w:tcBorders>
            <w:shd w:val="clear" w:color="auto" w:fill="FFFFFF"/>
            <w:textDirection w:val="lrTb"/>
            <w:vAlign w:val="center"/>
          </w:tcPr>
          <w:p w:rsidR="00FB6644" w:rsidRPr="0096069D" w:rsidP="00FB6644">
            <w:pPr>
              <w:jc w:val="center"/>
              <w:rPr>
                <w:rFonts w:ascii="Times New Roman" w:hAnsi="Times New Roman" w:cs="Times New Roman"/>
                <w:b/>
                <w:bCs/>
                <w:sz w:val="20"/>
                <w:szCs w:val="20"/>
                <w:lang w:val="en-US"/>
              </w:rPr>
            </w:pPr>
            <w:r w:rsidRPr="0096069D">
              <w:rPr>
                <w:rFonts w:ascii="Times New Roman" w:hAnsi="Times New Roman" w:cs="Times New Roman"/>
                <w:b/>
                <w:bCs/>
                <w:sz w:val="20"/>
                <w:szCs w:val="20"/>
              </w:rPr>
              <w:t>Index 2006/</w:t>
            </w:r>
            <w:r w:rsidRPr="0096069D">
              <w:rPr>
                <w:rFonts w:ascii="Times New Roman" w:hAnsi="Times New Roman" w:cs="Times New Roman"/>
                <w:b/>
                <w:bCs/>
                <w:sz w:val="20"/>
                <w:szCs w:val="20"/>
                <w:lang w:val="en-US"/>
              </w:rPr>
              <w:t>2005</w:t>
            </w:r>
          </w:p>
        </w:tc>
      </w:tr>
      <w:tr>
        <w:tblPrEx>
          <w:tblW w:w="0" w:type="auto"/>
          <w:tblCellMar>
            <w:top w:w="0" w:type="dxa"/>
            <w:left w:w="70" w:type="dxa"/>
            <w:bottom w:w="0" w:type="dxa"/>
            <w:right w:w="70" w:type="dxa"/>
          </w:tblCellMar>
        </w:tblPrEx>
        <w:trPr>
          <w:cantSplit/>
          <w:trHeight w:hRule="auto" w:val="0"/>
        </w:trPr>
        <w:tc>
          <w:tcPr>
            <w:tcW w:w="1408" w:type="dxa"/>
            <w:vMerge/>
            <w:tcBorders>
              <w:top w:val="single" w:sz="6" w:space="0" w:color="auto"/>
              <w:left w:val="single" w:sz="8"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both"/>
              <w:rPr>
                <w:rFonts w:ascii="Times New Roman" w:hAnsi="Times New Roman" w:cs="Times New Roman"/>
                <w:sz w:val="20"/>
                <w:szCs w:val="20"/>
              </w:rPr>
            </w:pPr>
          </w:p>
        </w:tc>
        <w:tc>
          <w:tcPr>
            <w:tcW w:w="1123" w:type="dxa"/>
            <w:vMerge/>
            <w:tcBorders>
              <w:top w:val="single" w:sz="6" w:space="0" w:color="auto"/>
              <w:left w:val="single" w:sz="6" w:space="0" w:color="auto"/>
              <w:bottom w:val="single" w:sz="6" w:space="0" w:color="auto"/>
              <w:right w:val="single" w:sz="4" w:space="0" w:color="auto"/>
              <w:tl2br w:val="nil"/>
              <w:tr2bl w:val="nil"/>
            </w:tcBorders>
            <w:shd w:val="clear" w:color="auto" w:fill="FFFFFF"/>
            <w:textDirection w:val="lrTb"/>
            <w:vAlign w:val="top"/>
          </w:tcPr>
          <w:p w:rsidR="00FB6644" w:rsidRPr="0096069D" w:rsidP="00FB6644">
            <w:pPr>
              <w:jc w:val="both"/>
              <w:rPr>
                <w:rFonts w:ascii="Times New Roman" w:hAnsi="Times New Roman" w:cs="Times New Roman"/>
                <w:sz w:val="20"/>
                <w:szCs w:val="20"/>
              </w:rPr>
            </w:pPr>
          </w:p>
        </w:tc>
        <w:tc>
          <w:tcPr>
            <w:tcW w:w="1139"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FB6644" w:rsidRPr="0096069D" w:rsidP="00FB6644">
            <w:pPr>
              <w:jc w:val="center"/>
              <w:rPr>
                <w:rFonts w:ascii="Times New Roman" w:hAnsi="Times New Roman" w:cs="Times New Roman"/>
                <w:b/>
                <w:bCs/>
                <w:sz w:val="20"/>
                <w:szCs w:val="20"/>
              </w:rPr>
            </w:pPr>
            <w:r w:rsidRPr="0096069D">
              <w:rPr>
                <w:rFonts w:ascii="Times New Roman" w:hAnsi="Times New Roman" w:cs="Times New Roman"/>
                <w:b/>
                <w:bCs/>
                <w:sz w:val="20"/>
                <w:szCs w:val="20"/>
              </w:rPr>
              <w:t>Schválený</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FB6644" w:rsidRPr="0096069D" w:rsidP="00FB6644">
            <w:pPr>
              <w:jc w:val="center"/>
              <w:rPr>
                <w:rFonts w:ascii="Times New Roman" w:hAnsi="Times New Roman" w:cs="Times New Roman"/>
                <w:b/>
                <w:bCs/>
                <w:sz w:val="20"/>
                <w:szCs w:val="20"/>
              </w:rPr>
            </w:pPr>
            <w:r w:rsidRPr="0096069D">
              <w:rPr>
                <w:rFonts w:ascii="Times New Roman" w:hAnsi="Times New Roman" w:cs="Times New Roman"/>
                <w:b/>
                <w:bCs/>
                <w:sz w:val="20"/>
                <w:szCs w:val="20"/>
              </w:rPr>
              <w:t>Upravený</w:t>
            </w:r>
          </w:p>
        </w:tc>
        <w:tc>
          <w:tcPr>
            <w:tcW w:w="1260" w:type="dxa"/>
            <w:vMerge/>
            <w:tcBorders>
              <w:top w:val="single" w:sz="6" w:space="0" w:color="auto"/>
              <w:left w:val="single" w:sz="4"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both"/>
              <w:rPr>
                <w:rFonts w:ascii="Times New Roman" w:hAnsi="Times New Roman" w:cs="Times New Roman"/>
                <w:sz w:val="20"/>
                <w:szCs w:val="20"/>
              </w:rPr>
            </w:pPr>
          </w:p>
        </w:tc>
        <w:tc>
          <w:tcPr>
            <w:tcW w:w="1080"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both"/>
              <w:rPr>
                <w:rFonts w:ascii="Times New Roman" w:hAnsi="Times New Roman" w:cs="Times New Roman"/>
                <w:sz w:val="20"/>
                <w:szCs w:val="20"/>
              </w:rPr>
            </w:pPr>
          </w:p>
        </w:tc>
        <w:tc>
          <w:tcPr>
            <w:tcW w:w="1067"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both"/>
              <w:rPr>
                <w:rFonts w:ascii="Times New Roman" w:hAnsi="Times New Roman" w:cs="Times New Roman"/>
                <w:sz w:val="20"/>
                <w:szCs w:val="20"/>
              </w:rPr>
            </w:pPr>
          </w:p>
        </w:tc>
        <w:tc>
          <w:tcPr>
            <w:tcW w:w="1010" w:type="dxa"/>
            <w:vMerge/>
            <w:tcBorders>
              <w:top w:val="single" w:sz="6" w:space="0" w:color="auto"/>
              <w:left w:val="single" w:sz="6" w:space="0" w:color="auto"/>
              <w:bottom w:val="single" w:sz="6" w:space="0" w:color="auto"/>
              <w:right w:val="single" w:sz="8" w:space="0" w:color="auto"/>
              <w:tl2br w:val="nil"/>
              <w:tr2bl w:val="nil"/>
            </w:tcBorders>
            <w:shd w:val="clear" w:color="auto" w:fill="FFFFFF"/>
            <w:textDirection w:val="lrTb"/>
            <w:vAlign w:val="top"/>
          </w:tcPr>
          <w:p w:rsidR="00FB6644" w:rsidRPr="0096069D" w:rsidP="00FB6644">
            <w:pPr>
              <w:jc w:val="both"/>
              <w:rPr>
                <w:rFonts w:ascii="Times New Roman" w:hAnsi="Times New Roman" w:cs="Times New Roman"/>
                <w:sz w:val="20"/>
                <w:szCs w:val="20"/>
              </w:rPr>
            </w:pPr>
          </w:p>
        </w:tc>
      </w:tr>
      <w:tr>
        <w:tblPrEx>
          <w:tblW w:w="0" w:type="auto"/>
          <w:tblCellMar>
            <w:top w:w="0" w:type="dxa"/>
            <w:left w:w="70" w:type="dxa"/>
            <w:bottom w:w="0" w:type="dxa"/>
            <w:right w:w="70" w:type="dxa"/>
          </w:tblCellMar>
        </w:tblPrEx>
        <w:trPr>
          <w:cantSplit/>
          <w:trHeight w:hRule="auto" w:val="0"/>
        </w:trPr>
        <w:tc>
          <w:tcPr>
            <w:tcW w:w="1408" w:type="dxa"/>
            <w:vMerge/>
            <w:tcBorders>
              <w:top w:val="single" w:sz="6" w:space="0" w:color="auto"/>
              <w:left w:val="single" w:sz="8"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both"/>
              <w:rPr>
                <w:rFonts w:ascii="Times New Roman" w:hAnsi="Times New Roman" w:cs="Times New Roman"/>
                <w:sz w:val="20"/>
                <w:szCs w:val="20"/>
              </w:rPr>
            </w:pPr>
          </w:p>
        </w:tc>
        <w:tc>
          <w:tcPr>
            <w:tcW w:w="1123"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D44C26" w:rsidP="00FB6644">
            <w:pPr>
              <w:jc w:val="center"/>
              <w:rPr>
                <w:rFonts w:ascii="Times New Roman" w:hAnsi="Times New Roman" w:cs="Times New Roman"/>
                <w:b/>
                <w:bCs/>
                <w:sz w:val="18"/>
                <w:szCs w:val="18"/>
              </w:rPr>
            </w:pPr>
            <w:r w:rsidRPr="00D44C26">
              <w:rPr>
                <w:rFonts w:ascii="Times New Roman" w:hAnsi="Times New Roman" w:cs="Times New Roman"/>
                <w:b/>
                <w:bCs/>
                <w:sz w:val="18"/>
                <w:szCs w:val="18"/>
              </w:rPr>
              <w:t>1</w:t>
            </w:r>
          </w:p>
        </w:tc>
        <w:tc>
          <w:tcPr>
            <w:tcW w:w="1139" w:type="dxa"/>
            <w:tcBorders>
              <w:top w:val="single" w:sz="4"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D44C26" w:rsidP="00FB6644">
            <w:pPr>
              <w:jc w:val="center"/>
              <w:rPr>
                <w:rFonts w:ascii="Times New Roman" w:hAnsi="Times New Roman" w:cs="Times New Roman"/>
                <w:b/>
                <w:bCs/>
                <w:sz w:val="18"/>
                <w:szCs w:val="18"/>
              </w:rPr>
            </w:pPr>
            <w:r w:rsidRPr="00D44C26">
              <w:rPr>
                <w:rFonts w:ascii="Times New Roman" w:hAnsi="Times New Roman" w:cs="Times New Roman"/>
                <w:b/>
                <w:bCs/>
                <w:sz w:val="18"/>
                <w:szCs w:val="18"/>
              </w:rPr>
              <w:t>2</w:t>
            </w:r>
          </w:p>
        </w:tc>
        <w:tc>
          <w:tcPr>
            <w:tcW w:w="1080" w:type="dxa"/>
            <w:tcBorders>
              <w:top w:val="single" w:sz="4"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D44C26" w:rsidP="00FB6644">
            <w:pPr>
              <w:jc w:val="center"/>
              <w:rPr>
                <w:rFonts w:ascii="Times New Roman" w:hAnsi="Times New Roman" w:cs="Times New Roman"/>
                <w:b/>
                <w:bCs/>
                <w:sz w:val="18"/>
                <w:szCs w:val="18"/>
              </w:rPr>
            </w:pPr>
            <w:r w:rsidRPr="00D44C26">
              <w:rPr>
                <w:rFonts w:ascii="Times New Roman" w:hAnsi="Times New Roman" w:cs="Times New Roman"/>
                <w:b/>
                <w:bCs/>
                <w:sz w:val="18"/>
                <w:szCs w:val="18"/>
              </w:rPr>
              <w:t>3</w:t>
            </w:r>
          </w:p>
        </w:tc>
        <w:tc>
          <w:tcPr>
            <w:tcW w:w="126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D44C26" w:rsidP="00FB6644">
            <w:pPr>
              <w:jc w:val="center"/>
              <w:rPr>
                <w:rFonts w:ascii="Times New Roman" w:hAnsi="Times New Roman" w:cs="Times New Roman"/>
                <w:b/>
                <w:bCs/>
                <w:sz w:val="18"/>
                <w:szCs w:val="18"/>
              </w:rPr>
            </w:pPr>
            <w:r w:rsidRPr="00D44C26">
              <w:rPr>
                <w:rFonts w:ascii="Times New Roman" w:hAnsi="Times New Roman" w:cs="Times New Roman"/>
                <w:b/>
                <w:bCs/>
                <w:sz w:val="18"/>
                <w:szCs w:val="18"/>
              </w:rPr>
              <w:t>4</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D44C26" w:rsidP="00FB6644">
            <w:pPr>
              <w:jc w:val="center"/>
              <w:rPr>
                <w:rFonts w:ascii="Times New Roman" w:hAnsi="Times New Roman" w:cs="Times New Roman"/>
                <w:b/>
                <w:bCs/>
                <w:sz w:val="18"/>
                <w:szCs w:val="18"/>
              </w:rPr>
            </w:pPr>
            <w:r w:rsidRPr="00D44C26">
              <w:rPr>
                <w:rFonts w:ascii="Times New Roman" w:hAnsi="Times New Roman" w:cs="Times New Roman"/>
                <w:b/>
                <w:bCs/>
                <w:sz w:val="18"/>
                <w:szCs w:val="18"/>
              </w:rPr>
              <w:t>5= 4/3*100</w:t>
            </w:r>
          </w:p>
        </w:tc>
        <w:tc>
          <w:tcPr>
            <w:tcW w:w="1067"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D44C26" w:rsidP="00FB6644">
            <w:pPr>
              <w:jc w:val="center"/>
              <w:rPr>
                <w:rFonts w:ascii="Times New Roman" w:hAnsi="Times New Roman" w:cs="Times New Roman"/>
                <w:b/>
                <w:bCs/>
                <w:sz w:val="18"/>
                <w:szCs w:val="18"/>
              </w:rPr>
            </w:pPr>
            <w:r w:rsidRPr="00D44C26">
              <w:rPr>
                <w:rFonts w:ascii="Times New Roman" w:hAnsi="Times New Roman" w:cs="Times New Roman"/>
                <w:b/>
                <w:bCs/>
                <w:sz w:val="18"/>
                <w:szCs w:val="18"/>
              </w:rPr>
              <w:t>6= 4 – 1</w:t>
            </w:r>
          </w:p>
        </w:tc>
        <w:tc>
          <w:tcPr>
            <w:tcW w:w="1010" w:type="dxa"/>
            <w:tcBorders>
              <w:top w:val="single" w:sz="6" w:space="0" w:color="auto"/>
              <w:left w:val="single" w:sz="6" w:space="0" w:color="auto"/>
              <w:bottom w:val="single" w:sz="6" w:space="0" w:color="auto"/>
              <w:right w:val="single" w:sz="8" w:space="0" w:color="auto"/>
              <w:tl2br w:val="nil"/>
              <w:tr2bl w:val="nil"/>
            </w:tcBorders>
            <w:shd w:val="clear" w:color="auto" w:fill="FFFFFF"/>
            <w:textDirection w:val="lrTb"/>
            <w:vAlign w:val="top"/>
          </w:tcPr>
          <w:p w:rsidR="00FB6644" w:rsidRPr="00D44C26" w:rsidP="00FB6644">
            <w:pPr>
              <w:jc w:val="center"/>
              <w:rPr>
                <w:rFonts w:ascii="Times New Roman" w:hAnsi="Times New Roman" w:cs="Times New Roman"/>
                <w:b/>
                <w:bCs/>
                <w:sz w:val="18"/>
                <w:szCs w:val="18"/>
              </w:rPr>
            </w:pPr>
            <w:r w:rsidRPr="00D44C26">
              <w:rPr>
                <w:rFonts w:ascii="Times New Roman" w:hAnsi="Times New Roman" w:cs="Times New Roman"/>
                <w:b/>
                <w:bCs/>
                <w:sz w:val="18"/>
                <w:szCs w:val="18"/>
              </w:rPr>
              <w:t>7=4/1*100</w:t>
            </w:r>
          </w:p>
        </w:tc>
      </w:tr>
      <w:tr>
        <w:tblPrEx>
          <w:tblW w:w="0" w:type="auto"/>
          <w:tblInd w:w="-60" w:type="dxa"/>
          <w:tblCellMar>
            <w:top w:w="0" w:type="dxa"/>
            <w:left w:w="70" w:type="dxa"/>
            <w:bottom w:w="0" w:type="dxa"/>
            <w:right w:w="70" w:type="dxa"/>
          </w:tblCellMar>
        </w:tblPrEx>
        <w:trPr>
          <w:trHeight w:hRule="auto" w:val="0"/>
        </w:trPr>
        <w:tc>
          <w:tcPr>
            <w:tcW w:w="1408"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96069D" w:rsidP="00FB6644">
            <w:pPr>
              <w:rPr>
                <w:rFonts w:ascii="Times New Roman" w:hAnsi="Times New Roman" w:cs="Times New Roman"/>
                <w:sz w:val="20"/>
                <w:szCs w:val="20"/>
              </w:rPr>
            </w:pPr>
            <w:r w:rsidRPr="0096069D">
              <w:rPr>
                <w:rFonts w:ascii="Times New Roman" w:hAnsi="Times New Roman" w:cs="Times New Roman"/>
                <w:sz w:val="20"/>
                <w:szCs w:val="20"/>
              </w:rPr>
              <w:t>Záručná sekcia EAGGF</w:t>
            </w:r>
          </w:p>
        </w:tc>
        <w:tc>
          <w:tcPr>
            <w:tcW w:w="1123"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8 410,4</w:t>
            </w:r>
          </w:p>
        </w:tc>
        <w:tc>
          <w:tcPr>
            <w:tcW w:w="1139"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10 406,5</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9 285,9</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9 309,2</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100,3</w:t>
            </w:r>
          </w:p>
        </w:tc>
        <w:tc>
          <w:tcPr>
            <w:tcW w:w="1067"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898,8</w:t>
            </w:r>
          </w:p>
        </w:tc>
        <w:tc>
          <w:tcPr>
            <w:tcW w:w="101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110,7</w:t>
            </w:r>
          </w:p>
        </w:tc>
      </w:tr>
      <w:tr>
        <w:tblPrEx>
          <w:tblW w:w="0" w:type="auto"/>
          <w:tblInd w:w="-60" w:type="dxa"/>
          <w:tblCellMar>
            <w:top w:w="0" w:type="dxa"/>
            <w:left w:w="70" w:type="dxa"/>
            <w:bottom w:w="0" w:type="dxa"/>
            <w:right w:w="70" w:type="dxa"/>
          </w:tblCellMar>
        </w:tblPrEx>
        <w:trPr>
          <w:trHeight w:hRule="auto" w:val="0"/>
        </w:trPr>
        <w:tc>
          <w:tcPr>
            <w:tcW w:w="1408"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96069D" w:rsidP="00FB6644">
            <w:pPr>
              <w:rPr>
                <w:rFonts w:ascii="Times New Roman" w:hAnsi="Times New Roman" w:cs="Times New Roman"/>
                <w:sz w:val="20"/>
                <w:szCs w:val="20"/>
              </w:rPr>
            </w:pPr>
            <w:r w:rsidRPr="0096069D">
              <w:rPr>
                <w:rFonts w:ascii="Times New Roman" w:hAnsi="Times New Roman" w:cs="Times New Roman"/>
                <w:sz w:val="20"/>
                <w:szCs w:val="20"/>
              </w:rPr>
              <w:t>Štrukturálne operácie v tom:</w:t>
            </w:r>
          </w:p>
        </w:tc>
        <w:tc>
          <w:tcPr>
            <w:tcW w:w="1123"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4 934,8</w:t>
            </w:r>
          </w:p>
        </w:tc>
        <w:tc>
          <w:tcPr>
            <w:tcW w:w="1139"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16 991,5</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11 127,4</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10 672,8</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95,9</w:t>
            </w:r>
          </w:p>
        </w:tc>
        <w:tc>
          <w:tcPr>
            <w:tcW w:w="1067"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5 738,0</w:t>
            </w:r>
          </w:p>
        </w:tc>
        <w:tc>
          <w:tcPr>
            <w:tcW w:w="101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216,3</w:t>
            </w:r>
          </w:p>
        </w:tc>
      </w:tr>
      <w:tr>
        <w:tblPrEx>
          <w:tblW w:w="0" w:type="auto"/>
          <w:tblInd w:w="-60" w:type="dxa"/>
          <w:tblCellMar>
            <w:top w:w="0" w:type="dxa"/>
            <w:left w:w="70" w:type="dxa"/>
            <w:bottom w:w="0" w:type="dxa"/>
            <w:right w:w="70" w:type="dxa"/>
          </w:tblCellMar>
        </w:tblPrEx>
        <w:trPr>
          <w:trHeight w:hRule="auto" w:val="0"/>
        </w:trPr>
        <w:tc>
          <w:tcPr>
            <w:tcW w:w="1408"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96069D" w:rsidP="00FB6644">
            <w:pPr>
              <w:jc w:val="right"/>
              <w:rPr>
                <w:rFonts w:ascii="Times New Roman" w:hAnsi="Times New Roman" w:cs="Times New Roman"/>
                <w:i/>
                <w:iCs/>
                <w:sz w:val="20"/>
                <w:szCs w:val="20"/>
              </w:rPr>
            </w:pPr>
            <w:r w:rsidRPr="0096069D">
              <w:rPr>
                <w:rFonts w:ascii="Times New Roman" w:hAnsi="Times New Roman" w:cs="Times New Roman"/>
                <w:i/>
                <w:iCs/>
                <w:sz w:val="20"/>
                <w:szCs w:val="20"/>
              </w:rPr>
              <w:t>Štrukturálne fondy*</w:t>
            </w:r>
          </w:p>
        </w:tc>
        <w:tc>
          <w:tcPr>
            <w:tcW w:w="1123"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i/>
                <w:iCs/>
                <w:sz w:val="20"/>
                <w:szCs w:val="20"/>
              </w:rPr>
            </w:pPr>
            <w:r w:rsidRPr="0096069D">
              <w:rPr>
                <w:rFonts w:ascii="Times New Roman" w:hAnsi="Times New Roman" w:cs="Times New Roman"/>
                <w:i/>
                <w:iCs/>
                <w:sz w:val="20"/>
                <w:szCs w:val="20"/>
              </w:rPr>
              <w:t>4 822,2</w:t>
            </w:r>
          </w:p>
        </w:tc>
        <w:tc>
          <w:tcPr>
            <w:tcW w:w="1139"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i/>
                <w:iCs/>
                <w:sz w:val="20"/>
                <w:szCs w:val="20"/>
              </w:rPr>
            </w:pPr>
            <w:r w:rsidRPr="0096069D">
              <w:rPr>
                <w:rFonts w:ascii="Times New Roman" w:hAnsi="Times New Roman" w:cs="Times New Roman"/>
                <w:i/>
                <w:iCs/>
                <w:sz w:val="20"/>
                <w:szCs w:val="20"/>
              </w:rPr>
              <w:t>12 099,8</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i/>
                <w:iCs/>
                <w:sz w:val="20"/>
                <w:szCs w:val="20"/>
              </w:rPr>
            </w:pPr>
            <w:r w:rsidRPr="0096069D">
              <w:rPr>
                <w:rFonts w:ascii="Times New Roman" w:hAnsi="Times New Roman" w:cs="Times New Roman"/>
                <w:i/>
                <w:iCs/>
                <w:sz w:val="20"/>
                <w:szCs w:val="20"/>
              </w:rPr>
              <w:t>10 111,6</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i/>
                <w:iCs/>
                <w:sz w:val="20"/>
                <w:szCs w:val="20"/>
              </w:rPr>
            </w:pPr>
            <w:r w:rsidRPr="0096069D">
              <w:rPr>
                <w:rFonts w:ascii="Times New Roman" w:hAnsi="Times New Roman" w:cs="Times New Roman"/>
                <w:i/>
                <w:iCs/>
                <w:sz w:val="20"/>
                <w:szCs w:val="20"/>
              </w:rPr>
              <w:t>9 657,0</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95,5</w:t>
            </w:r>
          </w:p>
        </w:tc>
        <w:tc>
          <w:tcPr>
            <w:tcW w:w="1067"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4 834,8</w:t>
            </w:r>
          </w:p>
        </w:tc>
        <w:tc>
          <w:tcPr>
            <w:tcW w:w="101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200,3</w:t>
            </w:r>
          </w:p>
        </w:tc>
      </w:tr>
      <w:tr>
        <w:tblPrEx>
          <w:tblW w:w="0" w:type="auto"/>
          <w:tblInd w:w="-60" w:type="dxa"/>
          <w:tblCellMar>
            <w:top w:w="0" w:type="dxa"/>
            <w:left w:w="70" w:type="dxa"/>
            <w:bottom w:w="0" w:type="dxa"/>
            <w:right w:w="70" w:type="dxa"/>
          </w:tblCellMar>
        </w:tblPrEx>
        <w:trPr>
          <w:trHeight w:hRule="auto" w:val="0"/>
        </w:trPr>
        <w:tc>
          <w:tcPr>
            <w:tcW w:w="1408"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96069D" w:rsidP="00FB6644">
            <w:pPr>
              <w:jc w:val="right"/>
              <w:rPr>
                <w:rFonts w:ascii="Times New Roman" w:hAnsi="Times New Roman" w:cs="Times New Roman"/>
                <w:i/>
                <w:iCs/>
                <w:sz w:val="20"/>
                <w:szCs w:val="20"/>
              </w:rPr>
            </w:pPr>
            <w:r w:rsidRPr="0096069D">
              <w:rPr>
                <w:rFonts w:ascii="Times New Roman" w:hAnsi="Times New Roman" w:cs="Times New Roman"/>
                <w:i/>
                <w:iCs/>
                <w:sz w:val="20"/>
                <w:szCs w:val="20"/>
              </w:rPr>
              <w:t>Kohézny fond</w:t>
            </w:r>
          </w:p>
        </w:tc>
        <w:tc>
          <w:tcPr>
            <w:tcW w:w="1123"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i/>
                <w:iCs/>
                <w:sz w:val="20"/>
                <w:szCs w:val="20"/>
              </w:rPr>
            </w:pPr>
            <w:r w:rsidRPr="0096069D">
              <w:rPr>
                <w:rFonts w:ascii="Times New Roman" w:hAnsi="Times New Roman" w:cs="Times New Roman"/>
                <w:i/>
                <w:iCs/>
                <w:sz w:val="20"/>
                <w:szCs w:val="20"/>
              </w:rPr>
              <w:t>112,6</w:t>
            </w:r>
          </w:p>
        </w:tc>
        <w:tc>
          <w:tcPr>
            <w:tcW w:w="1139"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i/>
                <w:iCs/>
                <w:sz w:val="20"/>
                <w:szCs w:val="20"/>
              </w:rPr>
            </w:pPr>
            <w:r w:rsidRPr="0096069D">
              <w:rPr>
                <w:rFonts w:ascii="Times New Roman" w:hAnsi="Times New Roman" w:cs="Times New Roman"/>
                <w:i/>
                <w:iCs/>
                <w:sz w:val="20"/>
                <w:szCs w:val="20"/>
              </w:rPr>
              <w:t>4 891,7</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i/>
                <w:iCs/>
                <w:sz w:val="20"/>
                <w:szCs w:val="20"/>
              </w:rPr>
            </w:pPr>
            <w:r w:rsidRPr="0096069D">
              <w:rPr>
                <w:rFonts w:ascii="Times New Roman" w:hAnsi="Times New Roman" w:cs="Times New Roman"/>
                <w:i/>
                <w:iCs/>
                <w:sz w:val="20"/>
                <w:szCs w:val="20"/>
              </w:rPr>
              <w:t>1 015,8</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i/>
                <w:iCs/>
                <w:sz w:val="20"/>
                <w:szCs w:val="20"/>
              </w:rPr>
            </w:pPr>
            <w:r w:rsidRPr="0096069D">
              <w:rPr>
                <w:rFonts w:ascii="Times New Roman" w:hAnsi="Times New Roman" w:cs="Times New Roman"/>
                <w:i/>
                <w:iCs/>
                <w:sz w:val="20"/>
                <w:szCs w:val="20"/>
              </w:rPr>
              <w:t>1 015,8</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100,0</w:t>
            </w:r>
          </w:p>
        </w:tc>
        <w:tc>
          <w:tcPr>
            <w:tcW w:w="1067"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903,2</w:t>
            </w:r>
          </w:p>
        </w:tc>
        <w:tc>
          <w:tcPr>
            <w:tcW w:w="101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902,1</w:t>
            </w:r>
          </w:p>
        </w:tc>
      </w:tr>
      <w:tr>
        <w:tblPrEx>
          <w:tblW w:w="0" w:type="auto"/>
          <w:tblInd w:w="-60" w:type="dxa"/>
          <w:tblCellMar>
            <w:top w:w="0" w:type="dxa"/>
            <w:left w:w="70" w:type="dxa"/>
            <w:bottom w:w="0" w:type="dxa"/>
            <w:right w:w="70" w:type="dxa"/>
          </w:tblCellMar>
        </w:tblPrEx>
        <w:trPr>
          <w:trHeight w:hRule="auto" w:val="0"/>
        </w:trPr>
        <w:tc>
          <w:tcPr>
            <w:tcW w:w="1408"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96069D" w:rsidP="00FB6644">
            <w:pPr>
              <w:rPr>
                <w:rFonts w:ascii="Times New Roman" w:hAnsi="Times New Roman" w:cs="Times New Roman"/>
                <w:sz w:val="20"/>
                <w:szCs w:val="20"/>
              </w:rPr>
            </w:pPr>
            <w:r w:rsidRPr="0096069D">
              <w:rPr>
                <w:rFonts w:ascii="Times New Roman" w:hAnsi="Times New Roman" w:cs="Times New Roman"/>
                <w:sz w:val="20"/>
                <w:szCs w:val="20"/>
              </w:rPr>
              <w:t>Špeciálna kom-penzačná platba</w:t>
            </w:r>
          </w:p>
        </w:tc>
        <w:tc>
          <w:tcPr>
            <w:tcW w:w="1123"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524,1</w:t>
            </w:r>
          </w:p>
        </w:tc>
        <w:tc>
          <w:tcPr>
            <w:tcW w:w="1139"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482,2</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482,2</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438,7</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91,0</w:t>
            </w:r>
          </w:p>
        </w:tc>
        <w:tc>
          <w:tcPr>
            <w:tcW w:w="1067"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-85,4</w:t>
            </w:r>
          </w:p>
        </w:tc>
        <w:tc>
          <w:tcPr>
            <w:tcW w:w="101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83,7</w:t>
            </w:r>
          </w:p>
        </w:tc>
      </w:tr>
      <w:tr>
        <w:tblPrEx>
          <w:tblW w:w="0" w:type="auto"/>
          <w:tblInd w:w="-60" w:type="dxa"/>
          <w:tblCellMar>
            <w:top w:w="0" w:type="dxa"/>
            <w:left w:w="70" w:type="dxa"/>
            <w:bottom w:w="0" w:type="dxa"/>
            <w:right w:w="70" w:type="dxa"/>
          </w:tblCellMar>
        </w:tblPrEx>
        <w:trPr>
          <w:trHeight w:hRule="auto" w:val="0"/>
        </w:trPr>
        <w:tc>
          <w:tcPr>
            <w:tcW w:w="1408" w:type="dxa"/>
            <w:tcBorders>
              <w:top w:val="single" w:sz="6" w:space="0" w:color="auto"/>
              <w:left w:val="single" w:sz="8" w:space="0" w:color="auto"/>
              <w:bottom w:val="double" w:sz="6" w:space="0" w:color="auto"/>
              <w:right w:val="single" w:sz="6" w:space="0" w:color="auto"/>
              <w:tl2br w:val="nil"/>
              <w:tr2bl w:val="nil"/>
            </w:tcBorders>
            <w:tcMar>
              <w:left w:w="0" w:type="dxa"/>
              <w:right w:w="0" w:type="dxa"/>
            </w:tcMar>
            <w:textDirection w:val="lrTb"/>
            <w:vAlign w:val="top"/>
          </w:tcPr>
          <w:p w:rsidR="00FB6644" w:rsidRPr="0096069D" w:rsidP="00FB6644">
            <w:pPr>
              <w:rPr>
                <w:rFonts w:ascii="Times New Roman" w:hAnsi="Times New Roman" w:cs="Times New Roman"/>
                <w:b/>
                <w:bCs/>
                <w:sz w:val="20"/>
                <w:szCs w:val="20"/>
              </w:rPr>
            </w:pPr>
            <w:r w:rsidRPr="0096069D">
              <w:rPr>
                <w:rFonts w:ascii="Times New Roman" w:hAnsi="Times New Roman" w:cs="Times New Roman"/>
                <w:b/>
                <w:bCs/>
                <w:sz w:val="20"/>
                <w:szCs w:val="20"/>
              </w:rPr>
              <w:t>Spolu zaradené  do príjmov Š</w:t>
            </w:r>
            <w:r w:rsidRPr="0096069D">
              <w:rPr>
                <w:rFonts w:ascii="Times New Roman" w:hAnsi="Times New Roman" w:cs="Times New Roman"/>
                <w:b/>
                <w:bCs/>
                <w:sz w:val="20"/>
                <w:szCs w:val="20"/>
              </w:rPr>
              <w:t>R</w:t>
            </w:r>
          </w:p>
        </w:tc>
        <w:tc>
          <w:tcPr>
            <w:tcW w:w="1123"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13 869,3</w:t>
            </w:r>
          </w:p>
        </w:tc>
        <w:tc>
          <w:tcPr>
            <w:tcW w:w="1139"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27 880,2</w:t>
            </w:r>
          </w:p>
        </w:tc>
        <w:tc>
          <w:tcPr>
            <w:tcW w:w="108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20 895,5</w:t>
            </w:r>
          </w:p>
        </w:tc>
        <w:tc>
          <w:tcPr>
            <w:tcW w:w="126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20 420,7</w:t>
            </w:r>
          </w:p>
        </w:tc>
        <w:tc>
          <w:tcPr>
            <w:tcW w:w="108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97,7</w:t>
            </w:r>
          </w:p>
        </w:tc>
        <w:tc>
          <w:tcPr>
            <w:tcW w:w="1067"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6 551,4</w:t>
            </w:r>
          </w:p>
        </w:tc>
        <w:tc>
          <w:tcPr>
            <w:tcW w:w="1010" w:type="dxa"/>
            <w:tcBorders>
              <w:top w:val="single" w:sz="6" w:space="0" w:color="auto"/>
              <w:left w:val="single" w:sz="6" w:space="0" w:color="auto"/>
              <w:bottom w:val="double" w:sz="6" w:space="0" w:color="auto"/>
              <w:right w:val="single" w:sz="8"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147,2</w:t>
            </w:r>
          </w:p>
        </w:tc>
      </w:tr>
    </w:tbl>
    <w:p w:rsidR="00FB6644" w:rsidRPr="0096069D" w:rsidP="00FB6644">
      <w:pPr>
        <w:spacing w:after="120"/>
        <w:rPr>
          <w:rFonts w:ascii="Times New Roman" w:hAnsi="Times New Roman" w:cs="Times New Roman"/>
          <w:color w:val="000000"/>
          <w:sz w:val="20"/>
          <w:szCs w:val="20"/>
        </w:rPr>
      </w:pPr>
      <w:r w:rsidRPr="0096069D">
        <w:rPr>
          <w:rFonts w:ascii="Times New Roman" w:hAnsi="Times New Roman" w:cs="Times New Roman"/>
          <w:color w:val="000000"/>
          <w:sz w:val="20"/>
          <w:szCs w:val="20"/>
        </w:rPr>
        <w:t>* bez vratiek a prostriedkov poskytnutých MF ČR</w:t>
      </w:r>
    </w:p>
    <w:p w:rsidR="00FB6644" w:rsidRPr="00FB6644" w:rsidP="00FB6644">
      <w:pPr>
        <w:spacing w:after="120"/>
        <w:rPr>
          <w:rFonts w:ascii="Times New Roman" w:hAnsi="Times New Roman" w:cs="Times New Roman"/>
          <w:color w:val="000000"/>
        </w:rPr>
      </w:pPr>
    </w:p>
    <w:p w:rsidR="00FB6644" w:rsidRPr="00FB6644" w:rsidP="00FB6644">
      <w:pPr>
        <w:spacing w:before="120" w:after="120" w:line="360" w:lineRule="auto"/>
        <w:ind w:firstLine="709"/>
        <w:jc w:val="both"/>
        <w:rPr>
          <w:rFonts w:ascii="Times New Roman" w:hAnsi="Times New Roman" w:cs="Times New Roman"/>
        </w:rPr>
      </w:pPr>
      <w:r w:rsidRPr="00FB6644">
        <w:rPr>
          <w:rFonts w:ascii="Times New Roman" w:hAnsi="Times New Roman" w:cs="Times New Roman"/>
          <w:color w:val="000000"/>
        </w:rPr>
        <w:t xml:space="preserve">Na príjmové účty MP SR boli v roku 2006 pre </w:t>
      </w:r>
      <w:r w:rsidRPr="00FB6644">
        <w:rPr>
          <w:rFonts w:ascii="Times New Roman" w:hAnsi="Times New Roman" w:cs="Times New Roman"/>
          <w:b/>
          <w:color w:val="000000"/>
        </w:rPr>
        <w:t>záručnú sekciu EAGGF</w:t>
      </w:r>
      <w:r w:rsidRPr="00FB6644">
        <w:rPr>
          <w:rFonts w:ascii="Times New Roman" w:hAnsi="Times New Roman" w:cs="Times New Roman"/>
          <w:color w:val="000000"/>
        </w:rPr>
        <w:t xml:space="preserve"> prevedené prostriedky  z mimorozpočtových účtov MF SR vo výške 9 309,2 mil. Sk, z čoho 3 925,1 mil. Sk tvorili príjmy pre rozvoj vidieka, 963,2 mil. Sk pre trhovo-orientované výdavky a 4 420,9 mil. Sk na priame platby. Okrem sumy uvedenej v tabuľke boli na mimorozpočtový účet </w:t>
      </w:r>
      <w:r w:rsidR="00437FA0">
        <w:rPr>
          <w:rFonts w:ascii="Times New Roman" w:hAnsi="Times New Roman" w:cs="Times New Roman"/>
          <w:color w:val="000000"/>
        </w:rPr>
        <w:t xml:space="preserve">   </w:t>
      </w:r>
      <w:r w:rsidRPr="00FB6644">
        <w:rPr>
          <w:rFonts w:ascii="Times New Roman" w:hAnsi="Times New Roman" w:cs="Times New Roman"/>
          <w:color w:val="000000"/>
        </w:rPr>
        <w:t xml:space="preserve">MP SR prevedené aj prostriedky vo výške 816,7 mil. Sk na financovanie intervencií zameraných na stabilizáciu poľnohospodárskych trhov. </w:t>
      </w:r>
    </w:p>
    <w:p w:rsidR="00FB6644" w:rsidRPr="00FB6644" w:rsidP="00FB6644">
      <w:pPr>
        <w:spacing w:before="120" w:after="120" w:line="360" w:lineRule="auto"/>
        <w:ind w:firstLine="708"/>
        <w:jc w:val="both"/>
        <w:rPr>
          <w:rFonts w:ascii="Times New Roman" w:hAnsi="Times New Roman" w:cs="Times New Roman"/>
        </w:rPr>
      </w:pPr>
      <w:r w:rsidRPr="00FB6644">
        <w:rPr>
          <w:rFonts w:ascii="Times New Roman" w:hAnsi="Times New Roman" w:cs="Times New Roman"/>
        </w:rPr>
        <w:t xml:space="preserve">Finančné prostriedky rozpočtované v štátnom rozpočte vo forme príjmov zo </w:t>
      </w:r>
      <w:r w:rsidRPr="00FB6644">
        <w:rPr>
          <w:rFonts w:ascii="Times New Roman" w:hAnsi="Times New Roman" w:cs="Times New Roman"/>
          <w:b/>
          <w:bCs/>
        </w:rPr>
        <w:t>štrukturálnych fondov</w:t>
      </w:r>
      <w:r w:rsidRPr="00FB6644">
        <w:rPr>
          <w:rFonts w:ascii="Times New Roman" w:hAnsi="Times New Roman" w:cs="Times New Roman"/>
        </w:rPr>
        <w:t xml:space="preserve"> v rámci relevantných kapitol na rok 2006 predstavovali sumu 12 099,8 mil. Sk. Na základe schválených a uhradených súhrnných žiadostí o platbu boli k 31.12.2006 prevedené na príjmové účty platobných jednotiek prostriedky v celkovej sume 9 679,4 mil. Sk</w:t>
      </w:r>
      <w:r>
        <w:rPr>
          <w:rStyle w:val="FootnoteReference"/>
          <w:rFonts w:ascii="Times New Roman" w:hAnsi="Times New Roman" w:cs="Times New Roman"/>
          <w:rtl w:val="0"/>
        </w:rPr>
        <w:footnoteReference w:id="2"/>
      </w:r>
      <w:r w:rsidRPr="0096069D" w:rsidR="0096069D">
        <w:rPr>
          <w:rFonts w:ascii="Times New Roman" w:hAnsi="Times New Roman" w:cs="Times New Roman"/>
          <w:vertAlign w:val="superscript"/>
        </w:rPr>
        <w:t>)</w:t>
      </w:r>
      <w:r w:rsidRPr="00FB6644">
        <w:rPr>
          <w:rFonts w:ascii="Times New Roman" w:hAnsi="Times New Roman" w:cs="Times New Roman"/>
        </w:rPr>
        <w:t xml:space="preserve">. K 31.12.2006 nebolo platobným jednotkám uhradených 8 schválených súhrnných žiadostí o platbu, a to 3 súhrnné žiadosti o platbu za SOP Priemysel a služby v celkovej výške 329,8 mil. Sk (tieto úhrady boli realizované 25.1.2007), za CIP Interreg IIIA Poľsko - SR vo výške 2,4 mil. Sk (táto úhrada bola realizovaná 18.1.2007), za CIP Interreg IIIA Maďarsko – SR – Ukrajina vo výške 13,8 mil. Sk (táto úhrada bola realizovaná 22.2.2007), za OP Základná infraštruktúra vo výške 236 mil. Sk (táto úhrada bola realizovaná 22.2.2007) a 2 súhrnné žiadosti o platbu za CIP EQUAL v celkovej výške 43,3 mil. Sk z dôvodu nepredloženia Akčného plánu na odstránenie nedostatkov identifikovaných v rámci auditných misií MPSVR SR Európskej Komisii. </w:t>
      </w:r>
    </w:p>
    <w:p w:rsidR="00FB6644" w:rsidRPr="00FB6644" w:rsidP="00FB6644">
      <w:pPr>
        <w:spacing w:before="120" w:after="120" w:line="360" w:lineRule="auto"/>
        <w:ind w:firstLine="708"/>
        <w:jc w:val="both"/>
        <w:rPr>
          <w:rFonts w:ascii="Times New Roman" w:hAnsi="Times New Roman" w:cs="Times New Roman"/>
        </w:rPr>
      </w:pPr>
      <w:r w:rsidRPr="00FB6644">
        <w:rPr>
          <w:rFonts w:ascii="Times New Roman" w:hAnsi="Times New Roman" w:cs="Times New Roman"/>
        </w:rPr>
        <w:t xml:space="preserve">Prísun prostriedkov z rozpočtu EÚ na mimorozpočtový účet MF SR pre projekty </w:t>
      </w:r>
      <w:r w:rsidRPr="00FB6644">
        <w:rPr>
          <w:rFonts w:ascii="Times New Roman" w:hAnsi="Times New Roman" w:cs="Times New Roman"/>
          <w:b/>
        </w:rPr>
        <w:t>Kohézneho fondu</w:t>
      </w:r>
      <w:r w:rsidRPr="00FB6644">
        <w:rPr>
          <w:rFonts w:ascii="Times New Roman" w:hAnsi="Times New Roman" w:cs="Times New Roman"/>
        </w:rPr>
        <w:t xml:space="preserve"> predstavoval 1 532,3 mil. Sk. Na základe splnenia podmienky pre žiadosť o zálohovú platbu (nakontrahované 20 % projektu) boli prijaté zálohové platby pre projekty Kohézneho fondu Modernizácia železničnej trate Trnava - Nové Mesto nad Váhom, pre traťovú rýchlosť 160 km/h - II. Etapa - Piešťany-Nové Mesto nad Váhom (498,9 mil. Sk), Dodávka pitnej vody a odkanalizovanie Horných Kysúc (303,3 mil. Sk), Vranov - pitná voda a kanalizácia v povodí rieky Tople (242,5 mil. Sk), Zásobovanie vodou a kanalizácia oravského regiónu, I. Etapa (119,5 mil. Sk). Pre projekt Kohézneho fondu „Výstavba diaľnice D1, úsek Mengusovce – Jánovce“ bola prijatá prvá priebežná platba z EK vo výške 368,0 mil. Sk. Do príjmov kapitoly MDPT SR bola zaradená suma 1 015,8 mil. Sk. Do príjmov kapitoly MŽP SR neprešli v roku 2006 žiadne prostriedky EK. </w:t>
      </w:r>
    </w:p>
    <w:p w:rsidR="00FB6644" w:rsidRPr="00FB6644" w:rsidP="00FB6644">
      <w:pPr>
        <w:spacing w:before="120" w:after="120" w:line="360" w:lineRule="auto"/>
        <w:ind w:firstLine="708"/>
        <w:jc w:val="both"/>
        <w:rPr>
          <w:rFonts w:ascii="Times New Roman" w:hAnsi="Times New Roman" w:cs="Times New Roman"/>
        </w:rPr>
      </w:pPr>
      <w:r w:rsidRPr="00FB6644">
        <w:rPr>
          <w:rFonts w:ascii="Times New Roman" w:hAnsi="Times New Roman" w:cs="Times New Roman"/>
          <w:bCs/>
        </w:rPr>
        <w:t>Rok 2006</w:t>
      </w:r>
      <w:r w:rsidRPr="00FB6644">
        <w:rPr>
          <w:rFonts w:ascii="Times New Roman" w:hAnsi="Times New Roman" w:cs="Times New Roman"/>
          <w:b/>
          <w:bCs/>
        </w:rPr>
        <w:t xml:space="preserve"> </w:t>
      </w:r>
      <w:r w:rsidRPr="00FB6644">
        <w:rPr>
          <w:rFonts w:ascii="Times New Roman" w:hAnsi="Times New Roman" w:cs="Times New Roman"/>
        </w:rPr>
        <w:t xml:space="preserve">predstavoval posledný rok vyplácania </w:t>
      </w:r>
      <w:r w:rsidRPr="00FB6644">
        <w:rPr>
          <w:rFonts w:ascii="Times New Roman" w:hAnsi="Times New Roman" w:cs="Times New Roman"/>
          <w:b/>
        </w:rPr>
        <w:t>š</w:t>
      </w:r>
      <w:r w:rsidRPr="00FB6644">
        <w:rPr>
          <w:rFonts w:ascii="Times New Roman" w:hAnsi="Times New Roman" w:cs="Times New Roman"/>
          <w:b/>
          <w:bCs/>
        </w:rPr>
        <w:t>peciálnej kompenzačnej platby</w:t>
      </w:r>
      <w:r w:rsidRPr="00FB6644">
        <w:rPr>
          <w:rFonts w:ascii="Times New Roman" w:hAnsi="Times New Roman" w:cs="Times New Roman"/>
        </w:rPr>
        <w:t xml:space="preserve"> z EÚ. Platba nebola účelovo viazaná a slúžila na realizáciu výdavkov štátneho rozpočtu. V roku 2006 bola rozpočtovaná sumou 482,2 mil. Sk, pričom v hotovostnom vyjadrení EK vyplatila v roku 2006 túto platbu vo výške 438,7 mil. Sk, a to formou jedenástich mesačných platieb. </w:t>
      </w:r>
    </w:p>
    <w:p w:rsidR="00FB6644" w:rsidRPr="00FB6644" w:rsidP="00FB6644">
      <w:pPr>
        <w:spacing w:before="120" w:after="120" w:line="360" w:lineRule="auto"/>
        <w:ind w:firstLine="708"/>
        <w:jc w:val="both"/>
        <w:rPr>
          <w:rFonts w:ascii="Times New Roman" w:hAnsi="Times New Roman" w:cs="Times New Roman"/>
        </w:rPr>
      </w:pPr>
      <w:r w:rsidRPr="00FB6644">
        <w:rPr>
          <w:rFonts w:ascii="Times New Roman" w:hAnsi="Times New Roman" w:cs="Times New Roman"/>
        </w:rPr>
        <w:t>Povstupové prostriedky poskytnuté z rozpočtu EÚ a nezaradené do príjmov štátneho rozpočtu sa predpokladali vo výške   5 006,4 mil. Sk. Skutočné plnenie týchto  príjmov predstavuje  1 755,2 mil. Sk.</w:t>
      </w:r>
    </w:p>
    <w:p w:rsidR="00FB6644" w:rsidRPr="00FB6644" w:rsidP="00FB6644">
      <w:pPr>
        <w:spacing w:before="120" w:after="120" w:line="360" w:lineRule="auto"/>
        <w:ind w:firstLine="709"/>
        <w:jc w:val="both"/>
        <w:rPr>
          <w:rFonts w:ascii="Times New Roman" w:hAnsi="Times New Roman" w:cs="Times New Roman"/>
        </w:rPr>
      </w:pPr>
      <w:r w:rsidRPr="00FB6644">
        <w:rPr>
          <w:rFonts w:ascii="Times New Roman" w:hAnsi="Times New Roman" w:cs="Times New Roman"/>
        </w:rPr>
        <w:t>Podrobnú štruktúru týchto povstupových prostriedkov charakterizujú údaje nasledovnej tabuľky (v mil. Sk):</w:t>
      </w:r>
    </w:p>
    <w:tbl>
      <w:tblPr>
        <w:tblW w:w="9430" w:type="dxa"/>
        <w:tblBorders>
          <w:top w:val="single" w:sz="8" w:space="0" w:color="auto"/>
          <w:left w:val="single" w:sz="8" w:space="0" w:color="auto"/>
          <w:bottom w:val="double" w:sz="6" w:space="0" w:color="auto"/>
          <w:right w:val="single" w:sz="8" w:space="0" w:color="auto"/>
          <w:insideH w:val="single" w:sz="6" w:space="0" w:color="auto"/>
          <w:insideV w:val="single" w:sz="6" w:space="0" w:color="auto"/>
        </w:tblBorders>
        <w:tblLayout w:type="fixed"/>
        <w:tblCellMar>
          <w:top w:w="0" w:type="dxa"/>
          <w:left w:w="70" w:type="dxa"/>
          <w:bottom w:w="0" w:type="dxa"/>
          <w:right w:w="70" w:type="dxa"/>
        </w:tblCellMar>
      </w:tblPr>
      <w:tblGrid>
        <w:gridCol w:w="1510"/>
        <w:gridCol w:w="1260"/>
        <w:gridCol w:w="1080"/>
        <w:gridCol w:w="1080"/>
        <w:gridCol w:w="1260"/>
        <w:gridCol w:w="1080"/>
        <w:gridCol w:w="1080"/>
        <w:gridCol w:w="1080"/>
      </w:tblGrid>
      <w:tr>
        <w:tblPrEx>
          <w:tblW w:w="9430" w:type="dxa"/>
          <w:tblBorders>
            <w:top w:val="single" w:sz="8" w:space="0" w:color="auto"/>
            <w:left w:val="single" w:sz="8" w:space="0" w:color="auto"/>
            <w:bottom w:val="double" w:sz="6" w:space="0" w:color="auto"/>
            <w:right w:val="single" w:sz="8" w:space="0" w:color="auto"/>
            <w:insideH w:val="single" w:sz="6" w:space="0" w:color="auto"/>
            <w:insideV w:val="single" w:sz="6" w:space="0" w:color="auto"/>
          </w:tblBorders>
          <w:tblLayout w:type="fixed"/>
          <w:tblCellMar>
            <w:top w:w="0" w:type="dxa"/>
            <w:left w:w="70" w:type="dxa"/>
            <w:bottom w:w="0" w:type="dxa"/>
            <w:right w:w="70" w:type="dxa"/>
          </w:tblCellMar>
        </w:tblPrEx>
        <w:trPr>
          <w:cantSplit/>
          <w:trHeight w:hRule="auto" w:val="0"/>
        </w:trPr>
        <w:tc>
          <w:tcPr>
            <w:tcW w:w="1510" w:type="dxa"/>
            <w:vMerge w:val="restart"/>
            <w:tcBorders>
              <w:top w:val="single" w:sz="8" w:space="0" w:color="auto"/>
              <w:left w:val="single" w:sz="8"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both"/>
              <w:rPr>
                <w:rFonts w:ascii="Times New Roman" w:hAnsi="Times New Roman" w:cs="Times New Roman"/>
                <w:sz w:val="20"/>
                <w:szCs w:val="20"/>
              </w:rPr>
            </w:pPr>
          </w:p>
        </w:tc>
        <w:tc>
          <w:tcPr>
            <w:tcW w:w="1260"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96069D" w:rsidP="00FB6644">
            <w:pPr>
              <w:jc w:val="center"/>
              <w:rPr>
                <w:rFonts w:ascii="Times New Roman" w:hAnsi="Times New Roman" w:cs="Times New Roman"/>
                <w:b/>
                <w:bCs/>
                <w:sz w:val="20"/>
                <w:szCs w:val="20"/>
              </w:rPr>
            </w:pPr>
            <w:r w:rsidRPr="0096069D">
              <w:rPr>
                <w:rFonts w:ascii="Times New Roman" w:hAnsi="Times New Roman" w:cs="Times New Roman"/>
                <w:b/>
                <w:bCs/>
                <w:sz w:val="20"/>
                <w:szCs w:val="20"/>
              </w:rPr>
              <w:t>Skutočnosť 2005</w:t>
            </w:r>
          </w:p>
        </w:tc>
        <w:tc>
          <w:tcPr>
            <w:tcW w:w="2160" w:type="dxa"/>
            <w:gridSpan w:val="2"/>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center"/>
              <w:rPr>
                <w:rFonts w:ascii="Times New Roman" w:hAnsi="Times New Roman" w:cs="Times New Roman"/>
                <w:b/>
                <w:bCs/>
                <w:sz w:val="20"/>
                <w:szCs w:val="20"/>
              </w:rPr>
            </w:pPr>
            <w:r w:rsidRPr="0096069D">
              <w:rPr>
                <w:rFonts w:ascii="Times New Roman" w:hAnsi="Times New Roman" w:cs="Times New Roman"/>
                <w:b/>
                <w:bCs/>
                <w:sz w:val="20"/>
                <w:szCs w:val="20"/>
              </w:rPr>
              <w:t>Rozpočet 2006</w:t>
            </w:r>
          </w:p>
        </w:tc>
        <w:tc>
          <w:tcPr>
            <w:tcW w:w="1260"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center"/>
              <w:rPr>
                <w:rFonts w:ascii="Times New Roman" w:hAnsi="Times New Roman" w:cs="Times New Roman"/>
                <w:b/>
                <w:bCs/>
                <w:sz w:val="20"/>
                <w:szCs w:val="20"/>
              </w:rPr>
            </w:pPr>
            <w:r w:rsidRPr="0096069D">
              <w:rPr>
                <w:rFonts w:ascii="Times New Roman" w:hAnsi="Times New Roman" w:cs="Times New Roman"/>
                <w:b/>
                <w:bCs/>
                <w:sz w:val="20"/>
                <w:szCs w:val="20"/>
              </w:rPr>
              <w:t>Skutočnosť 2006</w:t>
            </w:r>
          </w:p>
        </w:tc>
        <w:tc>
          <w:tcPr>
            <w:tcW w:w="1080"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96069D" w:rsidP="00FB6644">
            <w:pPr>
              <w:jc w:val="center"/>
              <w:rPr>
                <w:rFonts w:ascii="Times New Roman" w:hAnsi="Times New Roman" w:cs="Times New Roman"/>
                <w:b/>
                <w:bCs/>
                <w:sz w:val="20"/>
                <w:szCs w:val="20"/>
              </w:rPr>
            </w:pPr>
            <w:r w:rsidRPr="0096069D">
              <w:rPr>
                <w:rFonts w:ascii="Times New Roman" w:hAnsi="Times New Roman" w:cs="Times New Roman"/>
                <w:b/>
                <w:bCs/>
                <w:sz w:val="20"/>
                <w:szCs w:val="20"/>
              </w:rPr>
              <w:t>Plnenie v %</w:t>
            </w:r>
          </w:p>
        </w:tc>
        <w:tc>
          <w:tcPr>
            <w:tcW w:w="1080"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96069D" w:rsidP="00FB6644">
            <w:pPr>
              <w:jc w:val="center"/>
              <w:rPr>
                <w:rFonts w:ascii="Times New Roman" w:hAnsi="Times New Roman" w:cs="Times New Roman"/>
                <w:b/>
                <w:bCs/>
                <w:sz w:val="20"/>
                <w:szCs w:val="20"/>
              </w:rPr>
            </w:pPr>
            <w:r w:rsidRPr="0096069D">
              <w:rPr>
                <w:rFonts w:ascii="Times New Roman" w:hAnsi="Times New Roman" w:cs="Times New Roman"/>
                <w:b/>
                <w:bCs/>
                <w:sz w:val="20"/>
                <w:szCs w:val="20"/>
              </w:rPr>
              <w:t>Rozdiel 2005-2006</w:t>
            </w:r>
          </w:p>
        </w:tc>
        <w:tc>
          <w:tcPr>
            <w:tcW w:w="1080" w:type="dxa"/>
            <w:vMerge w:val="restart"/>
            <w:tcBorders>
              <w:top w:val="single" w:sz="8" w:space="0" w:color="auto"/>
              <w:left w:val="single" w:sz="6" w:space="0" w:color="auto"/>
              <w:bottom w:val="single" w:sz="6" w:space="0" w:color="auto"/>
              <w:right w:val="single" w:sz="8" w:space="0" w:color="auto"/>
              <w:tl2br w:val="nil"/>
              <w:tr2bl w:val="nil"/>
            </w:tcBorders>
            <w:shd w:val="clear" w:color="auto" w:fill="FFFFFF"/>
            <w:textDirection w:val="lrTb"/>
            <w:vAlign w:val="center"/>
          </w:tcPr>
          <w:p w:rsidR="00FB6644" w:rsidRPr="0096069D" w:rsidP="00FB6644">
            <w:pPr>
              <w:jc w:val="center"/>
              <w:rPr>
                <w:rFonts w:ascii="Times New Roman" w:hAnsi="Times New Roman" w:cs="Times New Roman"/>
                <w:b/>
                <w:bCs/>
                <w:sz w:val="20"/>
                <w:szCs w:val="20"/>
                <w:lang w:val="en-US"/>
              </w:rPr>
            </w:pPr>
            <w:r w:rsidRPr="0096069D">
              <w:rPr>
                <w:rFonts w:ascii="Times New Roman" w:hAnsi="Times New Roman" w:cs="Times New Roman"/>
                <w:b/>
                <w:bCs/>
                <w:sz w:val="20"/>
                <w:szCs w:val="20"/>
              </w:rPr>
              <w:t>Index</w:t>
            </w:r>
            <w:r w:rsidRPr="0096069D">
              <w:rPr>
                <w:rFonts w:ascii="Times New Roman" w:hAnsi="Times New Roman" w:cs="Times New Roman"/>
                <w:b/>
                <w:bCs/>
                <w:sz w:val="20"/>
                <w:szCs w:val="20"/>
              </w:rPr>
              <w:t xml:space="preserve"> 2006/</w:t>
            </w:r>
            <w:r w:rsidRPr="0096069D">
              <w:rPr>
                <w:rFonts w:ascii="Times New Roman" w:hAnsi="Times New Roman" w:cs="Times New Roman"/>
                <w:b/>
                <w:bCs/>
                <w:sz w:val="20"/>
                <w:szCs w:val="20"/>
                <w:lang w:val="en-US"/>
              </w:rPr>
              <w:t>2005</w:t>
            </w:r>
          </w:p>
        </w:tc>
      </w:tr>
      <w:tr>
        <w:tblPrEx>
          <w:tblW w:w="9430" w:type="dxa"/>
          <w:tblLayout w:type="fixed"/>
          <w:tblCellMar>
            <w:top w:w="0" w:type="dxa"/>
            <w:left w:w="70" w:type="dxa"/>
            <w:bottom w:w="0" w:type="dxa"/>
            <w:right w:w="70" w:type="dxa"/>
          </w:tblCellMar>
        </w:tblPrEx>
        <w:trPr>
          <w:cantSplit/>
          <w:trHeight w:hRule="auto" w:val="0"/>
        </w:trPr>
        <w:tc>
          <w:tcPr>
            <w:tcW w:w="1510" w:type="dxa"/>
            <w:vMerge/>
            <w:tcBorders>
              <w:top w:val="single" w:sz="6" w:space="0" w:color="auto"/>
              <w:left w:val="single" w:sz="8"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both"/>
              <w:rPr>
                <w:rFonts w:ascii="Times New Roman" w:hAnsi="Times New Roman" w:cs="Times New Roman"/>
                <w:sz w:val="20"/>
                <w:szCs w:val="20"/>
              </w:rPr>
            </w:pPr>
          </w:p>
        </w:tc>
        <w:tc>
          <w:tcPr>
            <w:tcW w:w="1260"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both"/>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96069D" w:rsidP="00FB6644">
            <w:pPr>
              <w:jc w:val="center"/>
              <w:rPr>
                <w:rFonts w:ascii="Times New Roman" w:hAnsi="Times New Roman" w:cs="Times New Roman"/>
                <w:b/>
                <w:bCs/>
                <w:sz w:val="20"/>
                <w:szCs w:val="20"/>
              </w:rPr>
            </w:pPr>
            <w:r w:rsidRPr="0096069D">
              <w:rPr>
                <w:rFonts w:ascii="Times New Roman" w:hAnsi="Times New Roman" w:cs="Times New Roman"/>
                <w:b/>
                <w:bCs/>
                <w:sz w:val="20"/>
                <w:szCs w:val="20"/>
              </w:rPr>
              <w:t>Schválený</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96069D" w:rsidP="00FB6644">
            <w:pPr>
              <w:jc w:val="center"/>
              <w:rPr>
                <w:rFonts w:ascii="Times New Roman" w:hAnsi="Times New Roman" w:cs="Times New Roman"/>
                <w:b/>
                <w:bCs/>
                <w:sz w:val="20"/>
                <w:szCs w:val="20"/>
              </w:rPr>
            </w:pPr>
            <w:r w:rsidRPr="0096069D">
              <w:rPr>
                <w:rFonts w:ascii="Times New Roman" w:hAnsi="Times New Roman" w:cs="Times New Roman"/>
                <w:b/>
                <w:bCs/>
                <w:sz w:val="20"/>
                <w:szCs w:val="20"/>
              </w:rPr>
              <w:t>Upravený</w:t>
            </w:r>
          </w:p>
        </w:tc>
        <w:tc>
          <w:tcPr>
            <w:tcW w:w="1260"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both"/>
              <w:rPr>
                <w:rFonts w:ascii="Times New Roman" w:hAnsi="Times New Roman" w:cs="Times New Roman"/>
                <w:sz w:val="20"/>
                <w:szCs w:val="20"/>
              </w:rPr>
            </w:pPr>
          </w:p>
        </w:tc>
        <w:tc>
          <w:tcPr>
            <w:tcW w:w="1080"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both"/>
              <w:rPr>
                <w:rFonts w:ascii="Times New Roman" w:hAnsi="Times New Roman" w:cs="Times New Roman"/>
                <w:sz w:val="20"/>
                <w:szCs w:val="20"/>
              </w:rPr>
            </w:pPr>
          </w:p>
        </w:tc>
        <w:tc>
          <w:tcPr>
            <w:tcW w:w="1080"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both"/>
              <w:rPr>
                <w:rFonts w:ascii="Times New Roman" w:hAnsi="Times New Roman" w:cs="Times New Roman"/>
                <w:sz w:val="20"/>
                <w:szCs w:val="20"/>
              </w:rPr>
            </w:pPr>
          </w:p>
        </w:tc>
        <w:tc>
          <w:tcPr>
            <w:tcW w:w="1080" w:type="dxa"/>
            <w:vMerge/>
            <w:tcBorders>
              <w:top w:val="single" w:sz="6" w:space="0" w:color="auto"/>
              <w:left w:val="single" w:sz="6" w:space="0" w:color="auto"/>
              <w:bottom w:val="single" w:sz="6" w:space="0" w:color="auto"/>
              <w:right w:val="single" w:sz="8" w:space="0" w:color="auto"/>
              <w:tl2br w:val="nil"/>
              <w:tr2bl w:val="nil"/>
            </w:tcBorders>
            <w:shd w:val="clear" w:color="auto" w:fill="FFFFFF"/>
            <w:textDirection w:val="lrTb"/>
            <w:vAlign w:val="top"/>
          </w:tcPr>
          <w:p w:rsidR="00FB6644" w:rsidRPr="0096069D" w:rsidP="00FB6644">
            <w:pPr>
              <w:jc w:val="both"/>
              <w:rPr>
                <w:rFonts w:ascii="Times New Roman" w:hAnsi="Times New Roman" w:cs="Times New Roman"/>
                <w:sz w:val="20"/>
                <w:szCs w:val="20"/>
              </w:rPr>
            </w:pPr>
          </w:p>
        </w:tc>
      </w:tr>
      <w:tr>
        <w:tblPrEx>
          <w:tblW w:w="9430" w:type="dxa"/>
          <w:tblLayout w:type="fixed"/>
          <w:tblCellMar>
            <w:top w:w="0" w:type="dxa"/>
            <w:left w:w="70" w:type="dxa"/>
            <w:bottom w:w="0" w:type="dxa"/>
            <w:right w:w="70" w:type="dxa"/>
          </w:tblCellMar>
        </w:tblPrEx>
        <w:trPr>
          <w:cantSplit/>
          <w:trHeight w:hRule="auto" w:val="0"/>
        </w:trPr>
        <w:tc>
          <w:tcPr>
            <w:tcW w:w="1510" w:type="dxa"/>
            <w:vMerge/>
            <w:tcBorders>
              <w:top w:val="single" w:sz="6" w:space="0" w:color="auto"/>
              <w:left w:val="single" w:sz="8"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both"/>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844AD" w:rsidP="00FB6644">
            <w:pPr>
              <w:jc w:val="center"/>
              <w:rPr>
                <w:rFonts w:ascii="Times New Roman" w:hAnsi="Times New Roman" w:cs="Times New Roman"/>
                <w:b/>
                <w:bCs/>
                <w:sz w:val="18"/>
                <w:szCs w:val="18"/>
              </w:rPr>
            </w:pPr>
            <w:r w:rsidRPr="004844AD">
              <w:rPr>
                <w:rFonts w:ascii="Times New Roman" w:hAnsi="Times New Roman" w:cs="Times New Roman"/>
                <w:b/>
                <w:bCs/>
                <w:sz w:val="18"/>
                <w:szCs w:val="18"/>
              </w:rPr>
              <w:t>1</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844AD" w:rsidP="00FB6644">
            <w:pPr>
              <w:jc w:val="center"/>
              <w:rPr>
                <w:rFonts w:ascii="Times New Roman" w:hAnsi="Times New Roman" w:cs="Times New Roman"/>
                <w:b/>
                <w:bCs/>
                <w:sz w:val="18"/>
                <w:szCs w:val="18"/>
              </w:rPr>
            </w:pPr>
            <w:r w:rsidRPr="004844AD">
              <w:rPr>
                <w:rFonts w:ascii="Times New Roman" w:hAnsi="Times New Roman" w:cs="Times New Roman"/>
                <w:b/>
                <w:bCs/>
                <w:sz w:val="18"/>
                <w:szCs w:val="18"/>
              </w:rPr>
              <w:t>2</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844AD" w:rsidP="00FB6644">
            <w:pPr>
              <w:jc w:val="center"/>
              <w:rPr>
                <w:rFonts w:ascii="Times New Roman" w:hAnsi="Times New Roman" w:cs="Times New Roman"/>
                <w:b/>
                <w:bCs/>
                <w:sz w:val="18"/>
                <w:szCs w:val="18"/>
              </w:rPr>
            </w:pPr>
            <w:r w:rsidRPr="004844AD">
              <w:rPr>
                <w:rFonts w:ascii="Times New Roman" w:hAnsi="Times New Roman" w:cs="Times New Roman"/>
                <w:b/>
                <w:bCs/>
                <w:sz w:val="18"/>
                <w:szCs w:val="18"/>
              </w:rPr>
              <w:t>3</w:t>
            </w:r>
          </w:p>
        </w:tc>
        <w:tc>
          <w:tcPr>
            <w:tcW w:w="126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844AD" w:rsidP="00FB6644">
            <w:pPr>
              <w:jc w:val="center"/>
              <w:rPr>
                <w:rFonts w:ascii="Times New Roman" w:hAnsi="Times New Roman" w:cs="Times New Roman"/>
                <w:b/>
                <w:bCs/>
                <w:sz w:val="18"/>
                <w:szCs w:val="18"/>
              </w:rPr>
            </w:pPr>
            <w:r w:rsidRPr="004844AD">
              <w:rPr>
                <w:rFonts w:ascii="Times New Roman" w:hAnsi="Times New Roman" w:cs="Times New Roman"/>
                <w:b/>
                <w:bCs/>
                <w:sz w:val="18"/>
                <w:szCs w:val="18"/>
              </w:rPr>
              <w:t>4</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844AD" w:rsidP="00FB6644">
            <w:pPr>
              <w:jc w:val="center"/>
              <w:rPr>
                <w:rFonts w:ascii="Times New Roman" w:hAnsi="Times New Roman" w:cs="Times New Roman"/>
                <w:b/>
                <w:bCs/>
                <w:sz w:val="18"/>
                <w:szCs w:val="18"/>
              </w:rPr>
            </w:pPr>
            <w:r w:rsidRPr="004844AD">
              <w:rPr>
                <w:rFonts w:ascii="Times New Roman" w:hAnsi="Times New Roman" w:cs="Times New Roman"/>
                <w:b/>
                <w:bCs/>
                <w:sz w:val="18"/>
                <w:szCs w:val="18"/>
              </w:rPr>
              <w:t>5= 4/3*100</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844AD" w:rsidP="00FB6644">
            <w:pPr>
              <w:jc w:val="center"/>
              <w:rPr>
                <w:rFonts w:ascii="Times New Roman" w:hAnsi="Times New Roman" w:cs="Times New Roman"/>
                <w:b/>
                <w:bCs/>
                <w:sz w:val="18"/>
                <w:szCs w:val="18"/>
              </w:rPr>
            </w:pPr>
            <w:r w:rsidRPr="004844AD">
              <w:rPr>
                <w:rFonts w:ascii="Times New Roman" w:hAnsi="Times New Roman" w:cs="Times New Roman"/>
                <w:b/>
                <w:bCs/>
                <w:sz w:val="18"/>
                <w:szCs w:val="18"/>
              </w:rPr>
              <w:t>6= 4 – 1</w:t>
            </w:r>
          </w:p>
        </w:tc>
        <w:tc>
          <w:tcPr>
            <w:tcW w:w="1080" w:type="dxa"/>
            <w:tcBorders>
              <w:top w:val="single" w:sz="6" w:space="0" w:color="auto"/>
              <w:left w:val="single" w:sz="6" w:space="0" w:color="auto"/>
              <w:bottom w:val="single" w:sz="6" w:space="0" w:color="auto"/>
              <w:right w:val="single" w:sz="8" w:space="0" w:color="auto"/>
              <w:tl2br w:val="nil"/>
              <w:tr2bl w:val="nil"/>
            </w:tcBorders>
            <w:shd w:val="clear" w:color="auto" w:fill="FFFFFF"/>
            <w:textDirection w:val="lrTb"/>
            <w:vAlign w:val="top"/>
          </w:tcPr>
          <w:p w:rsidR="00FB6644" w:rsidRPr="004844AD" w:rsidP="00FB6644">
            <w:pPr>
              <w:jc w:val="center"/>
              <w:rPr>
                <w:rFonts w:ascii="Times New Roman" w:hAnsi="Times New Roman" w:cs="Times New Roman"/>
                <w:b/>
                <w:bCs/>
                <w:sz w:val="18"/>
                <w:szCs w:val="18"/>
              </w:rPr>
            </w:pPr>
            <w:r w:rsidRPr="004844AD">
              <w:rPr>
                <w:rFonts w:ascii="Times New Roman" w:hAnsi="Times New Roman" w:cs="Times New Roman"/>
                <w:b/>
                <w:bCs/>
                <w:sz w:val="18"/>
                <w:szCs w:val="18"/>
              </w:rPr>
              <w:t>7=4/1*100</w:t>
            </w:r>
          </w:p>
        </w:tc>
      </w:tr>
      <w:tr>
        <w:tblPrEx>
          <w:tblW w:w="9430" w:type="dxa"/>
          <w:tblInd w:w="-60" w:type="dxa"/>
          <w:tblLayout w:type="fixed"/>
          <w:tblCellMar>
            <w:top w:w="0" w:type="dxa"/>
            <w:left w:w="70" w:type="dxa"/>
            <w:bottom w:w="0" w:type="dxa"/>
            <w:right w:w="70" w:type="dxa"/>
          </w:tblCellMar>
        </w:tblPrEx>
        <w:trPr>
          <w:trHeight w:hRule="auto" w:val="0"/>
        </w:trPr>
        <w:tc>
          <w:tcPr>
            <w:tcW w:w="1510"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96069D" w:rsidP="00FB6644">
            <w:pPr>
              <w:rPr>
                <w:rFonts w:ascii="Times New Roman" w:hAnsi="Times New Roman" w:cs="Times New Roman"/>
                <w:sz w:val="20"/>
                <w:szCs w:val="20"/>
              </w:rPr>
            </w:pPr>
            <w:r w:rsidRPr="0096069D">
              <w:rPr>
                <w:rFonts w:ascii="Times New Roman" w:hAnsi="Times New Roman" w:cs="Times New Roman"/>
                <w:sz w:val="20"/>
                <w:szCs w:val="20"/>
              </w:rPr>
              <w:t>Interreg IIIB a IIIC</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1,3</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75,3</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75,3</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3,0</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4,0</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1,7</w:t>
            </w:r>
          </w:p>
        </w:tc>
        <w:tc>
          <w:tcPr>
            <w:tcW w:w="108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230,8</w:t>
            </w:r>
          </w:p>
        </w:tc>
      </w:tr>
      <w:tr>
        <w:tblPrEx>
          <w:tblW w:w="9430" w:type="dxa"/>
          <w:tblInd w:w="-60" w:type="dxa"/>
          <w:tblLayout w:type="fixed"/>
          <w:tblCellMar>
            <w:top w:w="0" w:type="dxa"/>
            <w:left w:w="70" w:type="dxa"/>
            <w:bottom w:w="0" w:type="dxa"/>
            <w:right w:w="70" w:type="dxa"/>
          </w:tblCellMar>
        </w:tblPrEx>
        <w:trPr>
          <w:trHeight w:hRule="auto" w:val="0"/>
        </w:trPr>
        <w:tc>
          <w:tcPr>
            <w:tcW w:w="1510"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96069D" w:rsidP="00FB6644">
            <w:pPr>
              <w:rPr>
                <w:rFonts w:ascii="Times New Roman" w:hAnsi="Times New Roman" w:cs="Times New Roman"/>
                <w:sz w:val="20"/>
                <w:szCs w:val="20"/>
              </w:rPr>
            </w:pPr>
            <w:r w:rsidRPr="0096069D">
              <w:rPr>
                <w:rFonts w:ascii="Times New Roman" w:hAnsi="Times New Roman" w:cs="Times New Roman"/>
                <w:sz w:val="20"/>
                <w:szCs w:val="20"/>
              </w:rPr>
              <w:t xml:space="preserve">Vnútorné politiky EÚ v tom: </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i/>
                <w:iCs/>
                <w:sz w:val="20"/>
                <w:szCs w:val="20"/>
              </w:rPr>
            </w:pPr>
            <w:r w:rsidRPr="0096069D">
              <w:rPr>
                <w:rFonts w:ascii="Times New Roman" w:hAnsi="Times New Roman" w:cs="Times New Roman"/>
                <w:i/>
                <w:iCs/>
                <w:sz w:val="20"/>
                <w:szCs w:val="20"/>
              </w:rPr>
              <w:t>1 205,1</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i/>
                <w:iCs/>
                <w:sz w:val="20"/>
                <w:szCs w:val="20"/>
              </w:rPr>
            </w:pPr>
            <w:r w:rsidRPr="0096069D">
              <w:rPr>
                <w:rFonts w:ascii="Times New Roman" w:hAnsi="Times New Roman" w:cs="Times New Roman"/>
                <w:i/>
                <w:iCs/>
                <w:sz w:val="20"/>
                <w:szCs w:val="20"/>
              </w:rPr>
              <w:t>4 443,9</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i/>
                <w:iCs/>
                <w:sz w:val="20"/>
                <w:szCs w:val="20"/>
              </w:rPr>
            </w:pPr>
            <w:r w:rsidRPr="0096069D">
              <w:rPr>
                <w:rFonts w:ascii="Times New Roman" w:hAnsi="Times New Roman" w:cs="Times New Roman"/>
                <w:i/>
                <w:iCs/>
                <w:sz w:val="20"/>
                <w:szCs w:val="20"/>
              </w:rPr>
              <w:t>4 443,9</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i/>
                <w:iCs/>
                <w:sz w:val="20"/>
                <w:szCs w:val="20"/>
              </w:rPr>
            </w:pPr>
            <w:r w:rsidRPr="0096069D">
              <w:rPr>
                <w:rFonts w:ascii="Times New Roman" w:hAnsi="Times New Roman" w:cs="Times New Roman"/>
                <w:i/>
                <w:iCs/>
                <w:sz w:val="20"/>
                <w:szCs w:val="20"/>
              </w:rPr>
              <w:t>1 752,2</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39,4</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547,1</w:t>
            </w:r>
          </w:p>
        </w:tc>
        <w:tc>
          <w:tcPr>
            <w:tcW w:w="108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145,4</w:t>
            </w:r>
          </w:p>
        </w:tc>
      </w:tr>
      <w:tr>
        <w:tblPrEx>
          <w:tblW w:w="9430" w:type="dxa"/>
          <w:tblInd w:w="-60" w:type="dxa"/>
          <w:tblLayout w:type="fixed"/>
          <w:tblCellMar>
            <w:top w:w="0" w:type="dxa"/>
            <w:left w:w="70" w:type="dxa"/>
            <w:bottom w:w="0" w:type="dxa"/>
            <w:right w:w="70" w:type="dxa"/>
          </w:tblCellMar>
        </w:tblPrEx>
        <w:trPr>
          <w:trHeight w:hRule="auto" w:val="0"/>
        </w:trPr>
        <w:tc>
          <w:tcPr>
            <w:tcW w:w="1510"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96069D" w:rsidP="00FB6644">
            <w:pPr>
              <w:jc w:val="right"/>
              <w:rPr>
                <w:rFonts w:ascii="Times New Roman" w:hAnsi="Times New Roman" w:cs="Times New Roman"/>
                <w:i/>
                <w:iCs/>
                <w:sz w:val="20"/>
                <w:szCs w:val="20"/>
              </w:rPr>
            </w:pPr>
            <w:r w:rsidRPr="0096069D">
              <w:rPr>
                <w:rFonts w:ascii="Times New Roman" w:hAnsi="Times New Roman" w:cs="Times New Roman"/>
                <w:i/>
                <w:iCs/>
                <w:sz w:val="20"/>
                <w:szCs w:val="20"/>
              </w:rPr>
              <w:t>Vnútorné opatrenia</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357,0</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1 938,1</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1 938,1</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38,9</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2,0</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-318,1</w:t>
            </w:r>
          </w:p>
        </w:tc>
        <w:tc>
          <w:tcPr>
            <w:tcW w:w="108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10,9</w:t>
            </w:r>
          </w:p>
        </w:tc>
      </w:tr>
      <w:tr>
        <w:tblPrEx>
          <w:tblW w:w="9430" w:type="dxa"/>
          <w:tblInd w:w="-60" w:type="dxa"/>
          <w:tblLayout w:type="fixed"/>
          <w:tblCellMar>
            <w:top w:w="0" w:type="dxa"/>
            <w:left w:w="70" w:type="dxa"/>
            <w:bottom w:w="0" w:type="dxa"/>
            <w:right w:w="70" w:type="dxa"/>
          </w:tblCellMar>
        </w:tblPrEx>
        <w:trPr>
          <w:trHeight w:hRule="auto" w:val="0"/>
        </w:trPr>
        <w:tc>
          <w:tcPr>
            <w:tcW w:w="1510"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96069D" w:rsidP="00FB6644">
            <w:pPr>
              <w:jc w:val="right"/>
              <w:rPr>
                <w:rFonts w:ascii="Times New Roman" w:hAnsi="Times New Roman" w:cs="Times New Roman"/>
                <w:i/>
                <w:iCs/>
                <w:sz w:val="20"/>
                <w:szCs w:val="20"/>
              </w:rPr>
            </w:pPr>
            <w:r w:rsidRPr="0096069D">
              <w:rPr>
                <w:rFonts w:ascii="Times New Roman" w:hAnsi="Times New Roman" w:cs="Times New Roman"/>
                <w:i/>
                <w:iCs/>
                <w:sz w:val="20"/>
                <w:szCs w:val="20"/>
              </w:rPr>
              <w:t>Prechodný fond</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56,2</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524,7</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524,7</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348,4</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66,4</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292,2</w:t>
            </w:r>
          </w:p>
        </w:tc>
        <w:tc>
          <w:tcPr>
            <w:tcW w:w="108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619,9</w:t>
            </w:r>
          </w:p>
        </w:tc>
      </w:tr>
      <w:tr>
        <w:tblPrEx>
          <w:tblW w:w="9430" w:type="dxa"/>
          <w:tblInd w:w="-60" w:type="dxa"/>
          <w:tblLayout w:type="fixed"/>
          <w:tblCellMar>
            <w:top w:w="0" w:type="dxa"/>
            <w:left w:w="70" w:type="dxa"/>
            <w:bottom w:w="0" w:type="dxa"/>
            <w:right w:w="70" w:type="dxa"/>
          </w:tblCellMar>
        </w:tblPrEx>
        <w:trPr>
          <w:trHeight w:hRule="auto" w:val="0"/>
        </w:trPr>
        <w:tc>
          <w:tcPr>
            <w:tcW w:w="1510"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96069D" w:rsidP="00FB6644">
            <w:pPr>
              <w:jc w:val="right"/>
              <w:rPr>
                <w:rFonts w:ascii="Times New Roman" w:hAnsi="Times New Roman" w:cs="Times New Roman"/>
                <w:i/>
                <w:iCs/>
                <w:sz w:val="20"/>
                <w:szCs w:val="20"/>
              </w:rPr>
            </w:pPr>
            <w:r w:rsidRPr="0096069D">
              <w:rPr>
                <w:rFonts w:ascii="Times New Roman" w:hAnsi="Times New Roman" w:cs="Times New Roman"/>
                <w:i/>
                <w:iCs/>
                <w:sz w:val="20"/>
                <w:szCs w:val="20"/>
              </w:rPr>
              <w:t>Budovanie Schengenských hraníc</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684,1</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687,2</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687,2</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691,8</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100,7</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7,7</w:t>
            </w:r>
          </w:p>
        </w:tc>
        <w:tc>
          <w:tcPr>
            <w:tcW w:w="108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101,1</w:t>
            </w:r>
          </w:p>
        </w:tc>
      </w:tr>
      <w:tr>
        <w:tblPrEx>
          <w:tblW w:w="9430" w:type="dxa"/>
          <w:tblInd w:w="-60" w:type="dxa"/>
          <w:tblLayout w:type="fixed"/>
          <w:tblCellMar>
            <w:top w:w="0" w:type="dxa"/>
            <w:left w:w="70" w:type="dxa"/>
            <w:bottom w:w="0" w:type="dxa"/>
            <w:right w:w="70" w:type="dxa"/>
          </w:tblCellMar>
        </w:tblPrEx>
        <w:trPr>
          <w:trHeight w:hRule="auto" w:val="0"/>
        </w:trPr>
        <w:tc>
          <w:tcPr>
            <w:tcW w:w="1510"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96069D" w:rsidP="00FB6644">
            <w:pPr>
              <w:jc w:val="right"/>
              <w:rPr>
                <w:rFonts w:ascii="Times New Roman" w:hAnsi="Times New Roman" w:cs="Times New Roman"/>
                <w:i/>
                <w:iCs/>
                <w:sz w:val="20"/>
                <w:szCs w:val="20"/>
              </w:rPr>
            </w:pPr>
            <w:r w:rsidRPr="0096069D">
              <w:rPr>
                <w:rFonts w:ascii="Times New Roman" w:hAnsi="Times New Roman" w:cs="Times New Roman"/>
                <w:i/>
                <w:iCs/>
                <w:sz w:val="20"/>
                <w:szCs w:val="20"/>
              </w:rPr>
              <w:t>Odstavenie V1 JB</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107,8</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1 293,9</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1 293,9</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673,1</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52,0</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565,3</w:t>
            </w:r>
          </w:p>
        </w:tc>
        <w:tc>
          <w:tcPr>
            <w:tcW w:w="108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624,4</w:t>
            </w:r>
          </w:p>
        </w:tc>
      </w:tr>
      <w:tr>
        <w:tblPrEx>
          <w:tblW w:w="9430" w:type="dxa"/>
          <w:tblInd w:w="-60" w:type="dxa"/>
          <w:tblLayout w:type="fixed"/>
          <w:tblCellMar>
            <w:top w:w="0" w:type="dxa"/>
            <w:left w:w="70" w:type="dxa"/>
            <w:bottom w:w="0" w:type="dxa"/>
            <w:right w:w="70" w:type="dxa"/>
          </w:tblCellMar>
        </w:tblPrEx>
        <w:trPr>
          <w:trHeight w:hRule="auto" w:val="0"/>
        </w:trPr>
        <w:tc>
          <w:tcPr>
            <w:tcW w:w="1510"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96069D" w:rsidP="00FB6644">
            <w:pPr>
              <w:rPr>
                <w:rFonts w:ascii="Times New Roman" w:hAnsi="Times New Roman" w:cs="Times New Roman"/>
                <w:sz w:val="20"/>
                <w:szCs w:val="20"/>
              </w:rPr>
            </w:pPr>
            <w:r w:rsidRPr="0096069D">
              <w:rPr>
                <w:rFonts w:ascii="Times New Roman" w:hAnsi="Times New Roman" w:cs="Times New Roman"/>
                <w:sz w:val="20"/>
                <w:szCs w:val="20"/>
              </w:rPr>
              <w:t>F</w:t>
            </w:r>
            <w:r w:rsidRPr="0096069D">
              <w:rPr>
                <w:rFonts w:ascii="Times New Roman" w:hAnsi="Times New Roman" w:cs="Times New Roman"/>
                <w:sz w:val="20"/>
                <w:szCs w:val="20"/>
              </w:rPr>
              <w:t>inančný mechanizmus EHP a Nórsky finančný mechanizmus</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0,0</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487,2</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487,2</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0,0</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0,0</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0,0</w:t>
            </w:r>
          </w:p>
        </w:tc>
        <w:tc>
          <w:tcPr>
            <w:tcW w:w="108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0,0</w:t>
            </w:r>
          </w:p>
        </w:tc>
      </w:tr>
      <w:tr>
        <w:tblPrEx>
          <w:tblW w:w="9430" w:type="dxa"/>
          <w:tblInd w:w="-60" w:type="dxa"/>
          <w:tblLayout w:type="fixed"/>
          <w:tblCellMar>
            <w:top w:w="0" w:type="dxa"/>
            <w:left w:w="70" w:type="dxa"/>
            <w:bottom w:w="0" w:type="dxa"/>
            <w:right w:w="70" w:type="dxa"/>
          </w:tblCellMar>
        </w:tblPrEx>
        <w:trPr>
          <w:trHeight w:hRule="auto" w:val="0"/>
        </w:trPr>
        <w:tc>
          <w:tcPr>
            <w:tcW w:w="1510" w:type="dxa"/>
            <w:tcBorders>
              <w:top w:val="single" w:sz="6" w:space="0" w:color="auto"/>
              <w:left w:val="single" w:sz="8" w:space="0" w:color="auto"/>
              <w:bottom w:val="double" w:sz="6" w:space="0" w:color="auto"/>
              <w:right w:val="single" w:sz="6" w:space="0" w:color="auto"/>
              <w:tl2br w:val="nil"/>
              <w:tr2bl w:val="nil"/>
            </w:tcBorders>
            <w:tcMar>
              <w:left w:w="0" w:type="dxa"/>
              <w:right w:w="0" w:type="dxa"/>
            </w:tcMar>
            <w:textDirection w:val="lrTb"/>
            <w:vAlign w:val="top"/>
          </w:tcPr>
          <w:p w:rsidR="00FB6644" w:rsidRPr="0096069D" w:rsidP="00FB6644">
            <w:pPr>
              <w:rPr>
                <w:rFonts w:ascii="Times New Roman" w:hAnsi="Times New Roman" w:cs="Times New Roman"/>
                <w:b/>
                <w:bCs/>
                <w:sz w:val="20"/>
                <w:szCs w:val="20"/>
              </w:rPr>
            </w:pPr>
            <w:r w:rsidRPr="0096069D">
              <w:rPr>
                <w:rFonts w:ascii="Times New Roman" w:hAnsi="Times New Roman" w:cs="Times New Roman"/>
                <w:b/>
                <w:bCs/>
                <w:sz w:val="20"/>
                <w:szCs w:val="20"/>
              </w:rPr>
              <w:t>Spolu nezaradené  do príjmov ŠR</w:t>
            </w:r>
          </w:p>
        </w:tc>
        <w:tc>
          <w:tcPr>
            <w:tcW w:w="126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1 206,4</w:t>
            </w:r>
          </w:p>
        </w:tc>
        <w:tc>
          <w:tcPr>
            <w:tcW w:w="108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5 006,4</w:t>
            </w:r>
          </w:p>
        </w:tc>
        <w:tc>
          <w:tcPr>
            <w:tcW w:w="108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5 006,4</w:t>
            </w:r>
          </w:p>
        </w:tc>
        <w:tc>
          <w:tcPr>
            <w:tcW w:w="126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1 755,2</w:t>
            </w:r>
          </w:p>
        </w:tc>
        <w:tc>
          <w:tcPr>
            <w:tcW w:w="108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35,1</w:t>
            </w:r>
          </w:p>
        </w:tc>
        <w:tc>
          <w:tcPr>
            <w:tcW w:w="108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548,8</w:t>
            </w:r>
          </w:p>
        </w:tc>
        <w:tc>
          <w:tcPr>
            <w:tcW w:w="1080" w:type="dxa"/>
            <w:tcBorders>
              <w:top w:val="single" w:sz="6" w:space="0" w:color="auto"/>
              <w:left w:val="single" w:sz="6" w:space="0" w:color="auto"/>
              <w:bottom w:val="double" w:sz="6" w:space="0" w:color="auto"/>
              <w:right w:val="single" w:sz="8"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145,5</w:t>
            </w:r>
          </w:p>
        </w:tc>
      </w:tr>
    </w:tbl>
    <w:p w:rsidR="00FB6644" w:rsidRPr="00FB6644" w:rsidP="00FB6644">
      <w:pPr>
        <w:spacing w:after="120" w:line="360" w:lineRule="auto"/>
        <w:ind w:firstLine="708"/>
        <w:rPr>
          <w:rFonts w:ascii="Times New Roman" w:hAnsi="Times New Roman" w:cs="Times New Roman"/>
        </w:rPr>
      </w:pPr>
    </w:p>
    <w:p w:rsidR="00FB6644" w:rsidRPr="00FB6644" w:rsidP="00FB6644">
      <w:pPr>
        <w:spacing w:before="120" w:after="120" w:line="360" w:lineRule="auto"/>
        <w:ind w:firstLine="709"/>
        <w:jc w:val="both"/>
        <w:rPr>
          <w:rFonts w:ascii="Times New Roman" w:hAnsi="Times New Roman" w:cs="Times New Roman"/>
        </w:rPr>
      </w:pPr>
      <w:r w:rsidRPr="00FB6644">
        <w:rPr>
          <w:rFonts w:ascii="Times New Roman" w:hAnsi="Times New Roman" w:cs="Times New Roman"/>
        </w:rPr>
        <w:t>Vykazované nižšie príjmy finančných prostriedkov v roku 2006 oproti schválenému rozpoč</w:t>
      </w:r>
      <w:r w:rsidRPr="00FB6644">
        <w:rPr>
          <w:rFonts w:ascii="Times New Roman" w:hAnsi="Times New Roman" w:cs="Times New Roman"/>
        </w:rPr>
        <w:t xml:space="preserve">tu v rámci </w:t>
      </w:r>
      <w:r w:rsidRPr="00FB6644">
        <w:rPr>
          <w:rFonts w:ascii="Times New Roman" w:hAnsi="Times New Roman" w:cs="Times New Roman"/>
          <w:b/>
          <w:bCs/>
        </w:rPr>
        <w:t>vnútorných opatrení</w:t>
      </w:r>
      <w:r w:rsidRPr="00FB6644">
        <w:rPr>
          <w:rFonts w:ascii="Times New Roman" w:hAnsi="Times New Roman" w:cs="Times New Roman"/>
        </w:rPr>
        <w:t xml:space="preserve"> nie je spôsobené oneskorením začiatku realizácie projektov alebo zdĺhavým procesom schvaľovania, ale problémom je nemožnosť zabezpečiť plné vykazovanie všetkých príjmov z vnútorných opatrení na úrovni SR. Táto skutočnosť je spôsobená tým, že vnútorné opatrenia sú projektovo orientované a koneční prijímatelia podpory (verejné inštitúcie a/alebo súkromné osoby) predkladajú návrhy projektov priamo EK. Vzhľadom na uvedenú skutočnosť je možné stanoviť reálne čerpanie za rok 2006 až po zverejnení Správy EK o alokácii výdavkov rozpočtu EÚ v septembri 2007. </w:t>
      </w:r>
    </w:p>
    <w:p w:rsidR="00FB6644" w:rsidRPr="00FB6644" w:rsidP="00FB6644">
      <w:pPr>
        <w:spacing w:before="120" w:after="120" w:line="360" w:lineRule="auto"/>
        <w:ind w:firstLine="709"/>
        <w:jc w:val="both"/>
        <w:rPr>
          <w:rFonts w:ascii="Times New Roman" w:hAnsi="Times New Roman" w:cs="Times New Roman"/>
        </w:rPr>
      </w:pPr>
      <w:r w:rsidRPr="00FB6644">
        <w:rPr>
          <w:rFonts w:ascii="Times New Roman" w:hAnsi="Times New Roman" w:cs="Times New Roman"/>
        </w:rPr>
        <w:t>V nadväznosti na schválenie projektov zo strany EK v júli 2006 zaznamenal</w:t>
      </w:r>
      <w:r w:rsidRPr="00FB6644">
        <w:rPr>
          <w:rFonts w:ascii="Times New Roman" w:hAnsi="Times New Roman" w:cs="Times New Roman"/>
          <w:b/>
        </w:rPr>
        <w:t xml:space="preserve"> Prechodný fond</w:t>
      </w:r>
      <w:r w:rsidRPr="00FB6644">
        <w:rPr>
          <w:rFonts w:ascii="Times New Roman" w:hAnsi="Times New Roman" w:cs="Times New Roman"/>
        </w:rPr>
        <w:t xml:space="preserve"> v roku 2006 nižší prísun prostriedkov v porovnaní s predpokladom čerpania konečných prijímateľov vykázaným pri zostavovaní rozpočtu verejnej správy na roky 2006-2008. Na mimorozpočtové účty MF SR boli prijaté prostriedky z EÚ v celkovej výške 348,4 mil. Sk. </w:t>
      </w:r>
    </w:p>
    <w:p w:rsidR="00FB6644" w:rsidRPr="00FB6644" w:rsidP="00FB6644">
      <w:pPr>
        <w:spacing w:before="120" w:after="120" w:line="360" w:lineRule="auto"/>
        <w:ind w:firstLine="709"/>
        <w:jc w:val="both"/>
        <w:rPr>
          <w:rFonts w:ascii="Times New Roman" w:hAnsi="Times New Roman" w:cs="Times New Roman"/>
        </w:rPr>
      </w:pPr>
      <w:r w:rsidRPr="00FB6644">
        <w:rPr>
          <w:rFonts w:ascii="Times New Roman" w:hAnsi="Times New Roman" w:cs="Times New Roman"/>
        </w:rPr>
        <w:t xml:space="preserve">Posledná paušálna platba z EK na </w:t>
      </w:r>
      <w:r w:rsidRPr="00FB6644">
        <w:rPr>
          <w:rFonts w:ascii="Times New Roman" w:hAnsi="Times New Roman" w:cs="Times New Roman"/>
          <w:b/>
          <w:bCs/>
        </w:rPr>
        <w:t>budovanie Schengenských hraníc</w:t>
      </w:r>
      <w:r w:rsidRPr="00FB6644">
        <w:rPr>
          <w:rFonts w:ascii="Times New Roman" w:hAnsi="Times New Roman" w:cs="Times New Roman"/>
        </w:rPr>
        <w:t xml:space="preserve"> vo výške 691,8 mil. Sk bola dňa 28. novembra 2006 poukázaná na mimorozpočtový účet MV SR. </w:t>
      </w:r>
    </w:p>
    <w:p w:rsidR="00FB6644" w:rsidRPr="00FB6644" w:rsidP="00FB6644">
      <w:pPr>
        <w:spacing w:before="120" w:after="120" w:line="360" w:lineRule="auto"/>
        <w:ind w:firstLine="709"/>
        <w:jc w:val="both"/>
        <w:rPr>
          <w:rFonts w:ascii="Times New Roman" w:hAnsi="Times New Roman" w:cs="Times New Roman"/>
        </w:rPr>
      </w:pPr>
      <w:r w:rsidRPr="00FB6644">
        <w:rPr>
          <w:rFonts w:ascii="Times New Roman" w:hAnsi="Times New Roman" w:cs="Times New Roman"/>
        </w:rPr>
        <w:t xml:space="preserve">Finančné prostriedky </w:t>
      </w:r>
      <w:r w:rsidRPr="00FB6644">
        <w:rPr>
          <w:rFonts w:ascii="Times New Roman" w:hAnsi="Times New Roman" w:cs="Times New Roman"/>
          <w:b/>
          <w:bCs/>
        </w:rPr>
        <w:t>na odstavenie JE V1 Jaslovské Bohunice</w:t>
      </w:r>
      <w:r w:rsidRPr="00FB6644">
        <w:rPr>
          <w:rFonts w:ascii="Times New Roman" w:hAnsi="Times New Roman" w:cs="Times New Roman"/>
        </w:rPr>
        <w:t xml:space="preserve"> plynú na Slovensko prostredníctvom fondu BIDSF (Bohunice International Decommissioning Support Fund), ktorého správcom je Európska banka pre obnovu a rozvoj. Finančné prostriedky sú z tohto fondu po podpísaní grantových dohôd preplácané slovenským príjemcom zahraničnej pomoci (t.j. Slovenské elektrárne, a.s. a Slovenská elektrizačná a prenosová sústava, a.s.). V roku 2006 boli podpísané dve grantové dohody, na základe ktorých sa čerpalo 673,1 mil. Sk.</w:t>
      </w:r>
    </w:p>
    <w:p w:rsidR="00FB6644" w:rsidRPr="00FB6644" w:rsidP="00FB6644">
      <w:pPr>
        <w:spacing w:before="120" w:after="120" w:line="360" w:lineRule="auto"/>
        <w:ind w:firstLine="709"/>
        <w:jc w:val="both"/>
        <w:rPr>
          <w:rFonts w:ascii="Times New Roman" w:hAnsi="Times New Roman" w:cs="Times New Roman"/>
        </w:rPr>
      </w:pPr>
      <w:r w:rsidRPr="00FB6644">
        <w:rPr>
          <w:rFonts w:ascii="Times New Roman" w:hAnsi="Times New Roman" w:cs="Times New Roman"/>
        </w:rPr>
        <w:t>Z </w:t>
      </w:r>
      <w:r w:rsidRPr="00FB6644">
        <w:rPr>
          <w:rFonts w:ascii="Times New Roman" w:hAnsi="Times New Roman" w:cs="Times New Roman"/>
          <w:b/>
          <w:bCs/>
        </w:rPr>
        <w:t xml:space="preserve">predvstupových fondov </w:t>
      </w:r>
      <w:r w:rsidRPr="00FB6644">
        <w:rPr>
          <w:rFonts w:ascii="Times New Roman" w:hAnsi="Times New Roman" w:cs="Times New Roman"/>
        </w:rPr>
        <w:t xml:space="preserve">bola implementačným agentúram presunutá čiastka 4 745,4 mil. Sk a formou spolufinancovania zo štátneho rozpočtu čiastka 3 355,0 mil. Sk. </w:t>
      </w:r>
    </w:p>
    <w:p w:rsidR="00FB6644" w:rsidRPr="00FB6644" w:rsidP="00FB6644">
      <w:pPr>
        <w:spacing w:before="120" w:after="120" w:line="360" w:lineRule="auto"/>
        <w:ind w:firstLine="709"/>
        <w:jc w:val="both"/>
        <w:rPr>
          <w:rFonts w:ascii="Times New Roman" w:hAnsi="Times New Roman" w:cs="Times New Roman"/>
        </w:rPr>
      </w:pPr>
      <w:r w:rsidRPr="00FB6644">
        <w:rPr>
          <w:rFonts w:ascii="Times New Roman" w:hAnsi="Times New Roman" w:cs="Times New Roman"/>
        </w:rPr>
        <w:t xml:space="preserve">Podrobnú štruktúru uvedených prostriedkov charakterizuje nasledovná tabuľka (mil. Sk): </w:t>
      </w:r>
    </w:p>
    <w:tbl>
      <w:tblPr>
        <w:tblW w:w="9378" w:type="dxa"/>
        <w:tblInd w:w="108" w:type="dxa"/>
        <w:tblBorders>
          <w:top w:val="single" w:sz="8" w:space="0" w:color="auto"/>
          <w:left w:val="single" w:sz="8" w:space="0" w:color="auto"/>
          <w:bottom w:val="double" w:sz="6" w:space="0" w:color="auto"/>
          <w:right w:val="single" w:sz="8" w:space="0" w:color="auto"/>
          <w:insideH w:val="single" w:sz="6" w:space="0" w:color="auto"/>
          <w:insideV w:val="single" w:sz="6" w:space="0" w:color="auto"/>
        </w:tblBorders>
      </w:tblPr>
      <w:tblGrid>
        <w:gridCol w:w="3126"/>
        <w:gridCol w:w="3126"/>
        <w:gridCol w:w="3126"/>
      </w:tblGrid>
      <w:tr>
        <w:tblPrEx>
          <w:tblW w:w="9378" w:type="dxa"/>
          <w:tblInd w:w="108" w:type="dxa"/>
          <w:tblBorders>
            <w:top w:val="single" w:sz="8" w:space="0" w:color="auto"/>
            <w:left w:val="single" w:sz="8" w:space="0" w:color="auto"/>
            <w:bottom w:val="double" w:sz="6" w:space="0" w:color="auto"/>
            <w:right w:val="single" w:sz="8" w:space="0" w:color="auto"/>
            <w:insideH w:val="single" w:sz="6" w:space="0" w:color="auto"/>
            <w:insideV w:val="single" w:sz="6" w:space="0" w:color="auto"/>
          </w:tblBorders>
        </w:tblPrEx>
        <w:trPr>
          <w:trHeight w:val="817"/>
        </w:trPr>
        <w:tc>
          <w:tcPr>
            <w:tcW w:w="3126" w:type="dxa"/>
            <w:tcBorders>
              <w:top w:val="single" w:sz="8" w:space="0" w:color="auto"/>
              <w:left w:val="single" w:sz="8" w:space="0" w:color="auto"/>
              <w:bottom w:val="single" w:sz="6" w:space="0" w:color="auto"/>
              <w:right w:val="single" w:sz="6" w:space="0" w:color="auto"/>
              <w:tl2br w:val="nil"/>
              <w:tr2bl w:val="nil"/>
            </w:tcBorders>
            <w:textDirection w:val="lrTb"/>
            <w:vAlign w:val="center"/>
          </w:tcPr>
          <w:p w:rsidR="00FB6644" w:rsidRPr="0096069D" w:rsidP="00FB6644">
            <w:pPr>
              <w:spacing w:after="120"/>
              <w:jc w:val="center"/>
              <w:rPr>
                <w:rFonts w:ascii="Times New Roman" w:hAnsi="Times New Roman" w:cs="Times New Roman"/>
                <w:b/>
                <w:sz w:val="20"/>
                <w:szCs w:val="20"/>
              </w:rPr>
            </w:pPr>
            <w:r w:rsidRPr="0096069D">
              <w:rPr>
                <w:rFonts w:ascii="Times New Roman" w:hAnsi="Times New Roman" w:cs="Times New Roman"/>
                <w:b/>
                <w:sz w:val="20"/>
                <w:szCs w:val="20"/>
              </w:rPr>
              <w:t>Fond</w:t>
            </w:r>
          </w:p>
        </w:tc>
        <w:tc>
          <w:tcPr>
            <w:tcW w:w="3126" w:type="dxa"/>
            <w:tcBorders>
              <w:top w:val="single" w:sz="8" w:space="0" w:color="auto"/>
              <w:left w:val="single" w:sz="6" w:space="0" w:color="auto"/>
              <w:bottom w:val="single" w:sz="6" w:space="0" w:color="auto"/>
              <w:right w:val="single" w:sz="6" w:space="0" w:color="auto"/>
              <w:tl2br w:val="nil"/>
              <w:tr2bl w:val="nil"/>
            </w:tcBorders>
            <w:textDirection w:val="lrTb"/>
            <w:vAlign w:val="center"/>
          </w:tcPr>
          <w:p w:rsidR="00FB6644" w:rsidRPr="0096069D" w:rsidP="00FB6644">
            <w:pPr>
              <w:spacing w:after="120"/>
              <w:jc w:val="center"/>
              <w:rPr>
                <w:rFonts w:ascii="Times New Roman" w:hAnsi="Times New Roman" w:cs="Times New Roman"/>
                <w:b/>
                <w:sz w:val="20"/>
                <w:szCs w:val="20"/>
              </w:rPr>
            </w:pPr>
            <w:r w:rsidRPr="0096069D">
              <w:rPr>
                <w:rFonts w:ascii="Times New Roman" w:hAnsi="Times New Roman" w:cs="Times New Roman"/>
                <w:b/>
                <w:sz w:val="20"/>
                <w:szCs w:val="20"/>
              </w:rPr>
              <w:t>Presun prostriedkov EÚ z mimorozpočtového účtu MF SR na Implementačnú agentúru</w:t>
            </w:r>
          </w:p>
        </w:tc>
        <w:tc>
          <w:tcPr>
            <w:tcW w:w="3126" w:type="dxa"/>
            <w:tcBorders>
              <w:top w:val="single" w:sz="8" w:space="0" w:color="auto"/>
              <w:left w:val="single" w:sz="6" w:space="0" w:color="auto"/>
              <w:bottom w:val="single" w:sz="6" w:space="0" w:color="auto"/>
              <w:right w:val="single" w:sz="8" w:space="0" w:color="auto"/>
              <w:tl2br w:val="nil"/>
              <w:tr2bl w:val="nil"/>
            </w:tcBorders>
            <w:textDirection w:val="lrTb"/>
            <w:vAlign w:val="center"/>
          </w:tcPr>
          <w:p w:rsidR="00FB6644" w:rsidRPr="0096069D" w:rsidP="00FB6644">
            <w:pPr>
              <w:spacing w:after="120"/>
              <w:jc w:val="center"/>
              <w:rPr>
                <w:rFonts w:ascii="Times New Roman" w:hAnsi="Times New Roman" w:cs="Times New Roman"/>
                <w:b/>
                <w:sz w:val="20"/>
                <w:szCs w:val="20"/>
              </w:rPr>
            </w:pPr>
            <w:r w:rsidRPr="0096069D">
              <w:rPr>
                <w:rFonts w:ascii="Times New Roman" w:hAnsi="Times New Roman" w:cs="Times New Roman"/>
                <w:b/>
                <w:sz w:val="20"/>
                <w:szCs w:val="20"/>
              </w:rPr>
              <w:t>Presun prostriedkov ŠR z mimorozpočtového účtu MF SR na Implementačnú agentúru</w:t>
            </w:r>
          </w:p>
        </w:tc>
      </w:tr>
      <w:tr>
        <w:tblPrEx>
          <w:tblW w:w="9378" w:type="dxa"/>
          <w:tblInd w:w="108" w:type="dxa"/>
        </w:tblPrEx>
        <w:trPr>
          <w:trHeight w:val="148"/>
        </w:trPr>
        <w:tc>
          <w:tcPr>
            <w:tcW w:w="3126" w:type="dxa"/>
            <w:tcBorders>
              <w:top w:val="single" w:sz="6" w:space="0" w:color="auto"/>
              <w:left w:val="single" w:sz="8" w:space="0" w:color="auto"/>
              <w:bottom w:val="single" w:sz="6" w:space="0" w:color="auto"/>
              <w:right w:val="single" w:sz="6" w:space="0" w:color="auto"/>
              <w:tl2br w:val="nil"/>
              <w:tr2bl w:val="nil"/>
            </w:tcBorders>
            <w:textDirection w:val="lrTb"/>
            <w:vAlign w:val="top"/>
          </w:tcPr>
          <w:p w:rsidR="00FB6644" w:rsidRPr="0096069D" w:rsidP="00FB6644">
            <w:pPr>
              <w:spacing w:after="120"/>
              <w:rPr>
                <w:rFonts w:ascii="Times New Roman" w:hAnsi="Times New Roman" w:cs="Times New Roman"/>
                <w:bCs/>
                <w:sz w:val="20"/>
                <w:szCs w:val="20"/>
              </w:rPr>
            </w:pPr>
            <w:r w:rsidRPr="0096069D">
              <w:rPr>
                <w:rFonts w:ascii="Times New Roman" w:hAnsi="Times New Roman" w:cs="Times New Roman"/>
                <w:bCs/>
                <w:sz w:val="20"/>
                <w:szCs w:val="20"/>
              </w:rPr>
              <w:t>PHARE</w:t>
            </w:r>
          </w:p>
        </w:tc>
        <w:tc>
          <w:tcPr>
            <w:tcW w:w="3126"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1 624,2</w:t>
            </w:r>
          </w:p>
        </w:tc>
        <w:tc>
          <w:tcPr>
            <w:tcW w:w="3126" w:type="dxa"/>
            <w:tcBorders>
              <w:top w:val="single" w:sz="6" w:space="0" w:color="auto"/>
              <w:left w:val="single" w:sz="6" w:space="0" w:color="auto"/>
              <w:bottom w:val="single" w:sz="6" w:space="0" w:color="auto"/>
              <w:right w:val="single" w:sz="8" w:space="0" w:color="auto"/>
              <w:tl2br w:val="nil"/>
              <w:tr2bl w:val="nil"/>
            </w:tcBorders>
            <w:textDirection w:val="lrTb"/>
            <w:vAlign w:val="top"/>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428,2</w:t>
            </w:r>
          </w:p>
        </w:tc>
      </w:tr>
      <w:tr>
        <w:tblPrEx>
          <w:tblW w:w="9378" w:type="dxa"/>
          <w:tblInd w:w="108" w:type="dxa"/>
        </w:tblPrEx>
        <w:trPr>
          <w:trHeight w:val="145"/>
        </w:trPr>
        <w:tc>
          <w:tcPr>
            <w:tcW w:w="3126" w:type="dxa"/>
            <w:tcBorders>
              <w:top w:val="single" w:sz="6" w:space="0" w:color="auto"/>
              <w:left w:val="single" w:sz="8" w:space="0" w:color="auto"/>
              <w:bottom w:val="single" w:sz="6" w:space="0" w:color="auto"/>
              <w:right w:val="single" w:sz="6" w:space="0" w:color="auto"/>
              <w:tl2br w:val="nil"/>
              <w:tr2bl w:val="nil"/>
            </w:tcBorders>
            <w:textDirection w:val="lrTb"/>
            <w:vAlign w:val="top"/>
          </w:tcPr>
          <w:p w:rsidR="00FB6644" w:rsidRPr="0096069D" w:rsidP="00FB6644">
            <w:pPr>
              <w:spacing w:after="120"/>
              <w:rPr>
                <w:rFonts w:ascii="Times New Roman" w:hAnsi="Times New Roman" w:cs="Times New Roman"/>
                <w:bCs/>
                <w:sz w:val="20"/>
                <w:szCs w:val="20"/>
              </w:rPr>
            </w:pPr>
            <w:r w:rsidRPr="0096069D">
              <w:rPr>
                <w:rFonts w:ascii="Times New Roman" w:hAnsi="Times New Roman" w:cs="Times New Roman"/>
                <w:bCs/>
                <w:sz w:val="20"/>
                <w:szCs w:val="20"/>
              </w:rPr>
              <w:t>ISPA</w:t>
            </w:r>
          </w:p>
        </w:tc>
        <w:tc>
          <w:tcPr>
            <w:tcW w:w="3126"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3</w:t>
            </w:r>
            <w:r w:rsidRPr="0096069D">
              <w:rPr>
                <w:rFonts w:ascii="Times New Roman" w:hAnsi="Times New Roman" w:cs="Times New Roman"/>
                <w:sz w:val="20"/>
                <w:szCs w:val="20"/>
              </w:rPr>
              <w:t xml:space="preserve"> 015,8</w:t>
            </w:r>
          </w:p>
        </w:tc>
        <w:tc>
          <w:tcPr>
            <w:tcW w:w="3126" w:type="dxa"/>
            <w:tcBorders>
              <w:top w:val="single" w:sz="6" w:space="0" w:color="auto"/>
              <w:left w:val="single" w:sz="6" w:space="0" w:color="auto"/>
              <w:bottom w:val="single" w:sz="6" w:space="0" w:color="auto"/>
              <w:right w:val="single" w:sz="8" w:space="0" w:color="auto"/>
              <w:tl2br w:val="nil"/>
              <w:tr2bl w:val="nil"/>
            </w:tcBorders>
            <w:textDirection w:val="lrTb"/>
            <w:vAlign w:val="top"/>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2 430,8</w:t>
            </w:r>
          </w:p>
        </w:tc>
      </w:tr>
      <w:tr>
        <w:tblPrEx>
          <w:tblW w:w="9378" w:type="dxa"/>
          <w:tblInd w:w="108" w:type="dxa"/>
        </w:tblPrEx>
        <w:trPr>
          <w:trHeight w:val="126"/>
        </w:trPr>
        <w:tc>
          <w:tcPr>
            <w:tcW w:w="3126" w:type="dxa"/>
            <w:tcBorders>
              <w:top w:val="single" w:sz="6" w:space="0" w:color="auto"/>
              <w:left w:val="single" w:sz="8" w:space="0" w:color="auto"/>
              <w:bottom w:val="single" w:sz="6" w:space="0" w:color="auto"/>
              <w:right w:val="single" w:sz="6" w:space="0" w:color="auto"/>
              <w:tl2br w:val="nil"/>
              <w:tr2bl w:val="nil"/>
            </w:tcBorders>
            <w:textDirection w:val="lrTb"/>
            <w:vAlign w:val="top"/>
          </w:tcPr>
          <w:p w:rsidR="00FB6644" w:rsidRPr="0096069D" w:rsidP="00FB6644">
            <w:pPr>
              <w:spacing w:after="120"/>
              <w:rPr>
                <w:rFonts w:ascii="Times New Roman" w:hAnsi="Times New Roman" w:cs="Times New Roman"/>
                <w:bCs/>
                <w:sz w:val="20"/>
                <w:szCs w:val="20"/>
              </w:rPr>
            </w:pPr>
            <w:r w:rsidRPr="0096069D">
              <w:rPr>
                <w:rFonts w:ascii="Times New Roman" w:hAnsi="Times New Roman" w:cs="Times New Roman"/>
                <w:bCs/>
                <w:sz w:val="20"/>
                <w:szCs w:val="20"/>
              </w:rPr>
              <w:t>SAPARD</w:t>
            </w:r>
          </w:p>
        </w:tc>
        <w:tc>
          <w:tcPr>
            <w:tcW w:w="3126"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105,4</w:t>
            </w:r>
          </w:p>
        </w:tc>
        <w:tc>
          <w:tcPr>
            <w:tcW w:w="3126" w:type="dxa"/>
            <w:tcBorders>
              <w:top w:val="single" w:sz="6" w:space="0" w:color="auto"/>
              <w:left w:val="single" w:sz="6" w:space="0" w:color="auto"/>
              <w:bottom w:val="single" w:sz="6" w:space="0" w:color="auto"/>
              <w:right w:val="single" w:sz="8" w:space="0" w:color="auto"/>
              <w:tl2br w:val="nil"/>
              <w:tr2bl w:val="nil"/>
            </w:tcBorders>
            <w:textDirection w:val="lrTb"/>
            <w:vAlign w:val="top"/>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496,0</w:t>
            </w:r>
          </w:p>
        </w:tc>
      </w:tr>
      <w:tr>
        <w:tblPrEx>
          <w:tblW w:w="9378" w:type="dxa"/>
          <w:tblInd w:w="108" w:type="dxa"/>
        </w:tblPrEx>
        <w:trPr>
          <w:trHeight w:val="259"/>
        </w:trPr>
        <w:tc>
          <w:tcPr>
            <w:tcW w:w="3126" w:type="dxa"/>
            <w:tcBorders>
              <w:top w:val="single" w:sz="6" w:space="0" w:color="auto"/>
              <w:left w:val="single" w:sz="8" w:space="0" w:color="auto"/>
              <w:bottom w:val="double" w:sz="6" w:space="0" w:color="auto"/>
              <w:right w:val="single" w:sz="6" w:space="0" w:color="auto"/>
              <w:tl2br w:val="nil"/>
              <w:tr2bl w:val="nil"/>
            </w:tcBorders>
            <w:textDirection w:val="lrTb"/>
            <w:vAlign w:val="bottom"/>
          </w:tcPr>
          <w:p w:rsidR="00FB6644" w:rsidRPr="0096069D" w:rsidP="00FB6644">
            <w:pPr>
              <w:rPr>
                <w:rFonts w:ascii="Times New Roman" w:hAnsi="Times New Roman" w:cs="Times New Roman"/>
                <w:b/>
                <w:sz w:val="20"/>
                <w:szCs w:val="20"/>
              </w:rPr>
            </w:pPr>
            <w:r w:rsidRPr="0096069D">
              <w:rPr>
                <w:rFonts w:ascii="Times New Roman" w:hAnsi="Times New Roman" w:cs="Times New Roman"/>
                <w:b/>
                <w:sz w:val="20"/>
                <w:szCs w:val="20"/>
              </w:rPr>
              <w:t>Predvstupové fondy spolu</w:t>
            </w:r>
          </w:p>
        </w:tc>
        <w:tc>
          <w:tcPr>
            <w:tcW w:w="3126"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4 745,4</w:t>
            </w:r>
          </w:p>
        </w:tc>
        <w:tc>
          <w:tcPr>
            <w:tcW w:w="3126" w:type="dxa"/>
            <w:tcBorders>
              <w:top w:val="single" w:sz="6" w:space="0" w:color="auto"/>
              <w:left w:val="single" w:sz="6" w:space="0" w:color="auto"/>
              <w:bottom w:val="double" w:sz="6" w:space="0" w:color="auto"/>
              <w:right w:val="single" w:sz="8"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3 355,0</w:t>
            </w:r>
          </w:p>
        </w:tc>
      </w:tr>
    </w:tbl>
    <w:p w:rsidR="00FB6644" w:rsidRPr="00FB6644" w:rsidP="00FB6644">
      <w:pPr>
        <w:spacing w:after="120" w:line="360" w:lineRule="auto"/>
        <w:rPr>
          <w:rFonts w:ascii="Times New Roman" w:hAnsi="Times New Roman" w:cs="Times New Roman"/>
        </w:rPr>
      </w:pPr>
    </w:p>
    <w:p w:rsidR="00FB6644" w:rsidRPr="00FB6644" w:rsidP="00FB6644">
      <w:pPr>
        <w:spacing w:before="120" w:after="120" w:line="360" w:lineRule="auto"/>
        <w:ind w:firstLine="709"/>
        <w:jc w:val="both"/>
        <w:rPr>
          <w:rFonts w:ascii="Times New Roman" w:hAnsi="Times New Roman" w:cs="Times New Roman"/>
        </w:rPr>
      </w:pPr>
      <w:r w:rsidRPr="00FB6644">
        <w:rPr>
          <w:rFonts w:ascii="Times New Roman" w:hAnsi="Times New Roman" w:cs="Times New Roman"/>
        </w:rPr>
        <w:t xml:space="preserve">Projekty </w:t>
      </w:r>
      <w:r w:rsidRPr="00FB6644">
        <w:rPr>
          <w:rFonts w:ascii="Times New Roman" w:hAnsi="Times New Roman" w:cs="Times New Roman"/>
          <w:b/>
          <w:bCs/>
        </w:rPr>
        <w:t>PHARE</w:t>
      </w:r>
      <w:r w:rsidRPr="00FB6644">
        <w:rPr>
          <w:rFonts w:ascii="Times New Roman" w:hAnsi="Times New Roman" w:cs="Times New Roman"/>
        </w:rPr>
        <w:t xml:space="preserve"> FM 2002 (projekt 610.03 Integrácia Rómskych detí v oblasti výchovy a vzdelávania)  FM 2003 boli realizované prostredníctvom troch implementačných agentúr (ďalej len „IA“): Centrálna a finančná kontraktačná jednotka (ďalej len „CFKJ“), Národná agentúra na rozvoj malého a stredného podnikania (ďalej len „NARMSP“) a Agentúra na podporu regionálneho rozvoja (ďalej len „APRR“). Finančné prostriedky boli presúvané na mimorozpočtové účty IA na základe pravidelných mesačných žiadostí podľa potrieb IA. CFKJ sa podieľala na celkovej sume vyplatených prostriedkov EÚ/ ŠR 50,0 % / 41,8 %,  NARMSP  10,2 % / 16,5 %  a v prípade APRR čerpanie predstavovalo 39,8 % / 41,7 % celkového čerpania v roku 2006. </w:t>
      </w:r>
    </w:p>
    <w:p w:rsidR="00FB6644" w:rsidRPr="00FB6644" w:rsidP="00FB6644">
      <w:pPr>
        <w:spacing w:before="120" w:after="120" w:line="360" w:lineRule="auto"/>
        <w:ind w:firstLine="709"/>
        <w:jc w:val="both"/>
        <w:rPr>
          <w:rFonts w:ascii="Times New Roman" w:hAnsi="Times New Roman" w:cs="Times New Roman"/>
        </w:rPr>
      </w:pPr>
      <w:r w:rsidRPr="00FB6644">
        <w:rPr>
          <w:rFonts w:ascii="Times New Roman" w:hAnsi="Times New Roman" w:cs="Times New Roman"/>
        </w:rPr>
        <w:t>Pri časovom nesúlade medzi príjmom prostriedkov z EÚ a potrebami IA boli využité na predfinancovanie projektov prostriedky z „Rezervy na predvstupový fond PHARE“ a následne po prísune prostriedkov z EÚ boli tieto prostriedky vrátené späť do rezervy.</w:t>
      </w:r>
    </w:p>
    <w:p w:rsidR="00FB6644" w:rsidRPr="00FB6644" w:rsidP="00FB6644">
      <w:pPr>
        <w:spacing w:before="120" w:after="120" w:line="360" w:lineRule="auto"/>
        <w:ind w:firstLine="709"/>
        <w:jc w:val="both"/>
        <w:rPr>
          <w:rFonts w:ascii="Times New Roman" w:hAnsi="Times New Roman" w:cs="Times New Roman"/>
        </w:rPr>
      </w:pPr>
      <w:r w:rsidRPr="00FB6644">
        <w:rPr>
          <w:rFonts w:ascii="Times New Roman" w:hAnsi="Times New Roman" w:cs="Times New Roman"/>
        </w:rPr>
        <w:t xml:space="preserve">V rámci presunu prostriedkov z NF na IA, v zmysle Pokynov pre hospodárenie s finančnými prostriedkami pri realizácii programu </w:t>
      </w:r>
      <w:r w:rsidRPr="00FB6644">
        <w:rPr>
          <w:rFonts w:ascii="Times New Roman" w:hAnsi="Times New Roman" w:cs="Times New Roman"/>
          <w:b/>
          <w:bCs/>
        </w:rPr>
        <w:t>ISPA</w:t>
      </w:r>
      <w:r w:rsidRPr="00FB6644">
        <w:rPr>
          <w:rFonts w:ascii="Times New Roman" w:hAnsi="Times New Roman" w:cs="Times New Roman"/>
        </w:rPr>
        <w:t xml:space="preserve">, sa na celkovej sume presunu prostriedkov </w:t>
      </w:r>
      <w:r w:rsidRPr="00FB6644">
        <w:rPr>
          <w:rFonts w:ascii="Times New Roman" w:hAnsi="Times New Roman" w:cs="Times New Roman"/>
          <w:i/>
        </w:rPr>
        <w:t>EÚ/ŠR</w:t>
      </w:r>
      <w:r w:rsidRPr="00FB6644">
        <w:rPr>
          <w:rFonts w:ascii="Times New Roman" w:hAnsi="Times New Roman" w:cs="Times New Roman"/>
        </w:rPr>
        <w:t xml:space="preserve"> podieľala IA Environmentálnych investičných projektov </w:t>
      </w:r>
      <w:r w:rsidRPr="00FB6644">
        <w:rPr>
          <w:rFonts w:ascii="Times New Roman" w:hAnsi="Times New Roman" w:cs="Times New Roman"/>
          <w:i/>
        </w:rPr>
        <w:t xml:space="preserve">45,0 </w:t>
      </w:r>
      <w:r w:rsidRPr="00FB6644">
        <w:rPr>
          <w:rFonts w:ascii="Times New Roman" w:hAnsi="Times New Roman" w:cs="Times New Roman"/>
          <w:i/>
        </w:rPr>
        <w:t>% / 20,5 %</w:t>
      </w:r>
      <w:r w:rsidRPr="00FB6644">
        <w:rPr>
          <w:rFonts w:ascii="Times New Roman" w:hAnsi="Times New Roman" w:cs="Times New Roman"/>
        </w:rPr>
        <w:t xml:space="preserve"> a IA sektora dopravy (IA Železníc SR a IA implementácie projektov cestnej infraštruktúry) </w:t>
      </w:r>
      <w:r w:rsidRPr="00FB6644">
        <w:rPr>
          <w:rFonts w:ascii="Times New Roman" w:hAnsi="Times New Roman" w:cs="Times New Roman"/>
          <w:i/>
        </w:rPr>
        <w:t>54,97  % / 79,5 %</w:t>
      </w:r>
      <w:r w:rsidRPr="00FB6644">
        <w:rPr>
          <w:rFonts w:ascii="Times New Roman" w:hAnsi="Times New Roman" w:cs="Times New Roman"/>
        </w:rPr>
        <w:t xml:space="preserve">. </w:t>
      </w:r>
    </w:p>
    <w:p w:rsidR="00FB6644" w:rsidP="00FB6644">
      <w:pPr>
        <w:spacing w:before="120" w:after="120" w:line="360" w:lineRule="auto"/>
        <w:ind w:firstLine="709"/>
        <w:jc w:val="both"/>
        <w:rPr>
          <w:rFonts w:ascii="Times New Roman" w:hAnsi="Times New Roman" w:cs="Times New Roman"/>
        </w:rPr>
      </w:pPr>
      <w:r w:rsidRPr="00FB6644">
        <w:rPr>
          <w:rFonts w:ascii="Times New Roman" w:hAnsi="Times New Roman" w:cs="Times New Roman"/>
        </w:rPr>
        <w:t xml:space="preserve">Čerpanie finančných prostriedkov programu </w:t>
      </w:r>
      <w:r w:rsidRPr="00FB6644">
        <w:rPr>
          <w:rFonts w:ascii="Times New Roman" w:hAnsi="Times New Roman" w:cs="Times New Roman"/>
          <w:b/>
          <w:bCs/>
        </w:rPr>
        <w:t>SAPARD</w:t>
      </w:r>
      <w:r w:rsidRPr="00FB6644">
        <w:rPr>
          <w:rFonts w:ascii="Times New Roman" w:hAnsi="Times New Roman" w:cs="Times New Roman"/>
        </w:rPr>
        <w:t xml:space="preserve"> sa realizovalo priebežne a v súlade s ustanoveniami viacročných finančných dohôd a jednotlivých ročných finančných dohôd a prebiehalo do konca roka 2006. </w:t>
      </w:r>
    </w:p>
    <w:p w:rsidR="00FB0B78" w:rsidRPr="00FB6644" w:rsidP="00FB6644">
      <w:pPr>
        <w:spacing w:before="120" w:after="120" w:line="360" w:lineRule="auto"/>
        <w:ind w:firstLine="709"/>
        <w:jc w:val="both"/>
        <w:rPr>
          <w:rFonts w:ascii="Times New Roman" w:hAnsi="Times New Roman" w:cs="Times New Roman"/>
        </w:rPr>
      </w:pPr>
    </w:p>
    <w:p w:rsidR="00FB6644" w:rsidRPr="00FB0B78" w:rsidP="00FB0B78">
      <w:pPr>
        <w:pStyle w:val="Heading4"/>
        <w:spacing w:before="120" w:after="120" w:line="360" w:lineRule="auto"/>
        <w:jc w:val="center"/>
        <w:rPr>
          <w:rFonts w:ascii="Times New Roman" w:hAnsi="Times New Roman" w:cs="Times New Roman"/>
          <w:sz w:val="24"/>
        </w:rPr>
      </w:pPr>
      <w:r w:rsidRPr="00FB0B78">
        <w:rPr>
          <w:rFonts w:ascii="Times New Roman" w:hAnsi="Times New Roman" w:cs="Times New Roman"/>
          <w:sz w:val="24"/>
        </w:rPr>
        <w:t>2.3.2. Výdavky súvisiace s rozpočtom Európskej únie</w:t>
      </w:r>
    </w:p>
    <w:p w:rsidR="00FB6644" w:rsidRPr="00FB6644" w:rsidP="00FB6644">
      <w:pPr>
        <w:spacing w:before="120" w:after="120" w:line="360" w:lineRule="auto"/>
        <w:jc w:val="both"/>
        <w:rPr>
          <w:rFonts w:ascii="Times New Roman" w:hAnsi="Times New Roman" w:cs="Times New Roman"/>
        </w:rPr>
      </w:pPr>
      <w:r w:rsidRPr="00FB6644">
        <w:rPr>
          <w:rFonts w:ascii="Times New Roman" w:hAnsi="Times New Roman" w:cs="Times New Roman"/>
        </w:rPr>
        <w:tab/>
        <w:t xml:space="preserve">Odvody do rozpočtu EÚ sa rozpočtovali vo výške 14 100,6 mil. SK, výdavky na použitie prostriedkov z rozpočtu EÚ na realizáciu spoločných programov SR a EÚ vo výške  37 560 mil. SK a prostriedky na spolufinancovanie zo štátneho rozpočtu vo výške  12 143,7 mil. Sk. </w:t>
      </w:r>
    </w:p>
    <w:p w:rsidR="00FB0B78" w:rsidRPr="00FB6644" w:rsidP="00FB6644">
      <w:pPr>
        <w:spacing w:before="120" w:after="120" w:line="360" w:lineRule="auto"/>
        <w:rPr>
          <w:rFonts w:ascii="Times New Roman" w:hAnsi="Times New Roman" w:cs="Times New Roman"/>
        </w:rPr>
      </w:pPr>
    </w:p>
    <w:p w:rsidR="00FB6644" w:rsidRPr="00E02C23" w:rsidP="0096069D">
      <w:pPr>
        <w:pStyle w:val="Heading4"/>
        <w:spacing w:before="120" w:after="120" w:line="360" w:lineRule="auto"/>
        <w:jc w:val="center"/>
        <w:rPr>
          <w:rFonts w:ascii="Times New Roman" w:hAnsi="Times New Roman" w:cs="Times New Roman"/>
          <w:sz w:val="24"/>
        </w:rPr>
      </w:pPr>
      <w:r w:rsidRPr="00E02C23">
        <w:rPr>
          <w:rFonts w:ascii="Times New Roman" w:hAnsi="Times New Roman" w:cs="Times New Roman"/>
          <w:sz w:val="24"/>
        </w:rPr>
        <w:t xml:space="preserve">2.3.2.1. Odvody a príspevky </w:t>
      </w:r>
      <w:r w:rsidRPr="00E02C23" w:rsidR="0009757E">
        <w:rPr>
          <w:rFonts w:ascii="Times New Roman" w:hAnsi="Times New Roman" w:cs="Times New Roman"/>
          <w:sz w:val="24"/>
        </w:rPr>
        <w:t xml:space="preserve">Slovenskej republiky </w:t>
      </w:r>
      <w:r w:rsidRPr="00E02C23">
        <w:rPr>
          <w:rFonts w:ascii="Times New Roman" w:hAnsi="Times New Roman" w:cs="Times New Roman"/>
          <w:sz w:val="24"/>
        </w:rPr>
        <w:t>do rozpočtu Európskej únie</w:t>
      </w:r>
    </w:p>
    <w:p w:rsidR="00FB6644" w:rsidRPr="00FB6644" w:rsidP="00FB6644">
      <w:pPr>
        <w:spacing w:before="120" w:after="120" w:line="360" w:lineRule="auto"/>
        <w:ind w:firstLine="708"/>
        <w:jc w:val="both"/>
        <w:rPr>
          <w:rFonts w:ascii="Times New Roman" w:hAnsi="Times New Roman" w:cs="Times New Roman"/>
        </w:rPr>
      </w:pPr>
      <w:r w:rsidRPr="00FB6644">
        <w:rPr>
          <w:rFonts w:ascii="Times New Roman" w:hAnsi="Times New Roman" w:cs="Times New Roman"/>
          <w:b/>
        </w:rPr>
        <w:t>Odvody Slovenskej republiky do rozpočtu Európsk</w:t>
      </w:r>
      <w:r w:rsidRPr="00FB6644">
        <w:rPr>
          <w:rFonts w:ascii="Times New Roman" w:hAnsi="Times New Roman" w:cs="Times New Roman"/>
          <w:b/>
        </w:rPr>
        <w:t>ej únie</w:t>
      </w:r>
      <w:r w:rsidRPr="00FB6644">
        <w:rPr>
          <w:rFonts w:ascii="Times New Roman" w:hAnsi="Times New Roman" w:cs="Times New Roman"/>
        </w:rPr>
        <w:t xml:space="preserve"> – zdroj založený na DPH, zdroj založený na hrubom národnom dôchodku (HND) a podiel SR na financovaní korekcie Veľkej Británie boli na základe predbežného návrhu rozpočtu EÚ na rok 2006 rozpočtované v štátnom rozpočte SR na rok 2006 v rámci kapitoly VPS v sume 13 986,0 mil. Sk. V priebehu roka sa táto suma znížila viacerými rozpočtovými opatreniami spolu o 536,4 mil. Sk. Odvody vlastných zdrojov z DPH, HND a korekcie Veľkej Británie dosiahli v roku 2006 sumu 13 644,0 mil. Sk. Na úhradu rozdielu sa použili prostriedky rozpočtované v rezerve na prostriedky Európskej únie a odvody Európskej únii</w:t>
      </w:r>
      <w:r w:rsidR="0009757E">
        <w:rPr>
          <w:rFonts w:ascii="Times New Roman" w:hAnsi="Times New Roman" w:cs="Times New Roman"/>
        </w:rPr>
        <w:t>.</w:t>
      </w:r>
      <w:r w:rsidRPr="00FB6644">
        <w:rPr>
          <w:rFonts w:ascii="Times New Roman" w:hAnsi="Times New Roman" w:cs="Times New Roman"/>
        </w:rPr>
        <w:t xml:space="preserve"> </w:t>
      </w:r>
    </w:p>
    <w:p w:rsidR="00FB6644" w:rsidRPr="00FB6644" w:rsidP="00FB6644">
      <w:pPr>
        <w:spacing w:before="120" w:after="120" w:line="360" w:lineRule="auto"/>
        <w:ind w:firstLine="708"/>
        <w:jc w:val="both"/>
        <w:rPr>
          <w:rFonts w:ascii="Times New Roman" w:hAnsi="Times New Roman" w:cs="Times New Roman"/>
        </w:rPr>
      </w:pPr>
      <w:r w:rsidRPr="00FB6644">
        <w:rPr>
          <w:rFonts w:ascii="Times New Roman" w:hAnsi="Times New Roman" w:cs="Times New Roman"/>
        </w:rPr>
        <w:t>Okrem odvodov vlastných zdrojov z DPH, HND a korekcie Veľkej Británie odviedla SR do rozpočtu EÚ v roku 2006 aj tzv. tradičné vlastné zdroje (clo, poľnohospodárske poplatky a odvody z produkcie cukru) v sume 2 072,1 mil. Sk. Celkovo tak SR odviedla v roku 2006 do rozpočtu EÚ sumu 15 716,1 mil. Sk.</w:t>
      </w:r>
    </w:p>
    <w:p w:rsidR="00FB6644" w:rsidRPr="00FB6644" w:rsidP="00FB6644">
      <w:pPr>
        <w:spacing w:before="120" w:after="120" w:line="360" w:lineRule="auto"/>
        <w:ind w:firstLine="708"/>
        <w:jc w:val="both"/>
        <w:rPr>
          <w:rFonts w:ascii="Times New Roman" w:hAnsi="Times New Roman" w:cs="Times New Roman"/>
        </w:rPr>
      </w:pPr>
      <w:r w:rsidRPr="00FB6644">
        <w:rPr>
          <w:rFonts w:ascii="Times New Roman" w:hAnsi="Times New Roman" w:cs="Times New Roman"/>
        </w:rPr>
        <w:t xml:space="preserve">Vzhľadom na to, že </w:t>
      </w:r>
      <w:r w:rsidRPr="00FB6644">
        <w:rPr>
          <w:rFonts w:ascii="Times New Roman" w:hAnsi="Times New Roman" w:cs="Times New Roman"/>
          <w:b/>
        </w:rPr>
        <w:t xml:space="preserve">príspevky </w:t>
      </w:r>
      <w:r w:rsidRPr="00FB6644">
        <w:rPr>
          <w:rFonts w:ascii="Times New Roman" w:hAnsi="Times New Roman" w:cs="Times New Roman"/>
        </w:rPr>
        <w:t>nových členských štátov</w:t>
      </w:r>
      <w:r w:rsidRPr="00FB6644">
        <w:rPr>
          <w:rFonts w:ascii="Times New Roman" w:hAnsi="Times New Roman" w:cs="Times New Roman"/>
          <w:b/>
        </w:rPr>
        <w:t xml:space="preserve"> do Výskumného fondu uhlia a ocele</w:t>
      </w:r>
      <w:r w:rsidRPr="00FB6644">
        <w:rPr>
          <w:rFonts w:ascii="Times New Roman" w:hAnsi="Times New Roman" w:cs="Times New Roman"/>
        </w:rPr>
        <w:t xml:space="preserve"> (pre roky 2006 – 2009) sa podľa prístupovej zmluvy majú uhrádzať v prvý pracovný deň prvého mesiaca príslušného roka, uhradila SR svoj príspevok na rok 2007 už v predstihu v decembri 2006 v sume 140,0 mil. Sk. V štátnom rozpočte SR na rok 2006 však bola na tento účel rozpočtovaná suma 114,6 mil. Sk, čo viedlo k potrebe zabezpečenia zvyšnej sumy z rezervy na prostriedky Európskej únie a odvody Európskej únii. </w:t>
      </w:r>
    </w:p>
    <w:p w:rsidR="00FB6644" w:rsidRPr="00FB6644" w:rsidP="00FB6644">
      <w:pPr>
        <w:spacing w:before="120" w:after="120" w:line="360" w:lineRule="auto"/>
        <w:ind w:firstLine="708"/>
        <w:jc w:val="both"/>
        <w:rPr>
          <w:rFonts w:ascii="Times New Roman" w:hAnsi="Times New Roman" w:cs="Times New Roman"/>
        </w:rPr>
      </w:pPr>
      <w:r w:rsidRPr="00FB6644">
        <w:rPr>
          <w:rFonts w:ascii="Times New Roman" w:hAnsi="Times New Roman" w:cs="Times New Roman"/>
        </w:rPr>
        <w:t xml:space="preserve">V roku 2006 predstavovali odvody a príspevky SR do rozpočtu EÚ sumu </w:t>
      </w:r>
      <w:r w:rsidRPr="00FB6644">
        <w:rPr>
          <w:rFonts w:ascii="Times New Roman" w:hAnsi="Times New Roman" w:cs="Times New Roman"/>
          <w:b/>
        </w:rPr>
        <w:t>15 856,1 mil. Sk</w:t>
      </w:r>
      <w:r w:rsidRPr="00FB6644">
        <w:rPr>
          <w:rFonts w:ascii="Times New Roman" w:hAnsi="Times New Roman" w:cs="Times New Roman"/>
        </w:rPr>
        <w:t>.</w:t>
      </w:r>
    </w:p>
    <w:p w:rsidR="00FB6644" w:rsidRPr="00FB6644" w:rsidP="00FB6644">
      <w:pPr>
        <w:spacing w:before="120" w:after="120" w:line="360" w:lineRule="auto"/>
        <w:ind w:firstLine="708"/>
        <w:jc w:val="both"/>
        <w:rPr>
          <w:rFonts w:ascii="Times New Roman" w:hAnsi="Times New Roman" w:cs="Times New Roman"/>
        </w:rPr>
      </w:pPr>
      <w:r w:rsidRPr="00FB6644">
        <w:rPr>
          <w:rFonts w:ascii="Times New Roman" w:hAnsi="Times New Roman" w:cs="Times New Roman"/>
        </w:rPr>
        <w:t xml:space="preserve">Podrobnú štruktúru  odvodov a príspevkov SR do rozpočtu </w:t>
      </w:r>
      <w:r>
        <w:rPr>
          <w:rFonts w:ascii="Times New Roman" w:hAnsi="Times New Roman" w:cs="Times New Roman"/>
        </w:rPr>
        <w:t>EÚ zobrazuje nasledovná tabuľka</w:t>
      </w:r>
      <w:r w:rsidRPr="00FB6644">
        <w:rPr>
          <w:rFonts w:ascii="Times New Roman" w:hAnsi="Times New Roman" w:cs="Times New Roman"/>
        </w:rPr>
        <w:t xml:space="preserve"> (v mil. Sk): </w:t>
      </w:r>
    </w:p>
    <w:tbl>
      <w:tblPr>
        <w:tblW w:w="9610" w:type="dxa"/>
        <w:tblBorders>
          <w:top w:val="single" w:sz="8" w:space="0" w:color="auto"/>
          <w:left w:val="single" w:sz="8" w:space="0" w:color="auto"/>
          <w:bottom w:val="double" w:sz="6" w:space="0" w:color="auto"/>
          <w:right w:val="single" w:sz="8" w:space="0" w:color="auto"/>
          <w:insideH w:val="single" w:sz="6" w:space="0" w:color="auto"/>
          <w:insideV w:val="single" w:sz="6" w:space="0" w:color="auto"/>
        </w:tblBorders>
        <w:tblLayout w:type="fixed"/>
        <w:tblCellMar>
          <w:top w:w="0" w:type="dxa"/>
          <w:left w:w="70" w:type="dxa"/>
          <w:bottom w:w="0" w:type="dxa"/>
          <w:right w:w="70" w:type="dxa"/>
        </w:tblCellMar>
      </w:tblPr>
      <w:tblGrid>
        <w:gridCol w:w="1690"/>
        <w:gridCol w:w="1260"/>
        <w:gridCol w:w="1080"/>
        <w:gridCol w:w="1080"/>
        <w:gridCol w:w="1260"/>
        <w:gridCol w:w="1080"/>
        <w:gridCol w:w="1080"/>
        <w:gridCol w:w="1080"/>
      </w:tblGrid>
      <w:tr>
        <w:tblPrEx>
          <w:tblW w:w="9610" w:type="dxa"/>
          <w:tblBorders>
            <w:top w:val="single" w:sz="8" w:space="0" w:color="auto"/>
            <w:left w:val="single" w:sz="8" w:space="0" w:color="auto"/>
            <w:bottom w:val="double" w:sz="6" w:space="0" w:color="auto"/>
            <w:right w:val="single" w:sz="8" w:space="0" w:color="auto"/>
            <w:insideH w:val="single" w:sz="6" w:space="0" w:color="auto"/>
            <w:insideV w:val="single" w:sz="6" w:space="0" w:color="auto"/>
          </w:tblBorders>
          <w:tblLayout w:type="fixed"/>
          <w:tblCellMar>
            <w:top w:w="0" w:type="dxa"/>
            <w:left w:w="70" w:type="dxa"/>
            <w:bottom w:w="0" w:type="dxa"/>
            <w:right w:w="70" w:type="dxa"/>
          </w:tblCellMar>
        </w:tblPrEx>
        <w:trPr>
          <w:cantSplit/>
          <w:trHeight w:hRule="auto" w:val="0"/>
        </w:trPr>
        <w:tc>
          <w:tcPr>
            <w:tcW w:w="1690" w:type="dxa"/>
            <w:vMerge w:val="restart"/>
            <w:tcBorders>
              <w:top w:val="single" w:sz="8" w:space="0" w:color="auto"/>
              <w:left w:val="single" w:sz="8"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both"/>
              <w:rPr>
                <w:rFonts w:ascii="Times New Roman" w:hAnsi="Times New Roman" w:cs="Times New Roman"/>
                <w:sz w:val="20"/>
                <w:szCs w:val="20"/>
              </w:rPr>
            </w:pPr>
          </w:p>
        </w:tc>
        <w:tc>
          <w:tcPr>
            <w:tcW w:w="1260"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96069D" w:rsidP="00FB6644">
            <w:pPr>
              <w:jc w:val="center"/>
              <w:rPr>
                <w:rFonts w:ascii="Times New Roman" w:hAnsi="Times New Roman" w:cs="Times New Roman"/>
                <w:b/>
                <w:bCs/>
                <w:sz w:val="20"/>
                <w:szCs w:val="20"/>
              </w:rPr>
            </w:pPr>
            <w:r w:rsidRPr="0096069D">
              <w:rPr>
                <w:rFonts w:ascii="Times New Roman" w:hAnsi="Times New Roman" w:cs="Times New Roman"/>
                <w:b/>
                <w:bCs/>
                <w:sz w:val="20"/>
                <w:szCs w:val="20"/>
              </w:rPr>
              <w:t>Skutočnosť 2005</w:t>
            </w:r>
          </w:p>
        </w:tc>
        <w:tc>
          <w:tcPr>
            <w:tcW w:w="2160" w:type="dxa"/>
            <w:gridSpan w:val="2"/>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center"/>
              <w:rPr>
                <w:rFonts w:ascii="Times New Roman" w:hAnsi="Times New Roman" w:cs="Times New Roman"/>
                <w:b/>
                <w:bCs/>
                <w:sz w:val="20"/>
                <w:szCs w:val="20"/>
              </w:rPr>
            </w:pPr>
            <w:r w:rsidRPr="0096069D">
              <w:rPr>
                <w:rFonts w:ascii="Times New Roman" w:hAnsi="Times New Roman" w:cs="Times New Roman"/>
                <w:b/>
                <w:bCs/>
                <w:sz w:val="20"/>
                <w:szCs w:val="20"/>
              </w:rPr>
              <w:t>Rozpočet 2006</w:t>
            </w:r>
          </w:p>
        </w:tc>
        <w:tc>
          <w:tcPr>
            <w:tcW w:w="1260"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center"/>
              <w:rPr>
                <w:rFonts w:ascii="Times New Roman" w:hAnsi="Times New Roman" w:cs="Times New Roman"/>
                <w:b/>
                <w:bCs/>
                <w:sz w:val="20"/>
                <w:szCs w:val="20"/>
              </w:rPr>
            </w:pPr>
            <w:r w:rsidRPr="0096069D">
              <w:rPr>
                <w:rFonts w:ascii="Times New Roman" w:hAnsi="Times New Roman" w:cs="Times New Roman"/>
                <w:b/>
                <w:bCs/>
                <w:sz w:val="20"/>
                <w:szCs w:val="20"/>
              </w:rPr>
              <w:t>Skutočnosť 2006</w:t>
            </w:r>
          </w:p>
        </w:tc>
        <w:tc>
          <w:tcPr>
            <w:tcW w:w="1080"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96069D" w:rsidP="00FB6644">
            <w:pPr>
              <w:jc w:val="center"/>
              <w:rPr>
                <w:rFonts w:ascii="Times New Roman" w:hAnsi="Times New Roman" w:cs="Times New Roman"/>
                <w:b/>
                <w:bCs/>
                <w:sz w:val="20"/>
                <w:szCs w:val="20"/>
              </w:rPr>
            </w:pPr>
            <w:r w:rsidRPr="0096069D">
              <w:rPr>
                <w:rFonts w:ascii="Times New Roman" w:hAnsi="Times New Roman" w:cs="Times New Roman"/>
                <w:b/>
                <w:bCs/>
                <w:sz w:val="20"/>
                <w:szCs w:val="20"/>
              </w:rPr>
              <w:t>Plnenie v %</w:t>
            </w:r>
          </w:p>
        </w:tc>
        <w:tc>
          <w:tcPr>
            <w:tcW w:w="1080"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96069D" w:rsidP="00FB6644">
            <w:pPr>
              <w:jc w:val="center"/>
              <w:rPr>
                <w:rFonts w:ascii="Times New Roman" w:hAnsi="Times New Roman" w:cs="Times New Roman"/>
                <w:b/>
                <w:bCs/>
                <w:sz w:val="20"/>
                <w:szCs w:val="20"/>
              </w:rPr>
            </w:pPr>
            <w:r w:rsidRPr="0096069D">
              <w:rPr>
                <w:rFonts w:ascii="Times New Roman" w:hAnsi="Times New Roman" w:cs="Times New Roman"/>
                <w:b/>
                <w:bCs/>
                <w:sz w:val="20"/>
                <w:szCs w:val="20"/>
              </w:rPr>
              <w:t>Rozdiel 2005-2006</w:t>
            </w:r>
          </w:p>
        </w:tc>
        <w:tc>
          <w:tcPr>
            <w:tcW w:w="1080" w:type="dxa"/>
            <w:vMerge w:val="restart"/>
            <w:tcBorders>
              <w:top w:val="single" w:sz="8" w:space="0" w:color="auto"/>
              <w:left w:val="single" w:sz="6" w:space="0" w:color="auto"/>
              <w:bottom w:val="single" w:sz="6" w:space="0" w:color="auto"/>
              <w:right w:val="single" w:sz="8" w:space="0" w:color="auto"/>
              <w:tl2br w:val="nil"/>
              <w:tr2bl w:val="nil"/>
            </w:tcBorders>
            <w:shd w:val="clear" w:color="auto" w:fill="FFFFFF"/>
            <w:textDirection w:val="lrTb"/>
            <w:vAlign w:val="center"/>
          </w:tcPr>
          <w:p w:rsidR="00FB6644" w:rsidRPr="0096069D" w:rsidP="00FB6644">
            <w:pPr>
              <w:jc w:val="center"/>
              <w:rPr>
                <w:rFonts w:ascii="Times New Roman" w:hAnsi="Times New Roman" w:cs="Times New Roman"/>
                <w:b/>
                <w:bCs/>
                <w:sz w:val="20"/>
                <w:szCs w:val="20"/>
                <w:lang w:val="en-US"/>
              </w:rPr>
            </w:pPr>
            <w:r w:rsidRPr="0096069D">
              <w:rPr>
                <w:rFonts w:ascii="Times New Roman" w:hAnsi="Times New Roman" w:cs="Times New Roman"/>
                <w:b/>
                <w:bCs/>
                <w:sz w:val="20"/>
                <w:szCs w:val="20"/>
              </w:rPr>
              <w:t>Index 2006/</w:t>
            </w:r>
            <w:r w:rsidRPr="0096069D">
              <w:rPr>
                <w:rFonts w:ascii="Times New Roman" w:hAnsi="Times New Roman" w:cs="Times New Roman"/>
                <w:b/>
                <w:bCs/>
                <w:sz w:val="20"/>
                <w:szCs w:val="20"/>
                <w:lang w:val="en-US"/>
              </w:rPr>
              <w:t>2005</w:t>
            </w:r>
          </w:p>
        </w:tc>
      </w:tr>
      <w:tr>
        <w:tblPrEx>
          <w:tblW w:w="9610" w:type="dxa"/>
          <w:tblLayout w:type="fixed"/>
          <w:tblCellMar>
            <w:top w:w="0" w:type="dxa"/>
            <w:left w:w="70" w:type="dxa"/>
            <w:bottom w:w="0" w:type="dxa"/>
            <w:right w:w="70" w:type="dxa"/>
          </w:tblCellMar>
        </w:tblPrEx>
        <w:trPr>
          <w:cantSplit/>
          <w:trHeight w:hRule="auto" w:val="0"/>
        </w:trPr>
        <w:tc>
          <w:tcPr>
            <w:tcW w:w="1690" w:type="dxa"/>
            <w:vMerge/>
            <w:tcBorders>
              <w:top w:val="single" w:sz="6" w:space="0" w:color="auto"/>
              <w:left w:val="single" w:sz="8"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both"/>
              <w:rPr>
                <w:rFonts w:ascii="Times New Roman" w:hAnsi="Times New Roman" w:cs="Times New Roman"/>
                <w:sz w:val="20"/>
                <w:szCs w:val="20"/>
              </w:rPr>
            </w:pPr>
          </w:p>
        </w:tc>
        <w:tc>
          <w:tcPr>
            <w:tcW w:w="1260"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96069D" w:rsidP="00FB6644">
            <w:pPr>
              <w:jc w:val="center"/>
              <w:rPr>
                <w:rFonts w:ascii="Times New Roman" w:hAnsi="Times New Roman" w:cs="Times New Roman"/>
                <w:b/>
                <w:bCs/>
                <w:sz w:val="20"/>
                <w:szCs w:val="20"/>
              </w:rPr>
            </w:pPr>
            <w:r w:rsidRPr="0096069D">
              <w:rPr>
                <w:rFonts w:ascii="Times New Roman" w:hAnsi="Times New Roman" w:cs="Times New Roman"/>
                <w:b/>
                <w:bCs/>
                <w:sz w:val="20"/>
                <w:szCs w:val="20"/>
              </w:rPr>
              <w:t>Schválený</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96069D" w:rsidP="00FB6644">
            <w:pPr>
              <w:jc w:val="center"/>
              <w:rPr>
                <w:rFonts w:ascii="Times New Roman" w:hAnsi="Times New Roman" w:cs="Times New Roman"/>
                <w:b/>
                <w:bCs/>
                <w:sz w:val="20"/>
                <w:szCs w:val="20"/>
              </w:rPr>
            </w:pPr>
            <w:r w:rsidRPr="0096069D">
              <w:rPr>
                <w:rFonts w:ascii="Times New Roman" w:hAnsi="Times New Roman" w:cs="Times New Roman"/>
                <w:b/>
                <w:bCs/>
                <w:sz w:val="20"/>
                <w:szCs w:val="20"/>
              </w:rPr>
              <w:t>Upravený</w:t>
            </w:r>
          </w:p>
        </w:tc>
        <w:tc>
          <w:tcPr>
            <w:tcW w:w="1260"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center"/>
              <w:rPr>
                <w:rFonts w:ascii="Times New Roman" w:hAnsi="Times New Roman" w:cs="Times New Roman"/>
                <w:sz w:val="20"/>
                <w:szCs w:val="20"/>
              </w:rPr>
            </w:pPr>
          </w:p>
        </w:tc>
        <w:tc>
          <w:tcPr>
            <w:tcW w:w="1080"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center"/>
              <w:rPr>
                <w:rFonts w:ascii="Times New Roman" w:hAnsi="Times New Roman" w:cs="Times New Roman"/>
                <w:sz w:val="20"/>
                <w:szCs w:val="20"/>
              </w:rPr>
            </w:pPr>
          </w:p>
        </w:tc>
        <w:tc>
          <w:tcPr>
            <w:tcW w:w="1080"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center"/>
              <w:rPr>
                <w:rFonts w:ascii="Times New Roman" w:hAnsi="Times New Roman" w:cs="Times New Roman"/>
                <w:sz w:val="20"/>
                <w:szCs w:val="20"/>
              </w:rPr>
            </w:pPr>
          </w:p>
        </w:tc>
        <w:tc>
          <w:tcPr>
            <w:tcW w:w="1080" w:type="dxa"/>
            <w:vMerge/>
            <w:tcBorders>
              <w:top w:val="single" w:sz="6" w:space="0" w:color="auto"/>
              <w:left w:val="single" w:sz="6" w:space="0" w:color="auto"/>
              <w:bottom w:val="single" w:sz="6" w:space="0" w:color="auto"/>
              <w:right w:val="single" w:sz="8" w:space="0" w:color="auto"/>
              <w:tl2br w:val="nil"/>
              <w:tr2bl w:val="nil"/>
            </w:tcBorders>
            <w:shd w:val="clear" w:color="auto" w:fill="FFFFFF"/>
            <w:textDirection w:val="lrTb"/>
            <w:vAlign w:val="top"/>
          </w:tcPr>
          <w:p w:rsidR="00FB6644" w:rsidRPr="0096069D" w:rsidP="00FB6644">
            <w:pPr>
              <w:jc w:val="center"/>
              <w:rPr>
                <w:rFonts w:ascii="Times New Roman" w:hAnsi="Times New Roman" w:cs="Times New Roman"/>
                <w:sz w:val="20"/>
                <w:szCs w:val="20"/>
              </w:rPr>
            </w:pPr>
          </w:p>
        </w:tc>
      </w:tr>
      <w:tr>
        <w:tblPrEx>
          <w:tblW w:w="9610" w:type="dxa"/>
          <w:tblLayout w:type="fixed"/>
          <w:tblCellMar>
            <w:top w:w="0" w:type="dxa"/>
            <w:left w:w="70" w:type="dxa"/>
            <w:bottom w:w="0" w:type="dxa"/>
            <w:right w:w="70" w:type="dxa"/>
          </w:tblCellMar>
        </w:tblPrEx>
        <w:trPr>
          <w:cantSplit/>
          <w:trHeight w:val="50"/>
        </w:trPr>
        <w:tc>
          <w:tcPr>
            <w:tcW w:w="1690" w:type="dxa"/>
            <w:vMerge/>
            <w:tcBorders>
              <w:top w:val="single" w:sz="6" w:space="0" w:color="auto"/>
              <w:left w:val="single" w:sz="8" w:space="0" w:color="auto"/>
              <w:bottom w:val="single" w:sz="6" w:space="0" w:color="auto"/>
              <w:right w:val="single" w:sz="6" w:space="0" w:color="auto"/>
              <w:tl2br w:val="nil"/>
              <w:tr2bl w:val="nil"/>
            </w:tcBorders>
            <w:shd w:val="clear" w:color="auto" w:fill="FFFFFF"/>
            <w:textDirection w:val="lrTb"/>
            <w:vAlign w:val="top"/>
          </w:tcPr>
          <w:p w:rsidR="00FB6644" w:rsidRPr="0096069D" w:rsidP="00FB6644">
            <w:pPr>
              <w:jc w:val="both"/>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D6A1D" w:rsidP="00FB6644">
            <w:pPr>
              <w:jc w:val="center"/>
              <w:rPr>
                <w:rFonts w:ascii="Times New Roman" w:hAnsi="Times New Roman" w:cs="Times New Roman"/>
                <w:b/>
                <w:bCs/>
                <w:sz w:val="18"/>
                <w:szCs w:val="18"/>
              </w:rPr>
            </w:pPr>
            <w:r w:rsidRPr="009D6A1D">
              <w:rPr>
                <w:rFonts w:ascii="Times New Roman" w:hAnsi="Times New Roman" w:cs="Times New Roman"/>
                <w:b/>
                <w:bCs/>
                <w:sz w:val="18"/>
                <w:szCs w:val="18"/>
              </w:rPr>
              <w:t>1</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D6A1D" w:rsidP="00FB6644">
            <w:pPr>
              <w:jc w:val="center"/>
              <w:rPr>
                <w:rFonts w:ascii="Times New Roman" w:hAnsi="Times New Roman" w:cs="Times New Roman"/>
                <w:b/>
                <w:bCs/>
                <w:sz w:val="18"/>
                <w:szCs w:val="18"/>
              </w:rPr>
            </w:pPr>
            <w:r w:rsidRPr="009D6A1D">
              <w:rPr>
                <w:rFonts w:ascii="Times New Roman" w:hAnsi="Times New Roman" w:cs="Times New Roman"/>
                <w:b/>
                <w:bCs/>
                <w:sz w:val="18"/>
                <w:szCs w:val="18"/>
              </w:rPr>
              <w:t>2</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D6A1D" w:rsidP="00FB6644">
            <w:pPr>
              <w:jc w:val="center"/>
              <w:rPr>
                <w:rFonts w:ascii="Times New Roman" w:hAnsi="Times New Roman" w:cs="Times New Roman"/>
                <w:b/>
                <w:bCs/>
                <w:sz w:val="18"/>
                <w:szCs w:val="18"/>
              </w:rPr>
            </w:pPr>
            <w:r w:rsidRPr="009D6A1D">
              <w:rPr>
                <w:rFonts w:ascii="Times New Roman" w:hAnsi="Times New Roman" w:cs="Times New Roman"/>
                <w:b/>
                <w:bCs/>
                <w:sz w:val="18"/>
                <w:szCs w:val="18"/>
              </w:rPr>
              <w:t>3</w:t>
            </w:r>
          </w:p>
        </w:tc>
        <w:tc>
          <w:tcPr>
            <w:tcW w:w="126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D6A1D" w:rsidP="00FB6644">
            <w:pPr>
              <w:jc w:val="center"/>
              <w:rPr>
                <w:rFonts w:ascii="Times New Roman" w:hAnsi="Times New Roman" w:cs="Times New Roman"/>
                <w:b/>
                <w:bCs/>
                <w:sz w:val="18"/>
                <w:szCs w:val="18"/>
              </w:rPr>
            </w:pPr>
            <w:r w:rsidRPr="009D6A1D">
              <w:rPr>
                <w:rFonts w:ascii="Times New Roman" w:hAnsi="Times New Roman" w:cs="Times New Roman"/>
                <w:b/>
                <w:bCs/>
                <w:sz w:val="18"/>
                <w:szCs w:val="18"/>
              </w:rPr>
              <w:t>4</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D6A1D" w:rsidP="00FB6644">
            <w:pPr>
              <w:jc w:val="center"/>
              <w:rPr>
                <w:rFonts w:ascii="Times New Roman" w:hAnsi="Times New Roman" w:cs="Times New Roman"/>
                <w:b/>
                <w:bCs/>
                <w:sz w:val="18"/>
                <w:szCs w:val="18"/>
              </w:rPr>
            </w:pPr>
            <w:r w:rsidRPr="009D6A1D">
              <w:rPr>
                <w:rFonts w:ascii="Times New Roman" w:hAnsi="Times New Roman" w:cs="Times New Roman"/>
                <w:b/>
                <w:bCs/>
                <w:sz w:val="18"/>
                <w:szCs w:val="18"/>
              </w:rPr>
              <w:t>5= 4/3*100</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D6A1D" w:rsidP="00FB6644">
            <w:pPr>
              <w:jc w:val="center"/>
              <w:rPr>
                <w:rFonts w:ascii="Times New Roman" w:hAnsi="Times New Roman" w:cs="Times New Roman"/>
                <w:b/>
                <w:bCs/>
                <w:sz w:val="18"/>
                <w:szCs w:val="18"/>
              </w:rPr>
            </w:pPr>
            <w:r w:rsidRPr="009D6A1D">
              <w:rPr>
                <w:rFonts w:ascii="Times New Roman" w:hAnsi="Times New Roman" w:cs="Times New Roman"/>
                <w:b/>
                <w:bCs/>
                <w:sz w:val="18"/>
                <w:szCs w:val="18"/>
              </w:rPr>
              <w:t>6= 4 – 1</w:t>
            </w:r>
          </w:p>
        </w:tc>
        <w:tc>
          <w:tcPr>
            <w:tcW w:w="1080" w:type="dxa"/>
            <w:tcBorders>
              <w:top w:val="single" w:sz="6" w:space="0" w:color="auto"/>
              <w:left w:val="single" w:sz="6" w:space="0" w:color="auto"/>
              <w:bottom w:val="single" w:sz="6" w:space="0" w:color="auto"/>
              <w:right w:val="single" w:sz="8" w:space="0" w:color="auto"/>
              <w:tl2br w:val="nil"/>
              <w:tr2bl w:val="nil"/>
            </w:tcBorders>
            <w:shd w:val="clear" w:color="auto" w:fill="FFFFFF"/>
            <w:textDirection w:val="lrTb"/>
            <w:vAlign w:val="top"/>
          </w:tcPr>
          <w:p w:rsidR="00FB6644" w:rsidRPr="009D6A1D" w:rsidP="00FB6644">
            <w:pPr>
              <w:jc w:val="center"/>
              <w:rPr>
                <w:rFonts w:ascii="Times New Roman" w:hAnsi="Times New Roman" w:cs="Times New Roman"/>
                <w:b/>
                <w:bCs/>
                <w:sz w:val="18"/>
                <w:szCs w:val="18"/>
              </w:rPr>
            </w:pPr>
            <w:r w:rsidRPr="009D6A1D">
              <w:rPr>
                <w:rFonts w:ascii="Times New Roman" w:hAnsi="Times New Roman" w:cs="Times New Roman"/>
                <w:b/>
                <w:bCs/>
                <w:sz w:val="18"/>
                <w:szCs w:val="18"/>
              </w:rPr>
              <w:t>7=4/1*100</w:t>
            </w:r>
          </w:p>
        </w:tc>
      </w:tr>
      <w:tr>
        <w:tblPrEx>
          <w:tblW w:w="9610" w:type="dxa"/>
          <w:tblInd w:w="-60" w:type="dxa"/>
          <w:tblLayout w:type="fixed"/>
          <w:tblCellMar>
            <w:top w:w="0" w:type="dxa"/>
            <w:left w:w="70" w:type="dxa"/>
            <w:bottom w:w="0" w:type="dxa"/>
            <w:right w:w="70" w:type="dxa"/>
          </w:tblCellMar>
        </w:tblPrEx>
        <w:trPr>
          <w:trHeight w:hRule="auto" w:val="0"/>
        </w:trPr>
        <w:tc>
          <w:tcPr>
            <w:tcW w:w="1690"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96069D" w:rsidP="00FB6644">
            <w:pPr>
              <w:rPr>
                <w:rFonts w:ascii="Times New Roman" w:hAnsi="Times New Roman" w:cs="Times New Roman"/>
                <w:bCs/>
                <w:sz w:val="20"/>
                <w:szCs w:val="20"/>
              </w:rPr>
            </w:pPr>
            <w:r w:rsidRPr="0096069D">
              <w:rPr>
                <w:rFonts w:ascii="Times New Roman" w:hAnsi="Times New Roman" w:cs="Times New Roman"/>
                <w:bCs/>
                <w:sz w:val="20"/>
                <w:szCs w:val="20"/>
              </w:rPr>
              <w:t>Odvody do rozpočtu EÚ*</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12 767,1</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13 9</w:t>
            </w:r>
            <w:r w:rsidRPr="0096069D">
              <w:rPr>
                <w:rFonts w:ascii="Times New Roman" w:hAnsi="Times New Roman" w:cs="Times New Roman"/>
                <w:sz w:val="20"/>
                <w:szCs w:val="20"/>
              </w:rPr>
              <w:t>86,0</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13 449,6</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13 644,0</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101,4</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876,9</w:t>
            </w:r>
          </w:p>
        </w:tc>
        <w:tc>
          <w:tcPr>
            <w:tcW w:w="108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106,9</w:t>
            </w:r>
          </w:p>
        </w:tc>
      </w:tr>
      <w:tr>
        <w:tblPrEx>
          <w:tblW w:w="9610" w:type="dxa"/>
          <w:tblInd w:w="-60" w:type="dxa"/>
          <w:tblLayout w:type="fixed"/>
          <w:tblCellMar>
            <w:top w:w="0" w:type="dxa"/>
            <w:left w:w="70" w:type="dxa"/>
            <w:bottom w:w="0" w:type="dxa"/>
            <w:right w:w="70" w:type="dxa"/>
          </w:tblCellMar>
        </w:tblPrEx>
        <w:trPr>
          <w:trHeight w:hRule="auto" w:val="0"/>
        </w:trPr>
        <w:tc>
          <w:tcPr>
            <w:tcW w:w="1690"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96069D" w:rsidP="00FB6644">
            <w:pPr>
              <w:rPr>
                <w:rFonts w:ascii="Times New Roman" w:hAnsi="Times New Roman" w:cs="Times New Roman"/>
                <w:bCs/>
                <w:sz w:val="20"/>
                <w:szCs w:val="20"/>
              </w:rPr>
            </w:pPr>
            <w:r w:rsidRPr="0096069D">
              <w:rPr>
                <w:rFonts w:ascii="Times New Roman" w:hAnsi="Times New Roman" w:cs="Times New Roman"/>
                <w:bCs/>
                <w:sz w:val="20"/>
                <w:szCs w:val="20"/>
              </w:rPr>
              <w:t>Príspevok SR do Výskumného fondu pre uhlie a oceľ</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115,2</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114,6</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146,8</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140,0</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95,4</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24,8</w:t>
            </w:r>
          </w:p>
        </w:tc>
        <w:tc>
          <w:tcPr>
            <w:tcW w:w="108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96069D" w:rsidP="00FB6644">
            <w:pPr>
              <w:jc w:val="right"/>
              <w:rPr>
                <w:rFonts w:ascii="Times New Roman" w:hAnsi="Times New Roman" w:cs="Times New Roman"/>
                <w:sz w:val="20"/>
                <w:szCs w:val="20"/>
              </w:rPr>
            </w:pPr>
            <w:r w:rsidRPr="0096069D">
              <w:rPr>
                <w:rFonts w:ascii="Times New Roman" w:hAnsi="Times New Roman" w:cs="Times New Roman"/>
                <w:sz w:val="20"/>
                <w:szCs w:val="20"/>
              </w:rPr>
              <w:t>121,5</w:t>
            </w:r>
          </w:p>
        </w:tc>
      </w:tr>
      <w:tr>
        <w:tblPrEx>
          <w:tblW w:w="9610" w:type="dxa"/>
          <w:tblInd w:w="-60" w:type="dxa"/>
          <w:tblLayout w:type="fixed"/>
          <w:tblCellMar>
            <w:top w:w="0" w:type="dxa"/>
            <w:left w:w="70" w:type="dxa"/>
            <w:bottom w:w="0" w:type="dxa"/>
            <w:right w:w="70" w:type="dxa"/>
          </w:tblCellMar>
        </w:tblPrEx>
        <w:trPr>
          <w:trHeight w:hRule="auto" w:val="0"/>
        </w:trPr>
        <w:tc>
          <w:tcPr>
            <w:tcW w:w="1690" w:type="dxa"/>
            <w:tcBorders>
              <w:top w:val="single" w:sz="6" w:space="0" w:color="auto"/>
              <w:left w:val="single" w:sz="8" w:space="0" w:color="auto"/>
              <w:bottom w:val="double" w:sz="6" w:space="0" w:color="auto"/>
              <w:right w:val="single" w:sz="6" w:space="0" w:color="auto"/>
              <w:tl2br w:val="nil"/>
              <w:tr2bl w:val="nil"/>
            </w:tcBorders>
            <w:tcMar>
              <w:left w:w="0" w:type="dxa"/>
              <w:right w:w="0" w:type="dxa"/>
            </w:tcMar>
            <w:textDirection w:val="lrTb"/>
            <w:vAlign w:val="top"/>
          </w:tcPr>
          <w:p w:rsidR="00FB6644" w:rsidRPr="0096069D" w:rsidP="00FB6644">
            <w:pPr>
              <w:rPr>
                <w:rFonts w:ascii="Times New Roman" w:hAnsi="Times New Roman" w:cs="Times New Roman"/>
                <w:b/>
                <w:bCs/>
                <w:sz w:val="20"/>
                <w:szCs w:val="20"/>
              </w:rPr>
            </w:pPr>
            <w:r w:rsidRPr="0096069D">
              <w:rPr>
                <w:rFonts w:ascii="Times New Roman" w:hAnsi="Times New Roman" w:cs="Times New Roman"/>
                <w:b/>
                <w:bCs/>
                <w:sz w:val="20"/>
                <w:szCs w:val="20"/>
              </w:rPr>
              <w:t>Spolu odvody a príspevok SR</w:t>
            </w:r>
          </w:p>
        </w:tc>
        <w:tc>
          <w:tcPr>
            <w:tcW w:w="126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12 882,3</w:t>
            </w:r>
          </w:p>
        </w:tc>
        <w:tc>
          <w:tcPr>
            <w:tcW w:w="108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14 100,6</w:t>
            </w:r>
          </w:p>
        </w:tc>
        <w:tc>
          <w:tcPr>
            <w:tcW w:w="108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13 596,4</w:t>
            </w:r>
          </w:p>
        </w:tc>
        <w:tc>
          <w:tcPr>
            <w:tcW w:w="126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13 784,0</w:t>
            </w:r>
          </w:p>
        </w:tc>
        <w:tc>
          <w:tcPr>
            <w:tcW w:w="108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196,8</w:t>
            </w:r>
          </w:p>
        </w:tc>
        <w:tc>
          <w:tcPr>
            <w:tcW w:w="108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901,7</w:t>
            </w:r>
          </w:p>
        </w:tc>
        <w:tc>
          <w:tcPr>
            <w:tcW w:w="1080" w:type="dxa"/>
            <w:tcBorders>
              <w:top w:val="single" w:sz="6" w:space="0" w:color="auto"/>
              <w:left w:val="single" w:sz="6" w:space="0" w:color="auto"/>
              <w:bottom w:val="double" w:sz="6" w:space="0" w:color="auto"/>
              <w:right w:val="single" w:sz="8" w:space="0" w:color="auto"/>
              <w:tl2br w:val="nil"/>
              <w:tr2bl w:val="nil"/>
            </w:tcBorders>
            <w:textDirection w:val="lrTb"/>
            <w:vAlign w:val="bottom"/>
          </w:tcPr>
          <w:p w:rsidR="00FB6644" w:rsidRPr="0096069D" w:rsidP="00FB6644">
            <w:pPr>
              <w:jc w:val="right"/>
              <w:rPr>
                <w:rFonts w:ascii="Times New Roman" w:hAnsi="Times New Roman" w:cs="Times New Roman"/>
                <w:b/>
                <w:bCs/>
                <w:sz w:val="20"/>
                <w:szCs w:val="20"/>
              </w:rPr>
            </w:pPr>
            <w:r w:rsidRPr="0096069D">
              <w:rPr>
                <w:rFonts w:ascii="Times New Roman" w:hAnsi="Times New Roman" w:cs="Times New Roman"/>
                <w:b/>
                <w:bCs/>
                <w:sz w:val="20"/>
                <w:szCs w:val="20"/>
              </w:rPr>
              <w:t>228,4</w:t>
            </w:r>
          </w:p>
        </w:tc>
      </w:tr>
    </w:tbl>
    <w:p w:rsidR="00DE3128" w:rsidRPr="0096069D" w:rsidP="00FB6644">
      <w:pPr>
        <w:pStyle w:val="Title"/>
        <w:spacing w:before="120" w:after="120" w:line="360" w:lineRule="auto"/>
        <w:jc w:val="both"/>
        <w:rPr>
          <w:rFonts w:ascii="Times New Roman" w:hAnsi="Times New Roman" w:cs="Times New Roman"/>
          <w:b w:val="0"/>
          <w:bCs w:val="0"/>
          <w:sz w:val="20"/>
          <w:szCs w:val="20"/>
        </w:rPr>
      </w:pPr>
      <w:r w:rsidRPr="0096069D" w:rsidR="00FB6644">
        <w:rPr>
          <w:rFonts w:ascii="Times New Roman" w:hAnsi="Times New Roman" w:cs="Times New Roman"/>
          <w:b w:val="0"/>
          <w:bCs w:val="0"/>
          <w:sz w:val="20"/>
          <w:szCs w:val="20"/>
        </w:rPr>
        <w:t>* bez tradičných vlastných zdrojov</w:t>
      </w:r>
    </w:p>
    <w:p w:rsidR="00DE3128" w:rsidP="00FB6644">
      <w:pPr>
        <w:pStyle w:val="Title"/>
        <w:spacing w:before="120" w:after="120" w:line="360" w:lineRule="auto"/>
        <w:jc w:val="both"/>
        <w:rPr>
          <w:rFonts w:ascii="Times New Roman" w:hAnsi="Times New Roman" w:cs="Times New Roman"/>
          <w:b w:val="0"/>
          <w:bCs w:val="0"/>
        </w:rPr>
      </w:pPr>
    </w:p>
    <w:p w:rsidR="005B3CDB" w:rsidP="00FB6644">
      <w:pPr>
        <w:pStyle w:val="Title"/>
        <w:spacing w:before="120" w:after="120" w:line="360" w:lineRule="auto"/>
        <w:jc w:val="both"/>
        <w:rPr>
          <w:rFonts w:ascii="Times New Roman" w:hAnsi="Times New Roman" w:cs="Times New Roman"/>
          <w:b w:val="0"/>
          <w:bCs w:val="0"/>
        </w:rPr>
      </w:pPr>
    </w:p>
    <w:p w:rsidR="005B3CDB" w:rsidP="00FB6644">
      <w:pPr>
        <w:pStyle w:val="Title"/>
        <w:spacing w:before="120" w:after="120" w:line="360" w:lineRule="auto"/>
        <w:jc w:val="both"/>
        <w:rPr>
          <w:rFonts w:ascii="Times New Roman" w:hAnsi="Times New Roman" w:cs="Times New Roman"/>
          <w:b w:val="0"/>
          <w:bCs w:val="0"/>
        </w:rPr>
      </w:pPr>
    </w:p>
    <w:p w:rsidR="005B3CDB" w:rsidRPr="00FB6644" w:rsidP="00FB6644">
      <w:pPr>
        <w:pStyle w:val="Title"/>
        <w:spacing w:before="120" w:after="120" w:line="360" w:lineRule="auto"/>
        <w:jc w:val="both"/>
        <w:rPr>
          <w:rFonts w:ascii="Times New Roman" w:hAnsi="Times New Roman" w:cs="Times New Roman"/>
          <w:b w:val="0"/>
          <w:bCs w:val="0"/>
        </w:rPr>
      </w:pPr>
    </w:p>
    <w:p w:rsidR="00FB6644" w:rsidRPr="00FB6644" w:rsidP="00FB6644">
      <w:pPr>
        <w:pStyle w:val="Heading4"/>
        <w:spacing w:before="120" w:after="120" w:line="360" w:lineRule="auto"/>
        <w:jc w:val="center"/>
        <w:rPr>
          <w:rFonts w:ascii="Times New Roman" w:hAnsi="Times New Roman" w:cs="Times New Roman"/>
          <w:sz w:val="24"/>
        </w:rPr>
      </w:pPr>
      <w:r w:rsidRPr="00FB6644">
        <w:rPr>
          <w:rFonts w:ascii="Times New Roman" w:hAnsi="Times New Roman" w:cs="Times New Roman"/>
          <w:sz w:val="24"/>
        </w:rPr>
        <w:t>2.3.2.2. Výdavky na použitie prostriedkov z rozpočtu Európskej únie na realizáciu spoločných programov Slovenskej republiky a Európskej únie</w:t>
      </w:r>
    </w:p>
    <w:p w:rsidR="00FB6644" w:rsidRPr="00FB6644" w:rsidP="00FB6644">
      <w:pPr>
        <w:ind w:firstLine="709"/>
        <w:jc w:val="both"/>
        <w:rPr>
          <w:rFonts w:ascii="Times New Roman" w:hAnsi="Times New Roman" w:cs="Times New Roman"/>
          <w:b/>
          <w:bCs/>
        </w:rPr>
      </w:pPr>
    </w:p>
    <w:p w:rsidR="00FB6644" w:rsidRPr="00FB6644" w:rsidP="00FB6644">
      <w:pPr>
        <w:spacing w:before="120" w:after="120" w:line="360" w:lineRule="auto"/>
        <w:ind w:firstLine="709"/>
        <w:jc w:val="both"/>
        <w:rPr>
          <w:rFonts w:ascii="Times New Roman" w:hAnsi="Times New Roman" w:cs="Times New Roman"/>
        </w:rPr>
      </w:pPr>
      <w:r w:rsidRPr="00FB6644">
        <w:rPr>
          <w:rFonts w:ascii="Times New Roman" w:hAnsi="Times New Roman" w:cs="Times New Roman"/>
        </w:rPr>
        <w:t xml:space="preserve">Na realizáciu spoločných programov SR a EÚ slúžili prostriedky poskytnuté z rozpočtu EÚ a zaradené do výdavkov štátneho rozpočtu (rozpočtované sumou 27 398,0 mil. Sk, skutočné plnenie 20 910,6 mil. Sk),  predvstupové prostriedky a povstupové prostriedky nezaradené do výdavkov štátneho rozpočtu (predpoklad 10 162,1 mil. Sk, skutočné plnenie 6 244,0 mil. Sk). </w:t>
      </w:r>
    </w:p>
    <w:p w:rsidR="00FB6644" w:rsidP="00FB6644">
      <w:pPr>
        <w:spacing w:before="120" w:after="120" w:line="360" w:lineRule="auto"/>
        <w:ind w:firstLine="709"/>
        <w:jc w:val="both"/>
        <w:rPr>
          <w:rFonts w:ascii="Times New Roman" w:hAnsi="Times New Roman" w:cs="Times New Roman"/>
        </w:rPr>
      </w:pPr>
      <w:r w:rsidRPr="00FB6644">
        <w:rPr>
          <w:rFonts w:ascii="Times New Roman" w:hAnsi="Times New Roman" w:cs="Times New Roman"/>
        </w:rPr>
        <w:t xml:space="preserve">Podrobnú štruktúru uvedených prostriedkov zobrazuje nasledovná tabuľka (v mil. Sk): </w:t>
      </w:r>
    </w:p>
    <w:p w:rsidR="0083017F" w:rsidRPr="00FB6644" w:rsidP="00FB6644">
      <w:pPr>
        <w:spacing w:before="120" w:after="120" w:line="360" w:lineRule="auto"/>
        <w:ind w:firstLine="709"/>
        <w:jc w:val="both"/>
        <w:rPr>
          <w:rFonts w:ascii="Times New Roman" w:hAnsi="Times New Roman" w:cs="Times New Roman"/>
        </w:rPr>
      </w:pPr>
    </w:p>
    <w:tbl>
      <w:tblPr>
        <w:tblW w:w="9610" w:type="dxa"/>
        <w:tblBorders>
          <w:top w:val="single" w:sz="8" w:space="0" w:color="auto"/>
          <w:left w:val="single" w:sz="8" w:space="0" w:color="auto"/>
          <w:bottom w:val="double" w:sz="6" w:space="0" w:color="auto"/>
          <w:right w:val="single" w:sz="8" w:space="0" w:color="auto"/>
          <w:insideH w:val="single" w:sz="6" w:space="0" w:color="auto"/>
          <w:insideV w:val="single" w:sz="6" w:space="0" w:color="auto"/>
        </w:tblBorders>
        <w:tblLayout w:type="fixed"/>
        <w:tblCellMar>
          <w:top w:w="0" w:type="dxa"/>
          <w:left w:w="70" w:type="dxa"/>
          <w:bottom w:w="0" w:type="dxa"/>
          <w:right w:w="70" w:type="dxa"/>
        </w:tblCellMar>
      </w:tblPr>
      <w:tblGrid>
        <w:gridCol w:w="1870"/>
        <w:gridCol w:w="1260"/>
        <w:gridCol w:w="1080"/>
        <w:gridCol w:w="1080"/>
        <w:gridCol w:w="1260"/>
        <w:gridCol w:w="1080"/>
        <w:gridCol w:w="900"/>
        <w:gridCol w:w="1080"/>
      </w:tblGrid>
      <w:tr>
        <w:tblPrEx>
          <w:tblW w:w="9610" w:type="dxa"/>
          <w:tblBorders>
            <w:top w:val="single" w:sz="8" w:space="0" w:color="auto"/>
            <w:left w:val="single" w:sz="8" w:space="0" w:color="auto"/>
            <w:bottom w:val="double" w:sz="6" w:space="0" w:color="auto"/>
            <w:right w:val="single" w:sz="8" w:space="0" w:color="auto"/>
            <w:insideH w:val="single" w:sz="6" w:space="0" w:color="auto"/>
            <w:insideV w:val="single" w:sz="6" w:space="0" w:color="auto"/>
          </w:tblBorders>
          <w:tblLayout w:type="fixed"/>
          <w:tblCellMar>
            <w:top w:w="0" w:type="dxa"/>
            <w:left w:w="70" w:type="dxa"/>
            <w:bottom w:w="0" w:type="dxa"/>
            <w:right w:w="70" w:type="dxa"/>
          </w:tblCellMar>
        </w:tblPrEx>
        <w:trPr>
          <w:cantSplit/>
          <w:trHeight w:hRule="auto" w:val="0"/>
        </w:trPr>
        <w:tc>
          <w:tcPr>
            <w:tcW w:w="1870" w:type="dxa"/>
            <w:vMerge w:val="restart"/>
            <w:tcBorders>
              <w:top w:val="single" w:sz="8" w:space="0" w:color="auto"/>
              <w:left w:val="single" w:sz="8"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both"/>
              <w:rPr>
                <w:rFonts w:ascii="Times New Roman" w:hAnsi="Times New Roman" w:cs="Times New Roman"/>
                <w:sz w:val="20"/>
                <w:szCs w:val="20"/>
              </w:rPr>
            </w:pPr>
          </w:p>
        </w:tc>
        <w:tc>
          <w:tcPr>
            <w:tcW w:w="1260"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Skutočnosť 2005</w:t>
            </w:r>
          </w:p>
        </w:tc>
        <w:tc>
          <w:tcPr>
            <w:tcW w:w="2160" w:type="dxa"/>
            <w:gridSpan w:val="2"/>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Rozpočet 2006</w:t>
            </w:r>
          </w:p>
        </w:tc>
        <w:tc>
          <w:tcPr>
            <w:tcW w:w="1260"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472CA4" w:rsidP="00850AB2">
            <w:pPr>
              <w:jc w:val="center"/>
              <w:rPr>
                <w:rFonts w:ascii="Times New Roman" w:hAnsi="Times New Roman" w:cs="Times New Roman"/>
                <w:b/>
                <w:bCs/>
                <w:sz w:val="20"/>
                <w:szCs w:val="20"/>
              </w:rPr>
            </w:pPr>
            <w:r w:rsidRPr="00472CA4">
              <w:rPr>
                <w:rFonts w:ascii="Times New Roman" w:hAnsi="Times New Roman" w:cs="Times New Roman"/>
                <w:b/>
                <w:bCs/>
                <w:sz w:val="20"/>
                <w:szCs w:val="20"/>
              </w:rPr>
              <w:t>Skutočnosť 2006</w:t>
            </w:r>
          </w:p>
        </w:tc>
        <w:tc>
          <w:tcPr>
            <w:tcW w:w="1080"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Plnenie v %</w:t>
            </w:r>
          </w:p>
        </w:tc>
        <w:tc>
          <w:tcPr>
            <w:tcW w:w="900"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Rozdiel 2005-2006</w:t>
            </w:r>
          </w:p>
        </w:tc>
        <w:tc>
          <w:tcPr>
            <w:tcW w:w="1080" w:type="dxa"/>
            <w:vMerge w:val="restart"/>
            <w:tcBorders>
              <w:top w:val="single" w:sz="8" w:space="0" w:color="auto"/>
              <w:left w:val="single" w:sz="6" w:space="0" w:color="auto"/>
              <w:bottom w:val="single" w:sz="6" w:space="0" w:color="auto"/>
              <w:right w:val="single" w:sz="8"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lang w:val="en-US"/>
              </w:rPr>
            </w:pPr>
            <w:r w:rsidRPr="00472CA4">
              <w:rPr>
                <w:rFonts w:ascii="Times New Roman" w:hAnsi="Times New Roman" w:cs="Times New Roman"/>
                <w:b/>
                <w:bCs/>
                <w:sz w:val="20"/>
                <w:szCs w:val="20"/>
              </w:rPr>
              <w:t>Index 2006/</w:t>
            </w:r>
            <w:r w:rsidRPr="00472CA4">
              <w:rPr>
                <w:rFonts w:ascii="Times New Roman" w:hAnsi="Times New Roman" w:cs="Times New Roman"/>
                <w:b/>
                <w:bCs/>
                <w:sz w:val="20"/>
                <w:szCs w:val="20"/>
                <w:lang w:val="en-US"/>
              </w:rPr>
              <w:t>2005</w:t>
            </w:r>
          </w:p>
        </w:tc>
      </w:tr>
      <w:tr>
        <w:tblPrEx>
          <w:tblW w:w="9610" w:type="dxa"/>
          <w:tblLayout w:type="fixed"/>
          <w:tblCellMar>
            <w:top w:w="0" w:type="dxa"/>
            <w:left w:w="70" w:type="dxa"/>
            <w:bottom w:w="0" w:type="dxa"/>
            <w:right w:w="70" w:type="dxa"/>
          </w:tblCellMar>
        </w:tblPrEx>
        <w:trPr>
          <w:cantSplit/>
          <w:trHeight w:hRule="auto" w:val="0"/>
        </w:trPr>
        <w:tc>
          <w:tcPr>
            <w:tcW w:w="1870" w:type="dxa"/>
            <w:vMerge/>
            <w:tcBorders>
              <w:top w:val="single" w:sz="6" w:space="0" w:color="auto"/>
              <w:left w:val="single" w:sz="8"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both"/>
              <w:rPr>
                <w:rFonts w:ascii="Times New Roman" w:hAnsi="Times New Roman" w:cs="Times New Roman"/>
                <w:sz w:val="20"/>
                <w:szCs w:val="20"/>
              </w:rPr>
            </w:pPr>
          </w:p>
        </w:tc>
        <w:tc>
          <w:tcPr>
            <w:tcW w:w="1260"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Schválený</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Upravený</w:t>
            </w:r>
          </w:p>
        </w:tc>
        <w:tc>
          <w:tcPr>
            <w:tcW w:w="1260"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c>
          <w:tcPr>
            <w:tcW w:w="1080"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c>
          <w:tcPr>
            <w:tcW w:w="900"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c>
          <w:tcPr>
            <w:tcW w:w="1080" w:type="dxa"/>
            <w:vMerge/>
            <w:tcBorders>
              <w:top w:val="single" w:sz="6" w:space="0" w:color="auto"/>
              <w:left w:val="single" w:sz="6" w:space="0" w:color="auto"/>
              <w:bottom w:val="single" w:sz="6" w:space="0" w:color="auto"/>
              <w:right w:val="single" w:sz="8"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r>
      <w:tr>
        <w:tblPrEx>
          <w:tblW w:w="9610" w:type="dxa"/>
          <w:tblLayout w:type="fixed"/>
          <w:tblCellMar>
            <w:top w:w="0" w:type="dxa"/>
            <w:left w:w="70" w:type="dxa"/>
            <w:bottom w:w="0" w:type="dxa"/>
            <w:right w:w="70" w:type="dxa"/>
          </w:tblCellMar>
        </w:tblPrEx>
        <w:trPr>
          <w:cantSplit/>
          <w:trHeight w:val="50"/>
        </w:trPr>
        <w:tc>
          <w:tcPr>
            <w:tcW w:w="1870" w:type="dxa"/>
            <w:vMerge/>
            <w:tcBorders>
              <w:top w:val="single" w:sz="6" w:space="0" w:color="auto"/>
              <w:left w:val="single" w:sz="8"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both"/>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D6A1D" w:rsidP="00FB6644">
            <w:pPr>
              <w:jc w:val="center"/>
              <w:rPr>
                <w:rFonts w:ascii="Times New Roman" w:hAnsi="Times New Roman" w:cs="Times New Roman"/>
                <w:b/>
                <w:bCs/>
                <w:sz w:val="18"/>
                <w:szCs w:val="18"/>
              </w:rPr>
            </w:pPr>
            <w:r w:rsidRPr="009D6A1D">
              <w:rPr>
                <w:rFonts w:ascii="Times New Roman" w:hAnsi="Times New Roman" w:cs="Times New Roman"/>
                <w:b/>
                <w:bCs/>
                <w:sz w:val="18"/>
                <w:szCs w:val="18"/>
              </w:rPr>
              <w:t>1</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D6A1D" w:rsidP="00FB6644">
            <w:pPr>
              <w:jc w:val="center"/>
              <w:rPr>
                <w:rFonts w:ascii="Times New Roman" w:hAnsi="Times New Roman" w:cs="Times New Roman"/>
                <w:b/>
                <w:bCs/>
                <w:sz w:val="18"/>
                <w:szCs w:val="18"/>
              </w:rPr>
            </w:pPr>
            <w:r w:rsidRPr="009D6A1D">
              <w:rPr>
                <w:rFonts w:ascii="Times New Roman" w:hAnsi="Times New Roman" w:cs="Times New Roman"/>
                <w:b/>
                <w:bCs/>
                <w:sz w:val="18"/>
                <w:szCs w:val="18"/>
              </w:rPr>
              <w:t>2</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D6A1D" w:rsidP="00FB6644">
            <w:pPr>
              <w:jc w:val="center"/>
              <w:rPr>
                <w:rFonts w:ascii="Times New Roman" w:hAnsi="Times New Roman" w:cs="Times New Roman"/>
                <w:b/>
                <w:bCs/>
                <w:sz w:val="18"/>
                <w:szCs w:val="18"/>
              </w:rPr>
            </w:pPr>
            <w:r w:rsidRPr="009D6A1D">
              <w:rPr>
                <w:rFonts w:ascii="Times New Roman" w:hAnsi="Times New Roman" w:cs="Times New Roman"/>
                <w:b/>
                <w:bCs/>
                <w:sz w:val="18"/>
                <w:szCs w:val="18"/>
              </w:rPr>
              <w:t>3</w:t>
            </w:r>
          </w:p>
        </w:tc>
        <w:tc>
          <w:tcPr>
            <w:tcW w:w="126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D6A1D" w:rsidP="00FB6644">
            <w:pPr>
              <w:jc w:val="center"/>
              <w:rPr>
                <w:rFonts w:ascii="Times New Roman" w:hAnsi="Times New Roman" w:cs="Times New Roman"/>
                <w:b/>
                <w:bCs/>
                <w:sz w:val="18"/>
                <w:szCs w:val="18"/>
              </w:rPr>
            </w:pPr>
            <w:r w:rsidRPr="009D6A1D">
              <w:rPr>
                <w:rFonts w:ascii="Times New Roman" w:hAnsi="Times New Roman" w:cs="Times New Roman"/>
                <w:b/>
                <w:bCs/>
                <w:sz w:val="18"/>
                <w:szCs w:val="18"/>
              </w:rPr>
              <w:t>4</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D6A1D" w:rsidP="009D6A1D">
            <w:pPr>
              <w:jc w:val="both"/>
              <w:rPr>
                <w:rFonts w:ascii="Times New Roman" w:hAnsi="Times New Roman" w:cs="Times New Roman"/>
                <w:b/>
                <w:bCs/>
                <w:sz w:val="18"/>
                <w:szCs w:val="18"/>
              </w:rPr>
            </w:pPr>
            <w:r w:rsidR="009D6A1D">
              <w:rPr>
                <w:rFonts w:ascii="Times New Roman" w:hAnsi="Times New Roman" w:cs="Times New Roman"/>
                <w:b/>
                <w:bCs/>
                <w:sz w:val="18"/>
                <w:szCs w:val="18"/>
              </w:rPr>
              <w:t>5=</w:t>
            </w:r>
            <w:r w:rsidRPr="009D6A1D">
              <w:rPr>
                <w:rFonts w:ascii="Times New Roman" w:hAnsi="Times New Roman" w:cs="Times New Roman"/>
                <w:b/>
                <w:bCs/>
                <w:sz w:val="18"/>
                <w:szCs w:val="18"/>
              </w:rPr>
              <w:t>4/3*100</w:t>
            </w:r>
          </w:p>
        </w:tc>
        <w:tc>
          <w:tcPr>
            <w:tcW w:w="90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9D6A1D" w:rsidP="00FB6644">
            <w:pPr>
              <w:jc w:val="center"/>
              <w:rPr>
                <w:rFonts w:ascii="Times New Roman" w:hAnsi="Times New Roman" w:cs="Times New Roman"/>
                <w:b/>
                <w:bCs/>
                <w:sz w:val="18"/>
                <w:szCs w:val="18"/>
              </w:rPr>
            </w:pPr>
            <w:r w:rsidRPr="009D6A1D">
              <w:rPr>
                <w:rFonts w:ascii="Times New Roman" w:hAnsi="Times New Roman" w:cs="Times New Roman"/>
                <w:b/>
                <w:bCs/>
                <w:sz w:val="18"/>
                <w:szCs w:val="18"/>
              </w:rPr>
              <w:t>6= 4 – 1</w:t>
            </w:r>
          </w:p>
        </w:tc>
        <w:tc>
          <w:tcPr>
            <w:tcW w:w="1080" w:type="dxa"/>
            <w:tcBorders>
              <w:top w:val="single" w:sz="6" w:space="0" w:color="auto"/>
              <w:left w:val="single" w:sz="6" w:space="0" w:color="auto"/>
              <w:bottom w:val="single" w:sz="6" w:space="0" w:color="auto"/>
              <w:right w:val="single" w:sz="8" w:space="0" w:color="auto"/>
              <w:tl2br w:val="nil"/>
              <w:tr2bl w:val="nil"/>
            </w:tcBorders>
            <w:shd w:val="clear" w:color="auto" w:fill="FFFFFF"/>
            <w:textDirection w:val="lrTb"/>
            <w:vAlign w:val="top"/>
          </w:tcPr>
          <w:p w:rsidR="00FB6644" w:rsidRPr="009D6A1D" w:rsidP="00FB6644">
            <w:pPr>
              <w:jc w:val="center"/>
              <w:rPr>
                <w:rFonts w:ascii="Times New Roman" w:hAnsi="Times New Roman" w:cs="Times New Roman"/>
                <w:b/>
                <w:bCs/>
                <w:sz w:val="18"/>
                <w:szCs w:val="18"/>
              </w:rPr>
            </w:pPr>
            <w:r w:rsidRPr="009D6A1D">
              <w:rPr>
                <w:rFonts w:ascii="Times New Roman" w:hAnsi="Times New Roman" w:cs="Times New Roman"/>
                <w:b/>
                <w:bCs/>
                <w:sz w:val="18"/>
                <w:szCs w:val="18"/>
              </w:rPr>
              <w:t>7=4/1*100</w:t>
            </w:r>
          </w:p>
        </w:tc>
      </w:tr>
      <w:tr>
        <w:tblPrEx>
          <w:tblW w:w="9610" w:type="dxa"/>
          <w:tblInd w:w="-60" w:type="dxa"/>
          <w:tblLayout w:type="fixed"/>
          <w:tblCellMar>
            <w:top w:w="0" w:type="dxa"/>
            <w:left w:w="70" w:type="dxa"/>
            <w:bottom w:w="0" w:type="dxa"/>
            <w:right w:w="70" w:type="dxa"/>
          </w:tblCellMar>
        </w:tblPrEx>
        <w:trPr>
          <w:trHeight w:hRule="auto" w:val="0"/>
        </w:trPr>
        <w:tc>
          <w:tcPr>
            <w:tcW w:w="1870"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472CA4" w:rsidP="00FB6644">
            <w:pPr>
              <w:rPr>
                <w:rFonts w:ascii="Times New Roman" w:hAnsi="Times New Roman" w:cs="Times New Roman"/>
                <w:bCs/>
                <w:sz w:val="20"/>
                <w:szCs w:val="20"/>
              </w:rPr>
            </w:pPr>
            <w:r w:rsidRPr="00472CA4">
              <w:rPr>
                <w:rFonts w:ascii="Times New Roman" w:hAnsi="Times New Roman" w:cs="Times New Roman"/>
                <w:bCs/>
                <w:sz w:val="20"/>
                <w:szCs w:val="20"/>
              </w:rPr>
              <w:t>Záručná sekcia EAGGF</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8 085,2</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10 406,5</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9 274,9</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9 044,8</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97,5</w:t>
            </w:r>
          </w:p>
        </w:tc>
        <w:tc>
          <w:tcPr>
            <w:tcW w:w="90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959,6</w:t>
            </w:r>
          </w:p>
        </w:tc>
        <w:tc>
          <w:tcPr>
            <w:tcW w:w="108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111,9</w:t>
            </w:r>
          </w:p>
        </w:tc>
      </w:tr>
      <w:tr>
        <w:tblPrEx>
          <w:tblW w:w="9610" w:type="dxa"/>
          <w:tblInd w:w="-60" w:type="dxa"/>
          <w:tblLayout w:type="fixed"/>
          <w:tblCellMar>
            <w:top w:w="0" w:type="dxa"/>
            <w:left w:w="70" w:type="dxa"/>
            <w:bottom w:w="0" w:type="dxa"/>
            <w:right w:w="70" w:type="dxa"/>
          </w:tblCellMar>
        </w:tblPrEx>
        <w:trPr>
          <w:trHeight w:hRule="auto" w:val="0"/>
        </w:trPr>
        <w:tc>
          <w:tcPr>
            <w:tcW w:w="1870"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472CA4" w:rsidP="00FB6644">
            <w:pPr>
              <w:rPr>
                <w:rFonts w:ascii="Times New Roman" w:hAnsi="Times New Roman" w:cs="Times New Roman"/>
                <w:bCs/>
                <w:sz w:val="20"/>
                <w:szCs w:val="20"/>
              </w:rPr>
            </w:pPr>
            <w:r w:rsidRPr="00472CA4">
              <w:rPr>
                <w:rFonts w:ascii="Times New Roman" w:hAnsi="Times New Roman" w:cs="Times New Roman"/>
                <w:bCs/>
                <w:sz w:val="20"/>
                <w:szCs w:val="20"/>
              </w:rPr>
              <w:t>Štrukturálne operácie v tom:</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5 037,4</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16 991,5</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11 881,3</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11 865,8</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99,9</w:t>
            </w:r>
          </w:p>
        </w:tc>
        <w:tc>
          <w:tcPr>
            <w:tcW w:w="90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6 828,4</w:t>
            </w:r>
          </w:p>
        </w:tc>
        <w:tc>
          <w:tcPr>
            <w:tcW w:w="108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235,6</w:t>
            </w:r>
          </w:p>
        </w:tc>
      </w:tr>
      <w:tr>
        <w:tblPrEx>
          <w:tblW w:w="9610" w:type="dxa"/>
          <w:tblInd w:w="-60" w:type="dxa"/>
          <w:tblLayout w:type="fixed"/>
          <w:tblCellMar>
            <w:top w:w="0" w:type="dxa"/>
            <w:left w:w="70" w:type="dxa"/>
            <w:bottom w:w="0" w:type="dxa"/>
            <w:right w:w="70" w:type="dxa"/>
          </w:tblCellMar>
        </w:tblPrEx>
        <w:trPr>
          <w:trHeight w:hRule="auto" w:val="0"/>
        </w:trPr>
        <w:tc>
          <w:tcPr>
            <w:tcW w:w="1870"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472CA4" w:rsidP="00FB6644">
            <w:pPr>
              <w:jc w:val="right"/>
              <w:rPr>
                <w:rFonts w:ascii="Times New Roman" w:hAnsi="Times New Roman" w:cs="Times New Roman"/>
                <w:bCs/>
                <w:i/>
                <w:iCs/>
                <w:sz w:val="20"/>
                <w:szCs w:val="20"/>
              </w:rPr>
            </w:pPr>
            <w:r w:rsidRPr="00472CA4">
              <w:rPr>
                <w:rFonts w:ascii="Times New Roman" w:hAnsi="Times New Roman" w:cs="Times New Roman"/>
                <w:bCs/>
                <w:i/>
                <w:iCs/>
                <w:sz w:val="20"/>
                <w:szCs w:val="20"/>
              </w:rPr>
              <w:t>Štrukturálne fondy*</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i/>
                <w:iCs/>
                <w:sz w:val="20"/>
                <w:szCs w:val="20"/>
              </w:rPr>
            </w:pPr>
            <w:r w:rsidRPr="00472CA4">
              <w:rPr>
                <w:rFonts w:ascii="Times New Roman" w:hAnsi="Times New Roman" w:cs="Times New Roman"/>
                <w:i/>
                <w:iCs/>
                <w:sz w:val="20"/>
                <w:szCs w:val="20"/>
              </w:rPr>
              <w:t>4 924,8</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i/>
                <w:iCs/>
                <w:sz w:val="20"/>
                <w:szCs w:val="20"/>
              </w:rPr>
            </w:pPr>
            <w:r w:rsidRPr="00472CA4">
              <w:rPr>
                <w:rFonts w:ascii="Times New Roman" w:hAnsi="Times New Roman" w:cs="Times New Roman"/>
                <w:i/>
                <w:iCs/>
                <w:sz w:val="20"/>
                <w:szCs w:val="20"/>
              </w:rPr>
              <w:t>12 099,8</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i/>
                <w:iCs/>
                <w:sz w:val="20"/>
                <w:szCs w:val="20"/>
              </w:rPr>
            </w:pPr>
            <w:r w:rsidRPr="00472CA4">
              <w:rPr>
                <w:rFonts w:ascii="Times New Roman" w:hAnsi="Times New Roman" w:cs="Times New Roman"/>
                <w:i/>
                <w:iCs/>
                <w:sz w:val="20"/>
                <w:szCs w:val="20"/>
              </w:rPr>
              <w:t>10 865,5</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i/>
                <w:iCs/>
                <w:sz w:val="20"/>
                <w:szCs w:val="20"/>
              </w:rPr>
            </w:pPr>
            <w:r w:rsidRPr="00472CA4">
              <w:rPr>
                <w:rFonts w:ascii="Times New Roman" w:hAnsi="Times New Roman" w:cs="Times New Roman"/>
                <w:i/>
                <w:iCs/>
                <w:sz w:val="20"/>
                <w:szCs w:val="20"/>
              </w:rPr>
              <w:t>10 850,0</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99,9</w:t>
            </w:r>
          </w:p>
        </w:tc>
        <w:tc>
          <w:tcPr>
            <w:tcW w:w="90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5 925,2</w:t>
            </w:r>
          </w:p>
        </w:tc>
        <w:tc>
          <w:tcPr>
            <w:tcW w:w="108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220,3</w:t>
            </w:r>
          </w:p>
        </w:tc>
      </w:tr>
      <w:tr>
        <w:tblPrEx>
          <w:tblW w:w="9610" w:type="dxa"/>
          <w:tblInd w:w="-60" w:type="dxa"/>
          <w:tblLayout w:type="fixed"/>
          <w:tblCellMar>
            <w:top w:w="0" w:type="dxa"/>
            <w:left w:w="70" w:type="dxa"/>
            <w:bottom w:w="0" w:type="dxa"/>
            <w:right w:w="70" w:type="dxa"/>
          </w:tblCellMar>
        </w:tblPrEx>
        <w:trPr>
          <w:trHeight w:hRule="auto" w:val="0"/>
        </w:trPr>
        <w:tc>
          <w:tcPr>
            <w:tcW w:w="1870"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472CA4" w:rsidP="00FB6644">
            <w:pPr>
              <w:jc w:val="right"/>
              <w:rPr>
                <w:rFonts w:ascii="Times New Roman" w:hAnsi="Times New Roman" w:cs="Times New Roman"/>
                <w:bCs/>
                <w:i/>
                <w:iCs/>
                <w:sz w:val="20"/>
                <w:szCs w:val="20"/>
              </w:rPr>
            </w:pPr>
            <w:r w:rsidRPr="00472CA4">
              <w:rPr>
                <w:rFonts w:ascii="Times New Roman" w:hAnsi="Times New Roman" w:cs="Times New Roman"/>
                <w:bCs/>
                <w:i/>
                <w:iCs/>
                <w:sz w:val="20"/>
                <w:szCs w:val="20"/>
              </w:rPr>
              <w:t>Kohézny fond</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i/>
                <w:iCs/>
                <w:sz w:val="20"/>
                <w:szCs w:val="20"/>
              </w:rPr>
            </w:pPr>
            <w:r w:rsidRPr="00472CA4">
              <w:rPr>
                <w:rFonts w:ascii="Times New Roman" w:hAnsi="Times New Roman" w:cs="Times New Roman"/>
                <w:i/>
                <w:iCs/>
                <w:sz w:val="20"/>
                <w:szCs w:val="20"/>
              </w:rPr>
              <w:t>112,6</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i/>
                <w:iCs/>
                <w:sz w:val="20"/>
                <w:szCs w:val="20"/>
              </w:rPr>
            </w:pPr>
            <w:r w:rsidRPr="00472CA4">
              <w:rPr>
                <w:rFonts w:ascii="Times New Roman" w:hAnsi="Times New Roman" w:cs="Times New Roman"/>
                <w:i/>
                <w:iCs/>
                <w:sz w:val="20"/>
                <w:szCs w:val="20"/>
              </w:rPr>
              <w:t>4 891,7</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i/>
                <w:iCs/>
                <w:sz w:val="20"/>
                <w:szCs w:val="20"/>
              </w:rPr>
            </w:pPr>
            <w:r w:rsidRPr="00472CA4">
              <w:rPr>
                <w:rFonts w:ascii="Times New Roman" w:hAnsi="Times New Roman" w:cs="Times New Roman"/>
                <w:i/>
                <w:iCs/>
                <w:sz w:val="20"/>
                <w:szCs w:val="20"/>
              </w:rPr>
              <w:t>1 015,8</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i/>
                <w:iCs/>
                <w:sz w:val="20"/>
                <w:szCs w:val="20"/>
              </w:rPr>
            </w:pPr>
            <w:r w:rsidRPr="00472CA4">
              <w:rPr>
                <w:rFonts w:ascii="Times New Roman" w:hAnsi="Times New Roman" w:cs="Times New Roman"/>
                <w:i/>
                <w:iCs/>
                <w:sz w:val="20"/>
                <w:szCs w:val="20"/>
              </w:rPr>
              <w:t>1 015,8</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100,0</w:t>
            </w:r>
          </w:p>
        </w:tc>
        <w:tc>
          <w:tcPr>
            <w:tcW w:w="90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903,2</w:t>
            </w:r>
          </w:p>
        </w:tc>
        <w:tc>
          <w:tcPr>
            <w:tcW w:w="108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902,1</w:t>
            </w:r>
          </w:p>
        </w:tc>
      </w:tr>
      <w:tr>
        <w:tblPrEx>
          <w:tblW w:w="9610" w:type="dxa"/>
          <w:tblInd w:w="-60" w:type="dxa"/>
          <w:tblLayout w:type="fixed"/>
          <w:tblCellMar>
            <w:top w:w="0" w:type="dxa"/>
            <w:left w:w="70" w:type="dxa"/>
            <w:bottom w:w="0" w:type="dxa"/>
            <w:right w:w="70" w:type="dxa"/>
          </w:tblCellMar>
        </w:tblPrEx>
        <w:trPr>
          <w:trHeight w:hRule="auto" w:val="0"/>
        </w:trPr>
        <w:tc>
          <w:tcPr>
            <w:tcW w:w="1870"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472CA4" w:rsidP="00FB6644">
            <w:pPr>
              <w:rPr>
                <w:rFonts w:ascii="Times New Roman" w:hAnsi="Times New Roman" w:cs="Times New Roman"/>
                <w:b/>
                <w:bCs/>
                <w:sz w:val="20"/>
                <w:szCs w:val="20"/>
              </w:rPr>
            </w:pPr>
            <w:r w:rsidRPr="00472CA4">
              <w:rPr>
                <w:rFonts w:ascii="Times New Roman" w:hAnsi="Times New Roman" w:cs="Times New Roman"/>
                <w:b/>
                <w:bCs/>
                <w:sz w:val="20"/>
                <w:szCs w:val="20"/>
              </w:rPr>
              <w:t>Spolu zaradené do výdavkov ŠR</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13 122,6</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27 398,0</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21 156,2</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20 910,6</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98,8</w:t>
            </w:r>
          </w:p>
        </w:tc>
        <w:tc>
          <w:tcPr>
            <w:tcW w:w="90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7 788,0</w:t>
            </w:r>
          </w:p>
        </w:tc>
        <w:tc>
          <w:tcPr>
            <w:tcW w:w="108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159,3</w:t>
            </w:r>
          </w:p>
        </w:tc>
      </w:tr>
      <w:tr>
        <w:tblPrEx>
          <w:tblW w:w="9610" w:type="dxa"/>
          <w:tblInd w:w="-60" w:type="dxa"/>
          <w:tblLayout w:type="fixed"/>
          <w:tblCellMar>
            <w:top w:w="0" w:type="dxa"/>
            <w:left w:w="70" w:type="dxa"/>
            <w:bottom w:w="0" w:type="dxa"/>
            <w:right w:w="70" w:type="dxa"/>
          </w:tblCellMar>
        </w:tblPrEx>
        <w:trPr>
          <w:trHeight w:hRule="auto" w:val="0"/>
        </w:trPr>
        <w:tc>
          <w:tcPr>
            <w:tcW w:w="1870"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472CA4" w:rsidP="00FB6644">
            <w:pPr>
              <w:rPr>
                <w:rFonts w:ascii="Times New Roman" w:hAnsi="Times New Roman" w:cs="Times New Roman"/>
                <w:sz w:val="20"/>
                <w:szCs w:val="20"/>
              </w:rPr>
            </w:pPr>
            <w:r w:rsidRPr="00472CA4">
              <w:rPr>
                <w:rFonts w:ascii="Times New Roman" w:hAnsi="Times New Roman" w:cs="Times New Roman"/>
                <w:sz w:val="20"/>
                <w:szCs w:val="20"/>
              </w:rPr>
              <w:t>Interreg IIIB a IIIC</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1,3</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75,3</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75,3</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3,0</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4,0</w:t>
            </w:r>
          </w:p>
        </w:tc>
        <w:tc>
          <w:tcPr>
            <w:tcW w:w="90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1,7</w:t>
            </w:r>
          </w:p>
        </w:tc>
        <w:tc>
          <w:tcPr>
            <w:tcW w:w="108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230,8</w:t>
            </w:r>
          </w:p>
        </w:tc>
      </w:tr>
      <w:tr>
        <w:tblPrEx>
          <w:tblW w:w="9610" w:type="dxa"/>
          <w:tblInd w:w="-60" w:type="dxa"/>
          <w:tblLayout w:type="fixed"/>
          <w:tblCellMar>
            <w:top w:w="0" w:type="dxa"/>
            <w:left w:w="70" w:type="dxa"/>
            <w:bottom w:w="0" w:type="dxa"/>
            <w:right w:w="70" w:type="dxa"/>
          </w:tblCellMar>
        </w:tblPrEx>
        <w:trPr>
          <w:trHeight w:hRule="auto" w:val="0"/>
        </w:trPr>
        <w:tc>
          <w:tcPr>
            <w:tcW w:w="1870"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472CA4" w:rsidP="00FB6644">
            <w:pPr>
              <w:rPr>
                <w:rFonts w:ascii="Times New Roman" w:hAnsi="Times New Roman" w:cs="Times New Roman"/>
                <w:sz w:val="20"/>
                <w:szCs w:val="20"/>
              </w:rPr>
            </w:pPr>
            <w:r w:rsidRPr="00472CA4">
              <w:rPr>
                <w:rFonts w:ascii="Times New Roman" w:hAnsi="Times New Roman" w:cs="Times New Roman"/>
                <w:sz w:val="20"/>
                <w:szCs w:val="20"/>
              </w:rPr>
              <w:t>Vnútorné politiky</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648,4</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4 443,9</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4 443,9</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1 399,6</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31,5</w:t>
            </w:r>
          </w:p>
        </w:tc>
        <w:tc>
          <w:tcPr>
            <w:tcW w:w="90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751,2</w:t>
            </w:r>
          </w:p>
        </w:tc>
        <w:tc>
          <w:tcPr>
            <w:tcW w:w="108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215,9</w:t>
            </w:r>
          </w:p>
        </w:tc>
      </w:tr>
      <w:tr>
        <w:tblPrEx>
          <w:tblW w:w="9610" w:type="dxa"/>
          <w:tblInd w:w="-60" w:type="dxa"/>
          <w:tblLayout w:type="fixed"/>
          <w:tblCellMar>
            <w:top w:w="0" w:type="dxa"/>
            <w:left w:w="70" w:type="dxa"/>
            <w:bottom w:w="0" w:type="dxa"/>
            <w:right w:w="70" w:type="dxa"/>
          </w:tblCellMar>
        </w:tblPrEx>
        <w:trPr>
          <w:trHeight w:hRule="auto" w:val="0"/>
        </w:trPr>
        <w:tc>
          <w:tcPr>
            <w:tcW w:w="1870"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472CA4" w:rsidP="00FB6644">
            <w:pPr>
              <w:rPr>
                <w:rFonts w:ascii="Times New Roman" w:hAnsi="Times New Roman" w:cs="Times New Roman"/>
                <w:sz w:val="20"/>
                <w:szCs w:val="20"/>
                <w:highlight w:val="yellow"/>
              </w:rPr>
            </w:pPr>
            <w:r w:rsidRPr="00472CA4">
              <w:rPr>
                <w:rFonts w:ascii="Times New Roman" w:hAnsi="Times New Roman" w:cs="Times New Roman"/>
                <w:sz w:val="20"/>
                <w:szCs w:val="20"/>
              </w:rPr>
              <w:t>Predvstupové fondy</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5 723,7</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5 155,6</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5 155,6</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4 841,4</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93,9</w:t>
            </w:r>
          </w:p>
        </w:tc>
        <w:tc>
          <w:tcPr>
            <w:tcW w:w="90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-882,3</w:t>
            </w:r>
          </w:p>
        </w:tc>
        <w:tc>
          <w:tcPr>
            <w:tcW w:w="108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84,6</w:t>
            </w:r>
          </w:p>
        </w:tc>
      </w:tr>
      <w:tr>
        <w:tblPrEx>
          <w:tblW w:w="9610" w:type="dxa"/>
          <w:tblInd w:w="-60" w:type="dxa"/>
          <w:tblLayout w:type="fixed"/>
          <w:tblCellMar>
            <w:top w:w="0" w:type="dxa"/>
            <w:left w:w="70" w:type="dxa"/>
            <w:bottom w:w="0" w:type="dxa"/>
            <w:right w:w="70" w:type="dxa"/>
          </w:tblCellMar>
        </w:tblPrEx>
        <w:trPr>
          <w:trHeight w:hRule="auto" w:val="0"/>
        </w:trPr>
        <w:tc>
          <w:tcPr>
            <w:tcW w:w="1870"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472CA4" w:rsidP="00FB6644">
            <w:pPr>
              <w:rPr>
                <w:rFonts w:ascii="Times New Roman" w:hAnsi="Times New Roman" w:cs="Times New Roman"/>
                <w:sz w:val="20"/>
                <w:szCs w:val="20"/>
                <w:highlight w:val="yellow"/>
              </w:rPr>
            </w:pPr>
            <w:r w:rsidRPr="00472CA4">
              <w:rPr>
                <w:rFonts w:ascii="Times New Roman" w:hAnsi="Times New Roman" w:cs="Times New Roman"/>
                <w:sz w:val="20"/>
                <w:szCs w:val="20"/>
              </w:rPr>
              <w:t>Finančný mechanizmus EHP a Nórsky finančný mechanizmus</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0,0</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487,2</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487,2</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0,0</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0,0</w:t>
            </w:r>
          </w:p>
        </w:tc>
        <w:tc>
          <w:tcPr>
            <w:tcW w:w="90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0,0</w:t>
            </w:r>
          </w:p>
        </w:tc>
        <w:tc>
          <w:tcPr>
            <w:tcW w:w="108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0,0</w:t>
            </w:r>
          </w:p>
        </w:tc>
      </w:tr>
      <w:tr>
        <w:tblPrEx>
          <w:tblW w:w="9610" w:type="dxa"/>
          <w:tblInd w:w="-60" w:type="dxa"/>
          <w:tblLayout w:type="fixed"/>
          <w:tblCellMar>
            <w:top w:w="0" w:type="dxa"/>
            <w:left w:w="70" w:type="dxa"/>
            <w:bottom w:w="0" w:type="dxa"/>
            <w:right w:w="70" w:type="dxa"/>
          </w:tblCellMar>
        </w:tblPrEx>
        <w:trPr>
          <w:trHeight w:hRule="auto" w:val="0"/>
        </w:trPr>
        <w:tc>
          <w:tcPr>
            <w:tcW w:w="1870" w:type="dxa"/>
            <w:tcBorders>
              <w:top w:val="single" w:sz="6" w:space="0" w:color="auto"/>
              <w:left w:val="single" w:sz="8" w:space="0" w:color="auto"/>
              <w:bottom w:val="double" w:sz="6" w:space="0" w:color="auto"/>
              <w:right w:val="single" w:sz="6" w:space="0" w:color="auto"/>
              <w:tl2br w:val="nil"/>
              <w:tr2bl w:val="nil"/>
            </w:tcBorders>
            <w:tcMar>
              <w:left w:w="0" w:type="dxa"/>
              <w:right w:w="0" w:type="dxa"/>
            </w:tcMar>
            <w:textDirection w:val="lrTb"/>
            <w:vAlign w:val="top"/>
          </w:tcPr>
          <w:p w:rsidR="00FB6644" w:rsidRPr="00472CA4" w:rsidP="00FB6644">
            <w:pPr>
              <w:rPr>
                <w:rFonts w:ascii="Times New Roman" w:hAnsi="Times New Roman" w:cs="Times New Roman"/>
                <w:b/>
                <w:bCs/>
                <w:sz w:val="20"/>
                <w:szCs w:val="20"/>
              </w:rPr>
            </w:pPr>
            <w:r w:rsidRPr="00472CA4">
              <w:rPr>
                <w:rFonts w:ascii="Times New Roman" w:hAnsi="Times New Roman" w:cs="Times New Roman"/>
                <w:b/>
                <w:bCs/>
                <w:sz w:val="20"/>
                <w:szCs w:val="20"/>
              </w:rPr>
              <w:t>Spolu nezaradené  do výdavkov ŠR</w:t>
            </w:r>
          </w:p>
        </w:tc>
        <w:tc>
          <w:tcPr>
            <w:tcW w:w="126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6 373,4</w:t>
            </w:r>
          </w:p>
        </w:tc>
        <w:tc>
          <w:tcPr>
            <w:tcW w:w="108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10 162,0</w:t>
            </w:r>
          </w:p>
        </w:tc>
        <w:tc>
          <w:tcPr>
            <w:tcW w:w="108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10 162,0</w:t>
            </w:r>
          </w:p>
        </w:tc>
        <w:tc>
          <w:tcPr>
            <w:tcW w:w="126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6 244,0</w:t>
            </w:r>
          </w:p>
        </w:tc>
        <w:tc>
          <w:tcPr>
            <w:tcW w:w="108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61,4</w:t>
            </w:r>
          </w:p>
        </w:tc>
        <w:tc>
          <w:tcPr>
            <w:tcW w:w="90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-129,4</w:t>
            </w:r>
          </w:p>
        </w:tc>
        <w:tc>
          <w:tcPr>
            <w:tcW w:w="1080" w:type="dxa"/>
            <w:tcBorders>
              <w:top w:val="single" w:sz="6" w:space="0" w:color="auto"/>
              <w:left w:val="single" w:sz="6" w:space="0" w:color="auto"/>
              <w:bottom w:val="doub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98,0</w:t>
            </w:r>
          </w:p>
        </w:tc>
      </w:tr>
    </w:tbl>
    <w:p w:rsidR="00FB6644" w:rsidRPr="00472CA4" w:rsidP="00FB6644">
      <w:pPr>
        <w:spacing w:before="120" w:after="120"/>
        <w:rPr>
          <w:rFonts w:ascii="Times New Roman" w:hAnsi="Times New Roman" w:cs="Times New Roman"/>
          <w:sz w:val="20"/>
          <w:szCs w:val="20"/>
        </w:rPr>
      </w:pPr>
      <w:r w:rsidRPr="00472CA4">
        <w:rPr>
          <w:rFonts w:ascii="Times New Roman" w:hAnsi="Times New Roman" w:cs="Times New Roman"/>
          <w:sz w:val="20"/>
          <w:szCs w:val="20"/>
        </w:rPr>
        <w:t>* skutočnosť 2006=schválené a uhradené súhrnné žiadosti o platbu, predfinancovanie a zálohové platby nezúčtované k 31.12.2006</w:t>
      </w:r>
    </w:p>
    <w:p w:rsidR="00FB6644" w:rsidRPr="00FB6644" w:rsidP="00FB6644">
      <w:pPr>
        <w:spacing w:before="120" w:after="120"/>
        <w:rPr>
          <w:rFonts w:ascii="Times New Roman" w:hAnsi="Times New Roman" w:cs="Times New Roman"/>
        </w:rPr>
      </w:pPr>
    </w:p>
    <w:p w:rsidR="0083017F" w:rsidRPr="00FB6644" w:rsidP="00472CA4">
      <w:pPr>
        <w:spacing w:before="120" w:after="120" w:line="360" w:lineRule="auto"/>
        <w:ind w:firstLine="709"/>
        <w:jc w:val="both"/>
        <w:rPr>
          <w:rFonts w:ascii="Times New Roman" w:hAnsi="Times New Roman" w:cs="Times New Roman"/>
        </w:rPr>
      </w:pPr>
      <w:r w:rsidRPr="00FB6644" w:rsidR="00FB6644">
        <w:rPr>
          <w:rFonts w:ascii="Times New Roman" w:hAnsi="Times New Roman" w:cs="Times New Roman"/>
        </w:rPr>
        <w:t xml:space="preserve">Na základe uplatňovania mechanizmov finančného riadenia štrukturálnych fondov pri realizácii spoločných programov SR a EÚ čerpanie finančných prostriedkov vo forme výdavkov štátneho rozpočtu v rámci relevantných kapitol zodpovedá sume </w:t>
      </w:r>
      <w:bookmarkStart w:id="1" w:name="OLE_LINK1"/>
      <w:r w:rsidRPr="00FB6644" w:rsidR="00FB6644">
        <w:rPr>
          <w:rFonts w:ascii="Times New Roman" w:hAnsi="Times New Roman" w:cs="Times New Roman"/>
        </w:rPr>
        <w:t>prostriedkov EÚ a štátneho rozpočtu na spolufinancovanie. Tieto finančné prostriedky platobná jednotka ako vnútorná organizačná jednotka kapitoly poskytla konečným prijímateľom projektov štrukturálnych fondov na základe úhrady prostriedkov platobným príkazom a úpravou rozpočtu, resp. presunom prostriedkov formou rozpočtového opatrenia. Čerpanie vo vzťahu k štátnemu rozpočtu zahrňuje aj výdavky, ktoré sú poskytované konečným prijímateľom formou zálohovej platby a predfinancovania, t. j. ktoré až do momentu ich zúčtovania  a schválenia v súhrnnej žiadosti o pla</w:t>
      </w:r>
      <w:r w:rsidR="00472CA4">
        <w:rPr>
          <w:rFonts w:ascii="Times New Roman" w:hAnsi="Times New Roman" w:cs="Times New Roman"/>
        </w:rPr>
        <w:t xml:space="preserve">tbu nie sú kryté príjmami EÚ.  </w:t>
      </w:r>
    </w:p>
    <w:p w:rsidR="00FB6644" w:rsidRPr="00FB6644" w:rsidP="00FB6644">
      <w:pPr>
        <w:pStyle w:val="BodyTextIndent2"/>
        <w:ind w:firstLine="708"/>
        <w:rPr>
          <w:rFonts w:ascii="Times New Roman" w:hAnsi="Times New Roman" w:cs="Times New Roman"/>
        </w:rPr>
      </w:pPr>
      <w:bookmarkEnd w:id="1"/>
      <w:r w:rsidRPr="00FB6644">
        <w:rPr>
          <w:rFonts w:ascii="Times New Roman" w:hAnsi="Times New Roman" w:cs="Times New Roman"/>
        </w:rPr>
        <w:t xml:space="preserve">Štruktúru uvedených prostriedkov zobrazuje nasledovná tabuľka (v mil. Sk): </w:t>
      </w:r>
    </w:p>
    <w:tbl>
      <w:tblPr>
        <w:tblW w:w="9379" w:type="dxa"/>
        <w:tblInd w:w="58"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CellMar>
          <w:left w:w="70" w:type="dxa"/>
          <w:right w:w="70" w:type="dxa"/>
        </w:tblCellMar>
      </w:tblPr>
      <w:tblGrid>
        <w:gridCol w:w="1603"/>
        <w:gridCol w:w="1940"/>
        <w:gridCol w:w="1672"/>
        <w:gridCol w:w="2044"/>
        <w:gridCol w:w="2120"/>
      </w:tblGrid>
      <w:tr>
        <w:tblPrEx>
          <w:tblW w:w="9379" w:type="dxa"/>
          <w:tblInd w:w="58"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CellMar>
            <w:left w:w="70" w:type="dxa"/>
            <w:right w:w="70" w:type="dxa"/>
          </w:tblCellMar>
        </w:tblPrEx>
        <w:trPr>
          <w:cantSplit/>
          <w:trHeight w:val="477"/>
        </w:trPr>
        <w:tc>
          <w:tcPr>
            <w:tcW w:w="1603" w:type="dxa"/>
            <w:vMerge w:val="restart"/>
            <w:tcBorders>
              <w:top w:val="single" w:sz="8" w:space="0" w:color="auto"/>
              <w:left w:val="single" w:sz="8" w:space="0" w:color="auto"/>
              <w:bottom w:val="single" w:sz="4" w:space="0" w:color="auto"/>
              <w:right w:val="single" w:sz="4" w:space="0" w:color="auto"/>
              <w:tl2br w:val="nil"/>
              <w:tr2bl w:val="nil"/>
            </w:tcBorders>
            <w:noWrap/>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Platobné jednotky</w:t>
            </w:r>
          </w:p>
        </w:tc>
        <w:tc>
          <w:tcPr>
            <w:tcW w:w="3612" w:type="dxa"/>
            <w:gridSpan w:val="2"/>
            <w:tcBorders>
              <w:top w:val="single" w:sz="8" w:space="0" w:color="auto"/>
              <w:left w:val="single" w:sz="4" w:space="0" w:color="auto"/>
              <w:bottom w:val="single" w:sz="4" w:space="0" w:color="auto"/>
              <w:right w:val="single" w:sz="4" w:space="0" w:color="auto"/>
              <w:tl2br w:val="nil"/>
              <w:tr2bl w:val="nil"/>
            </w:tcBorders>
            <w:noWrap/>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 xml:space="preserve">Schválený rozpočet </w:t>
            </w:r>
            <w:r w:rsidRPr="00472CA4">
              <w:rPr>
                <w:rFonts w:ascii="Times New Roman" w:hAnsi="Times New Roman" w:cs="Times New Roman"/>
                <w:b/>
                <w:bCs/>
                <w:sz w:val="20"/>
                <w:szCs w:val="20"/>
              </w:rPr>
              <w:t xml:space="preserve"> 2006</w:t>
            </w:r>
          </w:p>
        </w:tc>
        <w:tc>
          <w:tcPr>
            <w:tcW w:w="4164" w:type="dxa"/>
            <w:gridSpan w:val="2"/>
            <w:tcBorders>
              <w:top w:val="single" w:sz="8" w:space="0" w:color="auto"/>
              <w:left w:val="single" w:sz="4" w:space="0" w:color="auto"/>
              <w:bottom w:val="single" w:sz="4" w:space="0" w:color="auto"/>
              <w:right w:val="single" w:sz="8" w:space="0" w:color="auto"/>
              <w:tl2br w:val="nil"/>
              <w:tr2bl w:val="nil"/>
            </w:tcBorders>
            <w:noWrap/>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Skutočnosť 2006 – údaje platobného orgánu pre štrukturálne fondy</w:t>
            </w:r>
            <w:r w:rsidR="00A42301">
              <w:rPr>
                <w:rFonts w:ascii="Times New Roman" w:hAnsi="Times New Roman" w:cs="Times New Roman"/>
                <w:b/>
                <w:bCs/>
                <w:sz w:val="20"/>
                <w:szCs w:val="20"/>
              </w:rPr>
              <w:t>*</w:t>
            </w:r>
          </w:p>
        </w:tc>
      </w:tr>
      <w:tr>
        <w:tblPrEx>
          <w:tblW w:w="9379" w:type="dxa"/>
          <w:tblInd w:w="58" w:type="dxa"/>
          <w:tblLayout w:type="fixed"/>
          <w:tblCellMar>
            <w:left w:w="70" w:type="dxa"/>
            <w:right w:w="70" w:type="dxa"/>
          </w:tblCellMar>
        </w:tblPrEx>
        <w:trPr>
          <w:cantSplit/>
          <w:trHeight w:val="237"/>
        </w:trPr>
        <w:tc>
          <w:tcPr>
            <w:tcW w:w="0" w:type="auto"/>
            <w:vMerge/>
            <w:tcBorders>
              <w:top w:val="single" w:sz="4" w:space="0" w:color="auto"/>
              <w:left w:val="single" w:sz="8" w:space="0" w:color="auto"/>
              <w:bottom w:val="single" w:sz="4" w:space="0" w:color="auto"/>
              <w:right w:val="single" w:sz="4" w:space="0" w:color="auto"/>
              <w:tl2br w:val="nil"/>
              <w:tr2bl w:val="nil"/>
            </w:tcBorders>
            <w:textDirection w:val="lrTb"/>
            <w:vAlign w:val="center"/>
          </w:tcPr>
          <w:p w:rsidR="00FB6644" w:rsidRPr="00472CA4" w:rsidP="00FB6644">
            <w:pPr>
              <w:rPr>
                <w:rFonts w:ascii="Times New Roman" w:hAnsi="Times New Roman" w:cs="Times New Roman"/>
                <w:b/>
                <w:bCs/>
                <w:sz w:val="20"/>
                <w:szCs w:val="20"/>
              </w:rPr>
            </w:pPr>
          </w:p>
        </w:tc>
        <w:tc>
          <w:tcPr>
            <w:tcW w:w="19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EÚ</w:t>
            </w:r>
          </w:p>
        </w:tc>
        <w:tc>
          <w:tcPr>
            <w:tcW w:w="167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ŠR</w:t>
            </w:r>
          </w:p>
        </w:tc>
        <w:tc>
          <w:tcPr>
            <w:tcW w:w="204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EÚ</w:t>
            </w:r>
          </w:p>
        </w:tc>
        <w:tc>
          <w:tcPr>
            <w:tcW w:w="212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ŠR</w:t>
            </w:r>
            <w:r w:rsidR="005B3CDB">
              <w:rPr>
                <w:rFonts w:ascii="Times New Roman" w:hAnsi="Times New Roman" w:cs="Times New Roman"/>
                <w:b/>
                <w:bCs/>
                <w:sz w:val="20"/>
                <w:szCs w:val="20"/>
              </w:rPr>
              <w:t>*</w:t>
            </w:r>
            <w:r w:rsidR="00A42301">
              <w:rPr>
                <w:rFonts w:ascii="Times New Roman" w:hAnsi="Times New Roman" w:cs="Times New Roman"/>
                <w:b/>
                <w:bCs/>
                <w:sz w:val="20"/>
                <w:szCs w:val="20"/>
              </w:rPr>
              <w:t>*</w:t>
            </w:r>
          </w:p>
        </w:tc>
      </w:tr>
      <w:tr>
        <w:tblPrEx>
          <w:tblW w:w="9379" w:type="dxa"/>
          <w:tblInd w:w="58" w:type="dxa"/>
          <w:tblLayout w:type="fixed"/>
          <w:tblCellMar>
            <w:left w:w="70" w:type="dxa"/>
            <w:right w:w="70" w:type="dxa"/>
          </w:tblCellMar>
        </w:tblPrEx>
        <w:trPr>
          <w:trHeight w:val="280"/>
        </w:trPr>
        <w:tc>
          <w:tcPr>
            <w:tcW w:w="1603"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FB6644" w:rsidRPr="00472CA4" w:rsidP="00FB6644">
            <w:pPr>
              <w:rPr>
                <w:rFonts w:ascii="Times New Roman" w:hAnsi="Times New Roman" w:cs="Times New Roman"/>
                <w:sz w:val="20"/>
                <w:szCs w:val="20"/>
              </w:rPr>
            </w:pPr>
            <w:r w:rsidRPr="00472CA4">
              <w:rPr>
                <w:rFonts w:ascii="Times New Roman" w:hAnsi="Times New Roman" w:cs="Times New Roman"/>
                <w:sz w:val="20"/>
                <w:szCs w:val="20"/>
              </w:rPr>
              <w:t>MPSVR SR</w:t>
            </w:r>
          </w:p>
        </w:tc>
        <w:tc>
          <w:tcPr>
            <w:tcW w:w="19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2 391,7</w:t>
            </w:r>
          </w:p>
        </w:tc>
        <w:tc>
          <w:tcPr>
            <w:tcW w:w="1672"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893,8</w:t>
            </w:r>
          </w:p>
        </w:tc>
        <w:tc>
          <w:tcPr>
            <w:tcW w:w="204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2 765,7</w:t>
            </w:r>
          </w:p>
        </w:tc>
        <w:tc>
          <w:tcPr>
            <w:tcW w:w="2120"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939,9</w:t>
            </w:r>
          </w:p>
        </w:tc>
      </w:tr>
      <w:tr>
        <w:tblPrEx>
          <w:tblW w:w="9379" w:type="dxa"/>
          <w:tblInd w:w="58" w:type="dxa"/>
          <w:tblLayout w:type="fixed"/>
          <w:tblCellMar>
            <w:left w:w="70" w:type="dxa"/>
            <w:right w:w="70" w:type="dxa"/>
          </w:tblCellMar>
        </w:tblPrEx>
        <w:trPr>
          <w:trHeight w:val="280"/>
        </w:trPr>
        <w:tc>
          <w:tcPr>
            <w:tcW w:w="1603"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FB6644" w:rsidRPr="00472CA4" w:rsidP="00FB6644">
            <w:pPr>
              <w:rPr>
                <w:rFonts w:ascii="Times New Roman" w:hAnsi="Times New Roman" w:cs="Times New Roman"/>
                <w:sz w:val="20"/>
                <w:szCs w:val="20"/>
              </w:rPr>
            </w:pPr>
            <w:r w:rsidRPr="00472CA4">
              <w:rPr>
                <w:rFonts w:ascii="Times New Roman" w:hAnsi="Times New Roman" w:cs="Times New Roman"/>
                <w:sz w:val="20"/>
                <w:szCs w:val="20"/>
              </w:rPr>
              <w:t>MŠ SR</w:t>
            </w:r>
          </w:p>
        </w:tc>
        <w:tc>
          <w:tcPr>
            <w:tcW w:w="19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646,1</w:t>
            </w:r>
          </w:p>
        </w:tc>
        <w:tc>
          <w:tcPr>
            <w:tcW w:w="1672"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272,0</w:t>
            </w:r>
          </w:p>
        </w:tc>
        <w:tc>
          <w:tcPr>
            <w:tcW w:w="204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36</w:t>
            </w:r>
            <w:r w:rsidR="001C531B">
              <w:rPr>
                <w:rFonts w:ascii="Times New Roman" w:hAnsi="Times New Roman" w:cs="Times New Roman"/>
                <w:sz w:val="20"/>
                <w:szCs w:val="20"/>
              </w:rPr>
              <w:t>4</w:t>
            </w:r>
            <w:r w:rsidRPr="00472CA4">
              <w:rPr>
                <w:rFonts w:ascii="Times New Roman" w:hAnsi="Times New Roman" w:cs="Times New Roman"/>
                <w:sz w:val="20"/>
                <w:szCs w:val="20"/>
              </w:rPr>
              <w:t>,</w:t>
            </w:r>
            <w:r w:rsidR="001C531B">
              <w:rPr>
                <w:rFonts w:ascii="Times New Roman" w:hAnsi="Times New Roman" w:cs="Times New Roman"/>
                <w:sz w:val="20"/>
                <w:szCs w:val="20"/>
              </w:rPr>
              <w:t>2</w:t>
            </w:r>
          </w:p>
        </w:tc>
        <w:tc>
          <w:tcPr>
            <w:tcW w:w="2120"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156,5</w:t>
            </w:r>
          </w:p>
        </w:tc>
      </w:tr>
      <w:tr>
        <w:tblPrEx>
          <w:tblW w:w="9379" w:type="dxa"/>
          <w:tblInd w:w="58" w:type="dxa"/>
          <w:tblLayout w:type="fixed"/>
          <w:tblCellMar>
            <w:left w:w="70" w:type="dxa"/>
            <w:right w:w="70" w:type="dxa"/>
          </w:tblCellMar>
        </w:tblPrEx>
        <w:trPr>
          <w:trHeight w:val="280"/>
        </w:trPr>
        <w:tc>
          <w:tcPr>
            <w:tcW w:w="1603"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FB6644" w:rsidRPr="00472CA4" w:rsidP="00FB6644">
            <w:pPr>
              <w:rPr>
                <w:rFonts w:ascii="Times New Roman" w:hAnsi="Times New Roman" w:cs="Times New Roman"/>
                <w:sz w:val="20"/>
                <w:szCs w:val="20"/>
              </w:rPr>
            </w:pPr>
            <w:r w:rsidRPr="00472CA4">
              <w:rPr>
                <w:rFonts w:ascii="Times New Roman" w:hAnsi="Times New Roman" w:cs="Times New Roman"/>
                <w:sz w:val="20"/>
                <w:szCs w:val="20"/>
              </w:rPr>
              <w:t>MP SR</w:t>
            </w:r>
          </w:p>
        </w:tc>
        <w:tc>
          <w:tcPr>
            <w:tcW w:w="19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2 027,1</w:t>
            </w:r>
          </w:p>
        </w:tc>
        <w:tc>
          <w:tcPr>
            <w:tcW w:w="1672"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799,9</w:t>
            </w:r>
          </w:p>
        </w:tc>
        <w:tc>
          <w:tcPr>
            <w:tcW w:w="204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1 959,4</w:t>
            </w:r>
          </w:p>
        </w:tc>
        <w:tc>
          <w:tcPr>
            <w:tcW w:w="2120"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1 818,4</w:t>
            </w:r>
          </w:p>
        </w:tc>
      </w:tr>
      <w:tr>
        <w:tblPrEx>
          <w:tblW w:w="9379" w:type="dxa"/>
          <w:tblInd w:w="58" w:type="dxa"/>
          <w:tblLayout w:type="fixed"/>
          <w:tblCellMar>
            <w:left w:w="70" w:type="dxa"/>
            <w:right w:w="70" w:type="dxa"/>
          </w:tblCellMar>
        </w:tblPrEx>
        <w:trPr>
          <w:trHeight w:val="280"/>
        </w:trPr>
        <w:tc>
          <w:tcPr>
            <w:tcW w:w="1603"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FB6644" w:rsidRPr="00472CA4" w:rsidP="00FB6644">
            <w:pPr>
              <w:rPr>
                <w:rFonts w:ascii="Times New Roman" w:hAnsi="Times New Roman" w:cs="Times New Roman"/>
                <w:sz w:val="20"/>
                <w:szCs w:val="20"/>
              </w:rPr>
            </w:pPr>
            <w:r w:rsidRPr="00472CA4">
              <w:rPr>
                <w:rFonts w:ascii="Times New Roman" w:hAnsi="Times New Roman" w:cs="Times New Roman"/>
                <w:sz w:val="20"/>
                <w:szCs w:val="20"/>
              </w:rPr>
              <w:t>MVRR SR</w:t>
            </w:r>
          </w:p>
        </w:tc>
        <w:tc>
          <w:tcPr>
            <w:tcW w:w="19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1 610,4</w:t>
            </w:r>
          </w:p>
        </w:tc>
        <w:tc>
          <w:tcPr>
            <w:tcW w:w="1672"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650,9</w:t>
            </w:r>
          </w:p>
        </w:tc>
        <w:tc>
          <w:tcPr>
            <w:tcW w:w="204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1 389,1</w:t>
            </w:r>
          </w:p>
        </w:tc>
        <w:tc>
          <w:tcPr>
            <w:tcW w:w="2120"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329,6</w:t>
            </w:r>
          </w:p>
        </w:tc>
      </w:tr>
      <w:tr>
        <w:tblPrEx>
          <w:tblW w:w="9379" w:type="dxa"/>
          <w:tblInd w:w="58" w:type="dxa"/>
          <w:tblLayout w:type="fixed"/>
          <w:tblCellMar>
            <w:left w:w="70" w:type="dxa"/>
            <w:right w:w="70" w:type="dxa"/>
          </w:tblCellMar>
        </w:tblPrEx>
        <w:trPr>
          <w:trHeight w:val="280"/>
        </w:trPr>
        <w:tc>
          <w:tcPr>
            <w:tcW w:w="1603"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FB6644" w:rsidRPr="00472CA4" w:rsidP="00FB6644">
            <w:pPr>
              <w:rPr>
                <w:rFonts w:ascii="Times New Roman" w:hAnsi="Times New Roman" w:cs="Times New Roman"/>
                <w:sz w:val="20"/>
                <w:szCs w:val="20"/>
              </w:rPr>
            </w:pPr>
            <w:r w:rsidRPr="00472CA4">
              <w:rPr>
                <w:rFonts w:ascii="Times New Roman" w:hAnsi="Times New Roman" w:cs="Times New Roman"/>
                <w:sz w:val="20"/>
                <w:szCs w:val="20"/>
              </w:rPr>
              <w:t>MDPT SR</w:t>
            </w:r>
          </w:p>
        </w:tc>
        <w:tc>
          <w:tcPr>
            <w:tcW w:w="19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2 833,3</w:t>
            </w:r>
          </w:p>
        </w:tc>
        <w:tc>
          <w:tcPr>
            <w:tcW w:w="1672"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259,5</w:t>
            </w:r>
          </w:p>
        </w:tc>
        <w:tc>
          <w:tcPr>
            <w:tcW w:w="204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2 </w:t>
            </w:r>
            <w:r w:rsidRPr="00472CA4">
              <w:rPr>
                <w:rFonts w:ascii="Times New Roman" w:hAnsi="Times New Roman" w:cs="Times New Roman"/>
                <w:sz w:val="20"/>
                <w:szCs w:val="20"/>
              </w:rPr>
              <w:t>017,5</w:t>
            </w:r>
          </w:p>
        </w:tc>
        <w:tc>
          <w:tcPr>
            <w:tcW w:w="2120"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602,2</w:t>
            </w:r>
          </w:p>
        </w:tc>
      </w:tr>
      <w:tr>
        <w:tblPrEx>
          <w:tblW w:w="9379" w:type="dxa"/>
          <w:tblInd w:w="58" w:type="dxa"/>
          <w:tblLayout w:type="fixed"/>
          <w:tblCellMar>
            <w:left w:w="70" w:type="dxa"/>
            <w:right w:w="70" w:type="dxa"/>
          </w:tblCellMar>
        </w:tblPrEx>
        <w:trPr>
          <w:trHeight w:val="280"/>
        </w:trPr>
        <w:tc>
          <w:tcPr>
            <w:tcW w:w="1603"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FB6644" w:rsidRPr="00472CA4" w:rsidP="00FB6644">
            <w:pPr>
              <w:rPr>
                <w:rFonts w:ascii="Times New Roman" w:hAnsi="Times New Roman" w:cs="Times New Roman"/>
                <w:sz w:val="20"/>
                <w:szCs w:val="20"/>
              </w:rPr>
            </w:pPr>
            <w:r w:rsidRPr="00472CA4">
              <w:rPr>
                <w:rFonts w:ascii="Times New Roman" w:hAnsi="Times New Roman" w:cs="Times New Roman"/>
                <w:sz w:val="20"/>
                <w:szCs w:val="20"/>
              </w:rPr>
              <w:t>MŽP SR</w:t>
            </w:r>
          </w:p>
        </w:tc>
        <w:tc>
          <w:tcPr>
            <w:tcW w:w="19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1 130,4</w:t>
            </w:r>
          </w:p>
        </w:tc>
        <w:tc>
          <w:tcPr>
            <w:tcW w:w="1672"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414,9</w:t>
            </w:r>
          </w:p>
        </w:tc>
        <w:tc>
          <w:tcPr>
            <w:tcW w:w="204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1 114,9</w:t>
            </w:r>
          </w:p>
        </w:tc>
        <w:tc>
          <w:tcPr>
            <w:tcW w:w="2120"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212,0</w:t>
            </w:r>
          </w:p>
        </w:tc>
      </w:tr>
      <w:tr>
        <w:tblPrEx>
          <w:tblW w:w="9379" w:type="dxa"/>
          <w:tblInd w:w="58" w:type="dxa"/>
          <w:tblLayout w:type="fixed"/>
          <w:tblCellMar>
            <w:left w:w="70" w:type="dxa"/>
            <w:right w:w="70" w:type="dxa"/>
          </w:tblCellMar>
        </w:tblPrEx>
        <w:trPr>
          <w:trHeight w:val="295"/>
        </w:trPr>
        <w:tc>
          <w:tcPr>
            <w:tcW w:w="1603"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FB6644" w:rsidRPr="00472CA4" w:rsidP="00FB6644">
            <w:pPr>
              <w:rPr>
                <w:rFonts w:ascii="Times New Roman" w:hAnsi="Times New Roman" w:cs="Times New Roman"/>
                <w:sz w:val="20"/>
                <w:szCs w:val="20"/>
              </w:rPr>
            </w:pPr>
            <w:r w:rsidRPr="00472CA4">
              <w:rPr>
                <w:rFonts w:ascii="Times New Roman" w:hAnsi="Times New Roman" w:cs="Times New Roman"/>
                <w:sz w:val="20"/>
                <w:szCs w:val="20"/>
              </w:rPr>
              <w:t>MH SR</w:t>
            </w:r>
          </w:p>
        </w:tc>
        <w:tc>
          <w:tcPr>
            <w:tcW w:w="19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1 460,9</w:t>
            </w:r>
          </w:p>
        </w:tc>
        <w:tc>
          <w:tcPr>
            <w:tcW w:w="1672"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606,4</w:t>
            </w:r>
          </w:p>
        </w:tc>
        <w:tc>
          <w:tcPr>
            <w:tcW w:w="204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1 647,8</w:t>
            </w:r>
          </w:p>
        </w:tc>
        <w:tc>
          <w:tcPr>
            <w:tcW w:w="2120"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844,0</w:t>
            </w:r>
          </w:p>
        </w:tc>
      </w:tr>
      <w:tr>
        <w:tblPrEx>
          <w:tblW w:w="9379" w:type="dxa"/>
          <w:tblInd w:w="58" w:type="dxa"/>
          <w:tblLayout w:type="fixed"/>
          <w:tblCellMar>
            <w:left w:w="70" w:type="dxa"/>
            <w:right w:w="70" w:type="dxa"/>
          </w:tblCellMar>
        </w:tblPrEx>
        <w:trPr>
          <w:trHeight w:val="295"/>
        </w:trPr>
        <w:tc>
          <w:tcPr>
            <w:tcW w:w="1603" w:type="dxa"/>
            <w:tcBorders>
              <w:top w:val="single" w:sz="4" w:space="0" w:color="auto"/>
              <w:left w:val="single" w:sz="8" w:space="0" w:color="auto"/>
              <w:bottom w:val="double" w:sz="6" w:space="0" w:color="auto"/>
              <w:right w:val="single" w:sz="4" w:space="0" w:color="auto"/>
              <w:tl2br w:val="nil"/>
              <w:tr2bl w:val="nil"/>
            </w:tcBorders>
            <w:noWrap/>
            <w:textDirection w:val="lrTb"/>
            <w:vAlign w:val="bottom"/>
          </w:tcPr>
          <w:p w:rsidR="00FB6644" w:rsidRPr="005B3CDB" w:rsidP="00FB6644">
            <w:pPr>
              <w:rPr>
                <w:rFonts w:ascii="Times New Roman" w:hAnsi="Times New Roman" w:cs="Times New Roman"/>
                <w:b/>
                <w:sz w:val="20"/>
                <w:szCs w:val="20"/>
              </w:rPr>
            </w:pPr>
            <w:r w:rsidRPr="005B3CDB">
              <w:rPr>
                <w:rFonts w:ascii="Times New Roman" w:hAnsi="Times New Roman" w:cs="Times New Roman"/>
                <w:b/>
                <w:sz w:val="20"/>
                <w:szCs w:val="20"/>
              </w:rPr>
              <w:t>Spolu</w:t>
            </w:r>
          </w:p>
        </w:tc>
        <w:tc>
          <w:tcPr>
            <w:tcW w:w="1940"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FB6644" w:rsidRPr="005B3CDB" w:rsidP="00FB6644">
            <w:pPr>
              <w:jc w:val="right"/>
              <w:rPr>
                <w:rFonts w:ascii="Times New Roman" w:hAnsi="Times New Roman" w:cs="Times New Roman"/>
                <w:b/>
                <w:bCs/>
                <w:sz w:val="20"/>
                <w:szCs w:val="20"/>
              </w:rPr>
            </w:pPr>
            <w:r w:rsidRPr="005B3CDB">
              <w:rPr>
                <w:rFonts w:ascii="Times New Roman" w:hAnsi="Times New Roman" w:cs="Times New Roman"/>
                <w:b/>
                <w:bCs/>
                <w:sz w:val="20"/>
                <w:szCs w:val="20"/>
              </w:rPr>
              <w:t>12 099,9</w:t>
            </w:r>
          </w:p>
        </w:tc>
        <w:tc>
          <w:tcPr>
            <w:tcW w:w="1672"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FB6644" w:rsidRPr="005B3CDB" w:rsidP="00FB6644">
            <w:pPr>
              <w:jc w:val="right"/>
              <w:rPr>
                <w:rFonts w:ascii="Times New Roman" w:hAnsi="Times New Roman" w:cs="Times New Roman"/>
                <w:b/>
                <w:bCs/>
                <w:sz w:val="20"/>
                <w:szCs w:val="20"/>
              </w:rPr>
            </w:pPr>
            <w:r w:rsidRPr="005B3CDB">
              <w:rPr>
                <w:rFonts w:ascii="Times New Roman" w:hAnsi="Times New Roman" w:cs="Times New Roman"/>
                <w:b/>
                <w:bCs/>
                <w:sz w:val="20"/>
                <w:szCs w:val="20"/>
              </w:rPr>
              <w:t>3 897,4</w:t>
            </w:r>
          </w:p>
        </w:tc>
        <w:tc>
          <w:tcPr>
            <w:tcW w:w="2044"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FB6644" w:rsidRPr="005B3CDB" w:rsidP="00FB6644">
            <w:pPr>
              <w:jc w:val="right"/>
              <w:rPr>
                <w:rFonts w:ascii="Times New Roman" w:hAnsi="Times New Roman" w:cs="Times New Roman"/>
                <w:b/>
                <w:bCs/>
                <w:sz w:val="20"/>
                <w:szCs w:val="20"/>
              </w:rPr>
            </w:pPr>
            <w:r w:rsidRPr="005B3CDB">
              <w:rPr>
                <w:rFonts w:ascii="Times New Roman" w:hAnsi="Times New Roman" w:cs="Times New Roman"/>
                <w:b/>
                <w:bCs/>
                <w:sz w:val="20"/>
                <w:szCs w:val="20"/>
              </w:rPr>
              <w:t>11 2</w:t>
            </w:r>
            <w:r w:rsidR="001C531B">
              <w:rPr>
                <w:rFonts w:ascii="Times New Roman" w:hAnsi="Times New Roman" w:cs="Times New Roman"/>
                <w:b/>
                <w:bCs/>
                <w:sz w:val="20"/>
                <w:szCs w:val="20"/>
              </w:rPr>
              <w:t>58</w:t>
            </w:r>
            <w:r w:rsidRPr="005B3CDB">
              <w:rPr>
                <w:rFonts w:ascii="Times New Roman" w:hAnsi="Times New Roman" w:cs="Times New Roman"/>
                <w:b/>
                <w:bCs/>
                <w:sz w:val="20"/>
                <w:szCs w:val="20"/>
              </w:rPr>
              <w:t>,</w:t>
            </w:r>
            <w:r w:rsidR="001C531B">
              <w:rPr>
                <w:rFonts w:ascii="Times New Roman" w:hAnsi="Times New Roman" w:cs="Times New Roman"/>
                <w:b/>
                <w:bCs/>
                <w:sz w:val="20"/>
                <w:szCs w:val="20"/>
              </w:rPr>
              <w:t>6</w:t>
            </w:r>
          </w:p>
        </w:tc>
        <w:tc>
          <w:tcPr>
            <w:tcW w:w="2120" w:type="dxa"/>
            <w:tcBorders>
              <w:top w:val="single" w:sz="4" w:space="0" w:color="auto"/>
              <w:left w:val="single" w:sz="4" w:space="0" w:color="auto"/>
              <w:bottom w:val="double" w:sz="6" w:space="0" w:color="auto"/>
              <w:right w:val="single" w:sz="8" w:space="0" w:color="auto"/>
              <w:tl2br w:val="nil"/>
              <w:tr2bl w:val="nil"/>
            </w:tcBorders>
            <w:noWrap/>
            <w:textDirection w:val="lrTb"/>
            <w:vAlign w:val="bottom"/>
          </w:tcPr>
          <w:p w:rsidR="00FB6644" w:rsidRPr="005B3CDB" w:rsidP="00FB6644">
            <w:pPr>
              <w:jc w:val="right"/>
              <w:rPr>
                <w:rFonts w:ascii="Times New Roman" w:hAnsi="Times New Roman" w:cs="Times New Roman"/>
                <w:b/>
                <w:bCs/>
                <w:sz w:val="20"/>
                <w:szCs w:val="20"/>
              </w:rPr>
            </w:pPr>
            <w:r w:rsidRPr="005B3CDB">
              <w:rPr>
                <w:rFonts w:ascii="Times New Roman" w:hAnsi="Times New Roman" w:cs="Times New Roman"/>
                <w:b/>
                <w:bCs/>
                <w:sz w:val="20"/>
                <w:szCs w:val="20"/>
              </w:rPr>
              <w:t>4 902,6</w:t>
            </w:r>
          </w:p>
        </w:tc>
      </w:tr>
    </w:tbl>
    <w:p w:rsidR="00A42301" w:rsidP="000E5726">
      <w:pPr>
        <w:pStyle w:val="Heading4"/>
        <w:spacing w:before="120"/>
        <w:jc w:val="both"/>
        <w:rPr>
          <w:rFonts w:ascii="Times New Roman" w:hAnsi="Times New Roman" w:cs="Times New Roman"/>
          <w:b w:val="0"/>
          <w:sz w:val="20"/>
          <w:szCs w:val="20"/>
        </w:rPr>
      </w:pPr>
      <w:r w:rsidRPr="005B3CDB" w:rsidR="005B3CDB">
        <w:rPr>
          <w:rFonts w:ascii="Times New Roman" w:hAnsi="Times New Roman" w:cs="Times New Roman"/>
          <w:b w:val="0"/>
          <w:sz w:val="20"/>
          <w:szCs w:val="20"/>
        </w:rPr>
        <w:t xml:space="preserve">* bez </w:t>
      </w:r>
      <w:r>
        <w:rPr>
          <w:rFonts w:ascii="Times New Roman" w:hAnsi="Times New Roman" w:cs="Times New Roman"/>
          <w:b w:val="0"/>
          <w:sz w:val="20"/>
          <w:szCs w:val="20"/>
        </w:rPr>
        <w:t>zohľadnenia vrátených prostriedkov z titulu nezrovnalostí a vratiek</w:t>
      </w:r>
    </w:p>
    <w:p w:rsidR="00A42301" w:rsidRPr="00A42301" w:rsidP="000E5726">
      <w:pPr>
        <w:rPr>
          <w:rFonts w:ascii="Times New Roman" w:hAnsi="Times New Roman" w:cs="Times New Roman"/>
          <w:sz w:val="20"/>
          <w:szCs w:val="20"/>
        </w:rPr>
      </w:pPr>
      <w:r>
        <w:rPr>
          <w:rFonts w:ascii="Times New Roman" w:hAnsi="Times New Roman" w:cs="Times New Roman"/>
          <w:sz w:val="20"/>
          <w:szCs w:val="20"/>
        </w:rPr>
        <w:t>** bez spolufinancovania z úveru EIB</w:t>
      </w:r>
    </w:p>
    <w:p w:rsidR="0083017F" w:rsidRPr="005B3CDB" w:rsidP="005B3CDB">
      <w:pPr>
        <w:pStyle w:val="Heading4"/>
        <w:spacing w:before="120" w:after="120" w:line="360" w:lineRule="auto"/>
        <w:jc w:val="both"/>
        <w:rPr>
          <w:rFonts w:ascii="Times New Roman" w:hAnsi="Times New Roman" w:cs="Times New Roman"/>
          <w:b w:val="0"/>
          <w:sz w:val="20"/>
          <w:szCs w:val="20"/>
        </w:rPr>
      </w:pPr>
      <w:r w:rsidR="00A42301">
        <w:rPr>
          <w:rFonts w:ascii="Times New Roman" w:hAnsi="Times New Roman" w:cs="Times New Roman"/>
          <w:b w:val="0"/>
          <w:sz w:val="20"/>
          <w:szCs w:val="20"/>
        </w:rPr>
        <w:t xml:space="preserve"> </w:t>
      </w:r>
    </w:p>
    <w:p w:rsidR="00FB6644" w:rsidRPr="00FB6644" w:rsidP="00FB0B78">
      <w:pPr>
        <w:pStyle w:val="Heading4"/>
        <w:spacing w:before="120" w:after="120" w:line="360" w:lineRule="auto"/>
        <w:jc w:val="center"/>
        <w:rPr>
          <w:rFonts w:ascii="Times New Roman" w:hAnsi="Times New Roman" w:cs="Times New Roman"/>
          <w:sz w:val="24"/>
        </w:rPr>
      </w:pPr>
      <w:r w:rsidRPr="00FB6644">
        <w:rPr>
          <w:rFonts w:ascii="Times New Roman" w:hAnsi="Times New Roman" w:cs="Times New Roman"/>
          <w:sz w:val="24"/>
        </w:rPr>
        <w:t>2.3.2.2.1. Výdavky na použitie prostriedkov z rozpočtu Európskej únie na realizáciu spoločných programov Slovenskej republiky a Európskej únie zaradených do výdavkov štátneho rozpočtu</w:t>
      </w:r>
    </w:p>
    <w:p w:rsidR="00FB6644" w:rsidRPr="00FB6644" w:rsidP="00FB6644">
      <w:pPr>
        <w:pStyle w:val="Heading4"/>
        <w:spacing w:before="120" w:after="120" w:line="360" w:lineRule="auto"/>
        <w:rPr>
          <w:rFonts w:ascii="Times New Roman" w:hAnsi="Times New Roman" w:cs="Times New Roman"/>
          <w:color w:val="FF0000"/>
          <w:sz w:val="24"/>
          <w:u w:val="single"/>
        </w:rPr>
      </w:pPr>
      <w:r w:rsidRPr="00FB6644">
        <w:rPr>
          <w:rFonts w:ascii="Times New Roman" w:hAnsi="Times New Roman" w:cs="Times New Roman"/>
          <w:sz w:val="24"/>
          <w:u w:val="single"/>
        </w:rPr>
        <w:t>A. Záručná sekcia EAGGF</w:t>
      </w:r>
    </w:p>
    <w:p w:rsidR="00FB6644" w:rsidRPr="00FB6644" w:rsidP="00FB6644">
      <w:pPr>
        <w:spacing w:before="120" w:after="120" w:line="360" w:lineRule="auto"/>
        <w:ind w:firstLine="709"/>
        <w:jc w:val="both"/>
        <w:rPr>
          <w:rFonts w:ascii="Times New Roman" w:hAnsi="Times New Roman" w:cs="Times New Roman"/>
        </w:rPr>
      </w:pPr>
      <w:r w:rsidRPr="00FB6644">
        <w:rPr>
          <w:rFonts w:ascii="Times New Roman" w:hAnsi="Times New Roman" w:cs="Times New Roman"/>
        </w:rPr>
        <w:t>Slovensko mohlo v roku 2006 čerpať finančné prostriedky z trhovo o</w:t>
      </w:r>
      <w:r w:rsidRPr="00FB6644">
        <w:rPr>
          <w:rFonts w:ascii="Times New Roman" w:hAnsi="Times New Roman" w:cs="Times New Roman"/>
        </w:rPr>
        <w:t>rientovaných výdavkov, priamych platieb a rozvoja vidieka.</w:t>
      </w:r>
    </w:p>
    <w:p w:rsidR="00FB6644" w:rsidRPr="00FB6644" w:rsidP="00FB6644">
      <w:pPr>
        <w:spacing w:before="120" w:after="120" w:line="360" w:lineRule="auto"/>
        <w:ind w:firstLine="708"/>
        <w:jc w:val="both"/>
        <w:rPr>
          <w:rFonts w:ascii="Times New Roman" w:hAnsi="Times New Roman" w:cs="Times New Roman"/>
          <w:b/>
          <w:bCs/>
        </w:rPr>
      </w:pPr>
      <w:r w:rsidRPr="00FB6644">
        <w:rPr>
          <w:rFonts w:ascii="Times New Roman" w:hAnsi="Times New Roman" w:cs="Times New Roman"/>
          <w:bCs/>
        </w:rPr>
        <w:t>Podrobnejšie údaje o výdavkoch zo záručnej sekcie EAGGF sú uvedené v nasledujúcich tabuľkách (v mil. Sk):</w:t>
      </w:r>
      <w:r w:rsidRPr="00FB6644">
        <w:rPr>
          <w:rFonts w:ascii="Times New Roman" w:hAnsi="Times New Roman" w:cs="Times New Roman"/>
          <w:b/>
          <w:bCs/>
        </w:rPr>
        <w:t xml:space="preserve"> </w:t>
      </w:r>
    </w:p>
    <w:p w:rsidR="003F1E58">
      <w:pPr>
        <w:rPr>
          <w:rFonts w:ascii="Times New Roman" w:hAnsi="Times New Roman" w:cs="Times New Roman"/>
        </w:rPr>
      </w:pPr>
      <w:r>
        <w:rPr>
          <w:rFonts w:ascii="Times New Roman" w:hAnsi="Times New Roman" w:cs="Times New Roman"/>
        </w:rPr>
        <w:br w:type="page"/>
      </w:r>
    </w:p>
    <w:tbl>
      <w:tblPr>
        <w:tblW w:w="9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70" w:type="dxa"/>
          <w:bottom w:w="0" w:type="dxa"/>
          <w:right w:w="70" w:type="dxa"/>
        </w:tblCellMar>
      </w:tblPr>
      <w:tblGrid>
        <w:gridCol w:w="1908"/>
        <w:gridCol w:w="1222"/>
        <w:gridCol w:w="1080"/>
        <w:gridCol w:w="1004"/>
        <w:gridCol w:w="1156"/>
        <w:gridCol w:w="1080"/>
        <w:gridCol w:w="1080"/>
        <w:gridCol w:w="1080"/>
      </w:tblGrid>
      <w:tr>
        <w:tblPrEx>
          <w:tblW w:w="9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70" w:type="dxa"/>
            <w:bottom w:w="0" w:type="dxa"/>
            <w:right w:w="70" w:type="dxa"/>
          </w:tblCellMar>
        </w:tblPrEx>
        <w:trPr>
          <w:cantSplit/>
          <w:trHeight w:val="291"/>
        </w:trPr>
        <w:tc>
          <w:tcPr>
            <w:tcW w:w="190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top"/>
          </w:tcPr>
          <w:p w:rsidR="00FB6644" w:rsidRPr="00472CA4" w:rsidP="00FB6644">
            <w:pPr>
              <w:jc w:val="both"/>
              <w:rPr>
                <w:rFonts w:ascii="Times New Roman" w:hAnsi="Times New Roman" w:cs="Times New Roman"/>
                <w:sz w:val="20"/>
                <w:szCs w:val="20"/>
              </w:rPr>
            </w:pPr>
          </w:p>
        </w:tc>
        <w:tc>
          <w:tcPr>
            <w:tcW w:w="1222" w:type="dxa"/>
            <w:vMerge w:val="restart"/>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Skutočnosť 2005</w:t>
            </w:r>
          </w:p>
        </w:tc>
        <w:tc>
          <w:tcPr>
            <w:tcW w:w="2084" w:type="dxa"/>
            <w:gridSpan w:val="2"/>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Rozpočet 2006</w:t>
            </w:r>
          </w:p>
        </w:tc>
        <w:tc>
          <w:tcPr>
            <w:tcW w:w="1156" w:type="dxa"/>
            <w:vMerge w:val="restart"/>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Skutočnosť 2006</w:t>
            </w:r>
          </w:p>
        </w:tc>
        <w:tc>
          <w:tcPr>
            <w:tcW w:w="1080" w:type="dxa"/>
            <w:vMerge w:val="restart"/>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Plnenie v %</w:t>
            </w:r>
          </w:p>
        </w:tc>
        <w:tc>
          <w:tcPr>
            <w:tcW w:w="1080" w:type="dxa"/>
            <w:vMerge w:val="restart"/>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Rozdiel 2005-2006</w:t>
            </w:r>
          </w:p>
        </w:tc>
        <w:tc>
          <w:tcPr>
            <w:tcW w:w="1080" w:type="dxa"/>
            <w:vMerge w:val="restart"/>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lang w:val="en-US"/>
              </w:rPr>
            </w:pPr>
            <w:r w:rsidRPr="00472CA4">
              <w:rPr>
                <w:rFonts w:ascii="Times New Roman" w:hAnsi="Times New Roman" w:cs="Times New Roman"/>
                <w:b/>
                <w:bCs/>
                <w:sz w:val="20"/>
                <w:szCs w:val="20"/>
              </w:rPr>
              <w:t>Index 2006/</w:t>
            </w:r>
            <w:r w:rsidRPr="00472CA4">
              <w:rPr>
                <w:rFonts w:ascii="Times New Roman" w:hAnsi="Times New Roman" w:cs="Times New Roman"/>
                <w:b/>
                <w:bCs/>
                <w:sz w:val="20"/>
                <w:szCs w:val="20"/>
                <w:lang w:val="en-US"/>
              </w:rPr>
              <w:t>2005</w:t>
            </w:r>
          </w:p>
        </w:tc>
      </w:tr>
      <w:tr>
        <w:tblPrEx>
          <w:tblW w:w="9610" w:type="dxa"/>
          <w:tblLayout w:type="fixed"/>
          <w:tblCellMar>
            <w:top w:w="0" w:type="dxa"/>
            <w:left w:w="70" w:type="dxa"/>
            <w:bottom w:w="0" w:type="dxa"/>
            <w:right w:w="70" w:type="dxa"/>
          </w:tblCellMar>
        </w:tblPrEx>
        <w:trPr>
          <w:cantSplit/>
          <w:trHeight w:val="147"/>
        </w:trPr>
        <w:tc>
          <w:tcPr>
            <w:tcW w:w="1908" w:type="dxa"/>
            <w:vMerge/>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top"/>
          </w:tcPr>
          <w:p w:rsidR="00FB6644" w:rsidRPr="00472CA4" w:rsidP="00FB6644">
            <w:pPr>
              <w:jc w:val="both"/>
              <w:rPr>
                <w:rFonts w:ascii="Times New Roman" w:hAnsi="Times New Roman" w:cs="Times New Roman"/>
                <w:sz w:val="20"/>
                <w:szCs w:val="20"/>
              </w:rPr>
            </w:pPr>
          </w:p>
        </w:tc>
        <w:tc>
          <w:tcPr>
            <w:tcW w:w="1222" w:type="dxa"/>
            <w:vMerge/>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c>
          <w:tcPr>
            <w:tcW w:w="1080" w:type="dxa"/>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Schválený</w:t>
            </w:r>
          </w:p>
        </w:tc>
        <w:tc>
          <w:tcPr>
            <w:tcW w:w="1004" w:type="dxa"/>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Upravený</w:t>
            </w:r>
          </w:p>
        </w:tc>
        <w:tc>
          <w:tcPr>
            <w:tcW w:w="1156" w:type="dxa"/>
            <w:vMerge/>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c>
          <w:tcPr>
            <w:tcW w:w="1080" w:type="dxa"/>
            <w:vMerge/>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c>
          <w:tcPr>
            <w:tcW w:w="1080" w:type="dxa"/>
            <w:vMerge/>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c>
          <w:tcPr>
            <w:tcW w:w="1080" w:type="dxa"/>
            <w:vMerge/>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r>
      <w:tr>
        <w:tblPrEx>
          <w:tblW w:w="9610" w:type="dxa"/>
          <w:tblLayout w:type="fixed"/>
          <w:tblCellMar>
            <w:top w:w="0" w:type="dxa"/>
            <w:left w:w="70" w:type="dxa"/>
            <w:bottom w:w="0" w:type="dxa"/>
            <w:right w:w="70" w:type="dxa"/>
          </w:tblCellMar>
        </w:tblPrEx>
        <w:trPr>
          <w:cantSplit/>
          <w:trHeight w:val="51"/>
        </w:trPr>
        <w:tc>
          <w:tcPr>
            <w:tcW w:w="1908" w:type="dxa"/>
            <w:vMerge/>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top"/>
          </w:tcPr>
          <w:p w:rsidR="00FB6644" w:rsidRPr="00472CA4" w:rsidP="00FB6644">
            <w:pPr>
              <w:jc w:val="both"/>
              <w:rPr>
                <w:rFonts w:ascii="Times New Roman" w:hAnsi="Times New Roman" w:cs="Times New Roman"/>
                <w:sz w:val="20"/>
                <w:szCs w:val="20"/>
              </w:rPr>
            </w:pPr>
          </w:p>
        </w:tc>
        <w:tc>
          <w:tcPr>
            <w:tcW w:w="1222" w:type="dxa"/>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1</w:t>
            </w:r>
          </w:p>
        </w:tc>
        <w:tc>
          <w:tcPr>
            <w:tcW w:w="1080" w:type="dxa"/>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2</w:t>
            </w:r>
          </w:p>
        </w:tc>
        <w:tc>
          <w:tcPr>
            <w:tcW w:w="1004" w:type="dxa"/>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3</w:t>
            </w:r>
          </w:p>
        </w:tc>
        <w:tc>
          <w:tcPr>
            <w:tcW w:w="1156" w:type="dxa"/>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4</w:t>
            </w:r>
          </w:p>
        </w:tc>
        <w:tc>
          <w:tcPr>
            <w:tcW w:w="1080" w:type="dxa"/>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5= 4/3*100</w:t>
            </w:r>
          </w:p>
        </w:tc>
        <w:tc>
          <w:tcPr>
            <w:tcW w:w="1080" w:type="dxa"/>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6= 4 – 1</w:t>
            </w:r>
          </w:p>
        </w:tc>
        <w:tc>
          <w:tcPr>
            <w:tcW w:w="1080" w:type="dxa"/>
            <w:tcBorders>
              <w:top w:val="single" w:sz="8" w:space="0" w:color="auto"/>
              <w:left w:val="single" w:sz="8" w:space="0" w:color="auto"/>
              <w:bottom w:val="single" w:sz="8" w:space="0" w:color="auto"/>
              <w:right w:val="single" w:sz="8"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7=4/1*100</w:t>
            </w:r>
          </w:p>
        </w:tc>
      </w:tr>
      <w:tr>
        <w:tblPrEx>
          <w:tblW w:w="9610" w:type="dxa"/>
          <w:tblInd w:w="-60" w:type="dxa"/>
          <w:tblLayout w:type="fixed"/>
          <w:tblCellMar>
            <w:top w:w="0" w:type="dxa"/>
            <w:left w:w="70" w:type="dxa"/>
            <w:bottom w:w="0" w:type="dxa"/>
            <w:right w:w="70" w:type="dxa"/>
          </w:tblCellMar>
        </w:tblPrEx>
        <w:trPr>
          <w:trHeight w:val="307"/>
        </w:trPr>
        <w:tc>
          <w:tcPr>
            <w:tcW w:w="1908" w:type="dxa"/>
            <w:tcBorders>
              <w:top w:val="single" w:sz="8" w:space="0" w:color="auto"/>
              <w:left w:val="single" w:sz="8" w:space="0" w:color="auto"/>
              <w:bottom w:val="single" w:sz="8" w:space="0" w:color="auto"/>
              <w:right w:val="single" w:sz="8" w:space="0" w:color="auto"/>
              <w:tl2br w:val="nil"/>
              <w:tr2bl w:val="nil"/>
            </w:tcBorders>
            <w:tcMar>
              <w:left w:w="0" w:type="dxa"/>
              <w:right w:w="0" w:type="dxa"/>
            </w:tcMar>
            <w:textDirection w:val="lrTb"/>
            <w:vAlign w:val="top"/>
          </w:tcPr>
          <w:p w:rsidR="00FB6644" w:rsidRPr="00472CA4" w:rsidP="00FB6644">
            <w:pPr>
              <w:rPr>
                <w:rFonts w:ascii="Times New Roman" w:hAnsi="Times New Roman" w:cs="Times New Roman"/>
                <w:sz w:val="20"/>
                <w:szCs w:val="20"/>
              </w:rPr>
            </w:pPr>
            <w:r w:rsidRPr="00472CA4">
              <w:rPr>
                <w:rFonts w:ascii="Times New Roman" w:hAnsi="Times New Roman" w:cs="Times New Roman"/>
                <w:sz w:val="20"/>
                <w:szCs w:val="20"/>
              </w:rPr>
              <w:t>Trhovo orientované výdavky</w:t>
            </w:r>
          </w:p>
        </w:tc>
        <w:tc>
          <w:tcPr>
            <w:tcW w:w="1222"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1 095,5</w:t>
            </w:r>
          </w:p>
        </w:tc>
        <w:tc>
          <w:tcPr>
            <w:tcW w:w="108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1 135,0</w:t>
            </w:r>
          </w:p>
        </w:tc>
        <w:tc>
          <w:tcPr>
            <w:tcW w:w="1004"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1 135,0</w:t>
            </w:r>
          </w:p>
        </w:tc>
        <w:tc>
          <w:tcPr>
            <w:tcW w:w="1156"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905,5</w:t>
            </w:r>
          </w:p>
        </w:tc>
        <w:tc>
          <w:tcPr>
            <w:tcW w:w="108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79,8</w:t>
            </w:r>
          </w:p>
        </w:tc>
        <w:tc>
          <w:tcPr>
            <w:tcW w:w="108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-190,0</w:t>
            </w:r>
          </w:p>
        </w:tc>
        <w:tc>
          <w:tcPr>
            <w:tcW w:w="108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82,7</w:t>
            </w:r>
          </w:p>
        </w:tc>
      </w:tr>
      <w:tr>
        <w:tblPrEx>
          <w:tblW w:w="9610" w:type="dxa"/>
          <w:tblInd w:w="-60" w:type="dxa"/>
          <w:tblLayout w:type="fixed"/>
          <w:tblCellMar>
            <w:top w:w="0" w:type="dxa"/>
            <w:left w:w="70" w:type="dxa"/>
            <w:bottom w:w="0" w:type="dxa"/>
            <w:right w:w="70" w:type="dxa"/>
          </w:tblCellMar>
        </w:tblPrEx>
        <w:trPr>
          <w:trHeight w:val="276"/>
        </w:trPr>
        <w:tc>
          <w:tcPr>
            <w:tcW w:w="1908" w:type="dxa"/>
            <w:tcBorders>
              <w:top w:val="single" w:sz="8" w:space="0" w:color="auto"/>
              <w:left w:val="single" w:sz="8" w:space="0" w:color="auto"/>
              <w:bottom w:val="single" w:sz="8" w:space="0" w:color="auto"/>
              <w:right w:val="single" w:sz="8" w:space="0" w:color="auto"/>
              <w:tl2br w:val="nil"/>
              <w:tr2bl w:val="nil"/>
            </w:tcBorders>
            <w:tcMar>
              <w:left w:w="0" w:type="dxa"/>
              <w:right w:w="0" w:type="dxa"/>
            </w:tcMar>
            <w:textDirection w:val="lrTb"/>
            <w:vAlign w:val="top"/>
          </w:tcPr>
          <w:p w:rsidR="00FB6644" w:rsidRPr="00472CA4" w:rsidP="00FB6644">
            <w:pPr>
              <w:rPr>
                <w:rFonts w:ascii="Times New Roman" w:hAnsi="Times New Roman" w:cs="Times New Roman"/>
                <w:sz w:val="20"/>
                <w:szCs w:val="20"/>
              </w:rPr>
            </w:pPr>
            <w:r w:rsidRPr="00472CA4">
              <w:rPr>
                <w:rFonts w:ascii="Times New Roman" w:hAnsi="Times New Roman" w:cs="Times New Roman"/>
                <w:sz w:val="20"/>
                <w:szCs w:val="20"/>
              </w:rPr>
              <w:t>Rozvoj vidieka</w:t>
            </w:r>
          </w:p>
        </w:tc>
        <w:tc>
          <w:tcPr>
            <w:tcW w:w="1222"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2 865,0</w:t>
            </w:r>
          </w:p>
        </w:tc>
        <w:tc>
          <w:tcPr>
            <w:tcW w:w="108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4 667,3</w:t>
            </w:r>
          </w:p>
        </w:tc>
        <w:tc>
          <w:tcPr>
            <w:tcW w:w="1004"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3 733,5</w:t>
            </w:r>
          </w:p>
        </w:tc>
        <w:tc>
          <w:tcPr>
            <w:tcW w:w="1156"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3 732,8</w:t>
            </w:r>
          </w:p>
        </w:tc>
        <w:tc>
          <w:tcPr>
            <w:tcW w:w="108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100,0</w:t>
            </w:r>
          </w:p>
        </w:tc>
        <w:tc>
          <w:tcPr>
            <w:tcW w:w="108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867,8</w:t>
            </w:r>
          </w:p>
        </w:tc>
        <w:tc>
          <w:tcPr>
            <w:tcW w:w="108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130,3</w:t>
            </w:r>
          </w:p>
        </w:tc>
      </w:tr>
      <w:tr>
        <w:tblPrEx>
          <w:tblW w:w="9610" w:type="dxa"/>
          <w:tblInd w:w="-60" w:type="dxa"/>
          <w:tblLayout w:type="fixed"/>
          <w:tblCellMar>
            <w:top w:w="0" w:type="dxa"/>
            <w:left w:w="70" w:type="dxa"/>
            <w:bottom w:w="0" w:type="dxa"/>
            <w:right w:w="70" w:type="dxa"/>
          </w:tblCellMar>
        </w:tblPrEx>
        <w:trPr>
          <w:trHeight w:val="276"/>
        </w:trPr>
        <w:tc>
          <w:tcPr>
            <w:tcW w:w="1908" w:type="dxa"/>
            <w:tcBorders>
              <w:top w:val="single" w:sz="8" w:space="0" w:color="auto"/>
              <w:left w:val="single" w:sz="8" w:space="0" w:color="auto"/>
              <w:bottom w:val="single" w:sz="8" w:space="0" w:color="auto"/>
              <w:right w:val="single" w:sz="8" w:space="0" w:color="auto"/>
              <w:tl2br w:val="nil"/>
              <w:tr2bl w:val="nil"/>
            </w:tcBorders>
            <w:tcMar>
              <w:left w:w="0" w:type="dxa"/>
              <w:right w:w="0" w:type="dxa"/>
            </w:tcMar>
            <w:textDirection w:val="lrTb"/>
            <w:vAlign w:val="top"/>
          </w:tcPr>
          <w:p w:rsidR="00FB6644" w:rsidRPr="00472CA4" w:rsidP="00FB6644">
            <w:pPr>
              <w:rPr>
                <w:rFonts w:ascii="Times New Roman" w:hAnsi="Times New Roman" w:cs="Times New Roman"/>
                <w:sz w:val="20"/>
                <w:szCs w:val="20"/>
              </w:rPr>
            </w:pPr>
            <w:r w:rsidRPr="00472CA4">
              <w:rPr>
                <w:rFonts w:ascii="Times New Roman" w:hAnsi="Times New Roman" w:cs="Times New Roman"/>
                <w:sz w:val="20"/>
                <w:szCs w:val="20"/>
              </w:rPr>
              <w:t>Priame platby</w:t>
            </w:r>
          </w:p>
        </w:tc>
        <w:tc>
          <w:tcPr>
            <w:tcW w:w="1222"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4 124,7</w:t>
            </w:r>
          </w:p>
        </w:tc>
        <w:tc>
          <w:tcPr>
            <w:tcW w:w="108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4 604,2</w:t>
            </w:r>
          </w:p>
        </w:tc>
        <w:tc>
          <w:tcPr>
            <w:tcW w:w="1004"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4 406,4</w:t>
            </w:r>
          </w:p>
        </w:tc>
        <w:tc>
          <w:tcPr>
            <w:tcW w:w="1156"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4 406,4</w:t>
            </w:r>
          </w:p>
        </w:tc>
        <w:tc>
          <w:tcPr>
            <w:tcW w:w="108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100,0</w:t>
            </w:r>
          </w:p>
        </w:tc>
        <w:tc>
          <w:tcPr>
            <w:tcW w:w="108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281,7</w:t>
            </w:r>
          </w:p>
        </w:tc>
        <w:tc>
          <w:tcPr>
            <w:tcW w:w="108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106,8</w:t>
            </w:r>
          </w:p>
        </w:tc>
      </w:tr>
      <w:tr>
        <w:tblPrEx>
          <w:tblW w:w="9610" w:type="dxa"/>
          <w:tblInd w:w="-60" w:type="dxa"/>
          <w:tblLayout w:type="fixed"/>
          <w:tblCellMar>
            <w:top w:w="0" w:type="dxa"/>
            <w:left w:w="70" w:type="dxa"/>
            <w:bottom w:w="0" w:type="dxa"/>
            <w:right w:w="70" w:type="dxa"/>
          </w:tblCellMar>
        </w:tblPrEx>
        <w:trPr>
          <w:trHeight w:val="667"/>
        </w:trPr>
        <w:tc>
          <w:tcPr>
            <w:tcW w:w="1908" w:type="dxa"/>
            <w:tcBorders>
              <w:top w:val="single" w:sz="8" w:space="0" w:color="auto"/>
              <w:left w:val="single" w:sz="8" w:space="0" w:color="auto"/>
              <w:bottom w:val="double" w:sz="6" w:space="0" w:color="auto"/>
              <w:right w:val="single" w:sz="8" w:space="0" w:color="auto"/>
              <w:tl2br w:val="nil"/>
              <w:tr2bl w:val="nil"/>
            </w:tcBorders>
            <w:tcMar>
              <w:left w:w="0" w:type="dxa"/>
              <w:right w:w="0" w:type="dxa"/>
            </w:tcMar>
            <w:textDirection w:val="lrTb"/>
            <w:vAlign w:val="top"/>
          </w:tcPr>
          <w:p w:rsidR="00FB6644" w:rsidRPr="00472CA4" w:rsidP="00FB6644">
            <w:pPr>
              <w:rPr>
                <w:rFonts w:ascii="Times New Roman" w:hAnsi="Times New Roman" w:cs="Times New Roman"/>
                <w:b/>
                <w:sz w:val="20"/>
                <w:szCs w:val="20"/>
              </w:rPr>
            </w:pPr>
            <w:r w:rsidRPr="00472CA4">
              <w:rPr>
                <w:rFonts w:ascii="Times New Roman" w:hAnsi="Times New Roman" w:cs="Times New Roman"/>
                <w:b/>
                <w:sz w:val="20"/>
                <w:szCs w:val="20"/>
              </w:rPr>
              <w:t>Záručná sekcia EAGGF spolu prostriedky z EÚ</w:t>
            </w:r>
          </w:p>
        </w:tc>
        <w:tc>
          <w:tcPr>
            <w:tcW w:w="1222" w:type="dxa"/>
            <w:tcBorders>
              <w:top w:val="single" w:sz="8" w:space="0" w:color="auto"/>
              <w:left w:val="single" w:sz="8" w:space="0" w:color="auto"/>
              <w:bottom w:val="doub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8 085,2</w:t>
            </w:r>
          </w:p>
        </w:tc>
        <w:tc>
          <w:tcPr>
            <w:tcW w:w="1080" w:type="dxa"/>
            <w:tcBorders>
              <w:top w:val="single" w:sz="8" w:space="0" w:color="auto"/>
              <w:left w:val="single" w:sz="8" w:space="0" w:color="auto"/>
              <w:bottom w:val="doub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10 406,5</w:t>
            </w:r>
          </w:p>
        </w:tc>
        <w:tc>
          <w:tcPr>
            <w:tcW w:w="1004" w:type="dxa"/>
            <w:tcBorders>
              <w:top w:val="single" w:sz="8" w:space="0" w:color="auto"/>
              <w:left w:val="single" w:sz="8" w:space="0" w:color="auto"/>
              <w:bottom w:val="doub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9 274,9</w:t>
            </w:r>
          </w:p>
        </w:tc>
        <w:tc>
          <w:tcPr>
            <w:tcW w:w="1156" w:type="dxa"/>
            <w:tcBorders>
              <w:top w:val="single" w:sz="8" w:space="0" w:color="auto"/>
              <w:left w:val="single" w:sz="8" w:space="0" w:color="auto"/>
              <w:bottom w:val="doub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9 044,7</w:t>
            </w:r>
          </w:p>
        </w:tc>
        <w:tc>
          <w:tcPr>
            <w:tcW w:w="1080" w:type="dxa"/>
            <w:tcBorders>
              <w:top w:val="single" w:sz="8" w:space="0" w:color="auto"/>
              <w:left w:val="single" w:sz="8" w:space="0" w:color="auto"/>
              <w:bottom w:val="doub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97,5</w:t>
            </w:r>
          </w:p>
        </w:tc>
        <w:tc>
          <w:tcPr>
            <w:tcW w:w="1080" w:type="dxa"/>
            <w:tcBorders>
              <w:top w:val="single" w:sz="8" w:space="0" w:color="auto"/>
              <w:left w:val="single" w:sz="8" w:space="0" w:color="auto"/>
              <w:bottom w:val="doub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959,5</w:t>
            </w:r>
          </w:p>
        </w:tc>
        <w:tc>
          <w:tcPr>
            <w:tcW w:w="1080" w:type="dxa"/>
            <w:tcBorders>
              <w:top w:val="single" w:sz="8" w:space="0" w:color="auto"/>
              <w:left w:val="single" w:sz="8" w:space="0" w:color="auto"/>
              <w:bottom w:val="doub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82,7</w:t>
            </w:r>
          </w:p>
        </w:tc>
      </w:tr>
    </w:tbl>
    <w:p w:rsidR="00FB6644" w:rsidRPr="00472CA4" w:rsidP="00FB6644">
      <w:pPr>
        <w:rPr>
          <w:rFonts w:ascii="Times New Roman" w:hAnsi="Times New Roman" w:cs="Times New Roman"/>
          <w:bCs/>
          <w:sz w:val="20"/>
          <w:szCs w:val="20"/>
        </w:rPr>
      </w:pPr>
    </w:p>
    <w:p w:rsidR="00FB6644" w:rsidP="00FB6644">
      <w:pPr>
        <w:rPr>
          <w:rFonts w:ascii="Times New Roman" w:hAnsi="Times New Roman" w:cs="Times New Roman"/>
          <w:bCs/>
          <w:sz w:val="20"/>
          <w:szCs w:val="20"/>
        </w:rPr>
      </w:pPr>
    </w:p>
    <w:p w:rsidR="00472CA4" w:rsidRPr="00472CA4" w:rsidP="00FB6644">
      <w:pPr>
        <w:rPr>
          <w:rFonts w:ascii="Times New Roman" w:hAnsi="Times New Roman" w:cs="Times New Roman"/>
          <w:bCs/>
          <w:sz w:val="20"/>
          <w:szCs w:val="20"/>
        </w:rPr>
      </w:pPr>
    </w:p>
    <w:tbl>
      <w:tblPr>
        <w:tblW w:w="9610" w:type="dxa"/>
        <w:tblBorders>
          <w:top w:val="single" w:sz="8" w:space="0" w:color="auto"/>
          <w:left w:val="single" w:sz="8" w:space="0" w:color="auto"/>
          <w:bottom w:val="double" w:sz="6" w:space="0" w:color="auto"/>
          <w:right w:val="single" w:sz="8" w:space="0" w:color="auto"/>
          <w:insideH w:val="single" w:sz="6" w:space="0" w:color="auto"/>
          <w:insideV w:val="single" w:sz="6" w:space="0" w:color="auto"/>
        </w:tblBorders>
        <w:tblLayout w:type="fixed"/>
        <w:tblCellMar>
          <w:top w:w="0" w:type="dxa"/>
          <w:left w:w="70" w:type="dxa"/>
          <w:bottom w:w="0" w:type="dxa"/>
          <w:right w:w="70" w:type="dxa"/>
        </w:tblCellMar>
      </w:tblPr>
      <w:tblGrid>
        <w:gridCol w:w="1690"/>
        <w:gridCol w:w="1260"/>
        <w:gridCol w:w="1080"/>
        <w:gridCol w:w="1080"/>
        <w:gridCol w:w="1201"/>
        <w:gridCol w:w="1139"/>
        <w:gridCol w:w="1063"/>
        <w:gridCol w:w="1097"/>
      </w:tblGrid>
      <w:tr>
        <w:tblPrEx>
          <w:tblW w:w="9610" w:type="dxa"/>
          <w:tblBorders>
            <w:top w:val="single" w:sz="8" w:space="0" w:color="auto"/>
            <w:left w:val="single" w:sz="8" w:space="0" w:color="auto"/>
            <w:bottom w:val="double" w:sz="6" w:space="0" w:color="auto"/>
            <w:right w:val="single" w:sz="8" w:space="0" w:color="auto"/>
            <w:insideH w:val="single" w:sz="6" w:space="0" w:color="auto"/>
            <w:insideV w:val="single" w:sz="6" w:space="0" w:color="auto"/>
          </w:tblBorders>
          <w:tblLayout w:type="fixed"/>
          <w:tblCellMar>
            <w:top w:w="0" w:type="dxa"/>
            <w:left w:w="70" w:type="dxa"/>
            <w:bottom w:w="0" w:type="dxa"/>
            <w:right w:w="70" w:type="dxa"/>
          </w:tblCellMar>
        </w:tblPrEx>
        <w:trPr>
          <w:cantSplit/>
          <w:trHeight w:val="284"/>
        </w:trPr>
        <w:tc>
          <w:tcPr>
            <w:tcW w:w="1690" w:type="dxa"/>
            <w:vMerge w:val="restart"/>
            <w:tcBorders>
              <w:top w:val="single" w:sz="8" w:space="0" w:color="auto"/>
              <w:left w:val="single" w:sz="8"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both"/>
              <w:rPr>
                <w:rFonts w:ascii="Times New Roman" w:hAnsi="Times New Roman" w:cs="Times New Roman"/>
                <w:sz w:val="20"/>
                <w:szCs w:val="20"/>
              </w:rPr>
            </w:pPr>
          </w:p>
        </w:tc>
        <w:tc>
          <w:tcPr>
            <w:tcW w:w="1260"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Skutočnosť 2005</w:t>
            </w:r>
          </w:p>
        </w:tc>
        <w:tc>
          <w:tcPr>
            <w:tcW w:w="2160" w:type="dxa"/>
            <w:gridSpan w:val="2"/>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Rozpočet 2006</w:t>
            </w:r>
          </w:p>
        </w:tc>
        <w:tc>
          <w:tcPr>
            <w:tcW w:w="1201"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Skutočnosť 2006</w:t>
            </w:r>
          </w:p>
        </w:tc>
        <w:tc>
          <w:tcPr>
            <w:tcW w:w="1139"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Plnenie v %</w:t>
            </w:r>
          </w:p>
        </w:tc>
        <w:tc>
          <w:tcPr>
            <w:tcW w:w="1063"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Rozdiel 2005-2006</w:t>
            </w:r>
          </w:p>
        </w:tc>
        <w:tc>
          <w:tcPr>
            <w:tcW w:w="1097" w:type="dxa"/>
            <w:vMerge w:val="restart"/>
            <w:tcBorders>
              <w:top w:val="single" w:sz="8" w:space="0" w:color="auto"/>
              <w:left w:val="single" w:sz="6" w:space="0" w:color="auto"/>
              <w:bottom w:val="single" w:sz="6" w:space="0" w:color="auto"/>
              <w:right w:val="single" w:sz="8"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lang w:val="en-US"/>
              </w:rPr>
            </w:pPr>
            <w:r w:rsidRPr="00472CA4">
              <w:rPr>
                <w:rFonts w:ascii="Times New Roman" w:hAnsi="Times New Roman" w:cs="Times New Roman"/>
                <w:b/>
                <w:bCs/>
                <w:sz w:val="20"/>
                <w:szCs w:val="20"/>
              </w:rPr>
              <w:t>Index 2006/</w:t>
            </w:r>
            <w:r w:rsidRPr="00472CA4">
              <w:rPr>
                <w:rFonts w:ascii="Times New Roman" w:hAnsi="Times New Roman" w:cs="Times New Roman"/>
                <w:b/>
                <w:bCs/>
                <w:sz w:val="20"/>
                <w:szCs w:val="20"/>
                <w:lang w:val="en-US"/>
              </w:rPr>
              <w:t>2005</w:t>
            </w:r>
          </w:p>
        </w:tc>
      </w:tr>
      <w:tr>
        <w:tblPrEx>
          <w:tblW w:w="9610" w:type="dxa"/>
          <w:tblLayout w:type="fixed"/>
          <w:tblCellMar>
            <w:top w:w="0" w:type="dxa"/>
            <w:left w:w="70" w:type="dxa"/>
            <w:bottom w:w="0" w:type="dxa"/>
            <w:right w:w="70" w:type="dxa"/>
          </w:tblCellMar>
        </w:tblPrEx>
        <w:trPr>
          <w:cantSplit/>
          <w:trHeight w:val="143"/>
        </w:trPr>
        <w:tc>
          <w:tcPr>
            <w:tcW w:w="1690" w:type="dxa"/>
            <w:vMerge/>
            <w:tcBorders>
              <w:top w:val="single" w:sz="6" w:space="0" w:color="auto"/>
              <w:left w:val="single" w:sz="8"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both"/>
              <w:rPr>
                <w:rFonts w:ascii="Times New Roman" w:hAnsi="Times New Roman" w:cs="Times New Roman"/>
                <w:sz w:val="20"/>
                <w:szCs w:val="20"/>
              </w:rPr>
            </w:pPr>
          </w:p>
        </w:tc>
        <w:tc>
          <w:tcPr>
            <w:tcW w:w="1260"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Schválený</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Upravený</w:t>
            </w:r>
          </w:p>
        </w:tc>
        <w:tc>
          <w:tcPr>
            <w:tcW w:w="1201"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c>
          <w:tcPr>
            <w:tcW w:w="1139"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c>
          <w:tcPr>
            <w:tcW w:w="1063"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c>
          <w:tcPr>
            <w:tcW w:w="1097" w:type="dxa"/>
            <w:vMerge/>
            <w:tcBorders>
              <w:top w:val="single" w:sz="6" w:space="0" w:color="auto"/>
              <w:left w:val="single" w:sz="6" w:space="0" w:color="auto"/>
              <w:bottom w:val="single" w:sz="6" w:space="0" w:color="auto"/>
              <w:right w:val="single" w:sz="8"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r>
      <w:tr>
        <w:tblPrEx>
          <w:tblW w:w="9610" w:type="dxa"/>
          <w:tblLayout w:type="fixed"/>
          <w:tblCellMar>
            <w:top w:w="0" w:type="dxa"/>
            <w:left w:w="70" w:type="dxa"/>
            <w:bottom w:w="0" w:type="dxa"/>
            <w:right w:w="70" w:type="dxa"/>
          </w:tblCellMar>
        </w:tblPrEx>
        <w:trPr>
          <w:cantSplit/>
          <w:trHeight w:val="50"/>
        </w:trPr>
        <w:tc>
          <w:tcPr>
            <w:tcW w:w="1690" w:type="dxa"/>
            <w:vMerge/>
            <w:tcBorders>
              <w:top w:val="single" w:sz="6" w:space="0" w:color="auto"/>
              <w:left w:val="single" w:sz="8"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both"/>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1</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2</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3</w:t>
            </w:r>
          </w:p>
        </w:tc>
        <w:tc>
          <w:tcPr>
            <w:tcW w:w="1201"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4</w:t>
            </w:r>
          </w:p>
        </w:tc>
        <w:tc>
          <w:tcPr>
            <w:tcW w:w="1139"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5= 4/3*100</w:t>
            </w:r>
          </w:p>
        </w:tc>
        <w:tc>
          <w:tcPr>
            <w:tcW w:w="1063"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6= 4 – 1</w:t>
            </w:r>
          </w:p>
        </w:tc>
        <w:tc>
          <w:tcPr>
            <w:tcW w:w="1097" w:type="dxa"/>
            <w:tcBorders>
              <w:top w:val="single" w:sz="6" w:space="0" w:color="auto"/>
              <w:left w:val="single" w:sz="6" w:space="0" w:color="auto"/>
              <w:bottom w:val="single" w:sz="6" w:space="0" w:color="auto"/>
              <w:right w:val="single" w:sz="8"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7=4/1*100</w:t>
            </w:r>
          </w:p>
        </w:tc>
      </w:tr>
      <w:tr>
        <w:tblPrEx>
          <w:tblW w:w="9610" w:type="dxa"/>
          <w:tblInd w:w="-60" w:type="dxa"/>
          <w:tblLayout w:type="fixed"/>
          <w:tblCellMar>
            <w:top w:w="0" w:type="dxa"/>
            <w:left w:w="70" w:type="dxa"/>
            <w:bottom w:w="0" w:type="dxa"/>
            <w:right w:w="70" w:type="dxa"/>
          </w:tblCellMar>
        </w:tblPrEx>
        <w:trPr>
          <w:trHeight w:val="284"/>
        </w:trPr>
        <w:tc>
          <w:tcPr>
            <w:tcW w:w="1690"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472CA4" w:rsidP="00FB6644">
            <w:pPr>
              <w:rPr>
                <w:rFonts w:ascii="Times New Roman" w:hAnsi="Times New Roman" w:cs="Times New Roman"/>
                <w:sz w:val="20"/>
                <w:szCs w:val="20"/>
              </w:rPr>
            </w:pPr>
            <w:r w:rsidRPr="00472CA4">
              <w:rPr>
                <w:rFonts w:ascii="Times New Roman" w:hAnsi="Times New Roman" w:cs="Times New Roman"/>
                <w:sz w:val="20"/>
                <w:szCs w:val="20"/>
              </w:rPr>
              <w:t>Rozvoj vidieka</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609,9</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1 410,7</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1 021,0</w:t>
            </w:r>
          </w:p>
        </w:tc>
        <w:tc>
          <w:tcPr>
            <w:tcW w:w="1201"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1 021,7</w:t>
            </w:r>
          </w:p>
        </w:tc>
        <w:tc>
          <w:tcPr>
            <w:tcW w:w="1139"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100,1</w:t>
            </w:r>
          </w:p>
        </w:tc>
        <w:tc>
          <w:tcPr>
            <w:tcW w:w="1063"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411,8</w:t>
            </w:r>
          </w:p>
        </w:tc>
        <w:tc>
          <w:tcPr>
            <w:tcW w:w="1097"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167,5</w:t>
            </w:r>
          </w:p>
        </w:tc>
      </w:tr>
      <w:tr>
        <w:tblPrEx>
          <w:tblW w:w="9610" w:type="dxa"/>
          <w:tblInd w:w="-60" w:type="dxa"/>
          <w:tblLayout w:type="fixed"/>
          <w:tblCellMar>
            <w:top w:w="0" w:type="dxa"/>
            <w:left w:w="70" w:type="dxa"/>
            <w:bottom w:w="0" w:type="dxa"/>
            <w:right w:w="70" w:type="dxa"/>
          </w:tblCellMar>
        </w:tblPrEx>
        <w:trPr>
          <w:trHeight w:val="269"/>
        </w:trPr>
        <w:tc>
          <w:tcPr>
            <w:tcW w:w="1690"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472CA4" w:rsidP="00FB6644">
            <w:pPr>
              <w:rPr>
                <w:rFonts w:ascii="Times New Roman" w:hAnsi="Times New Roman" w:cs="Times New Roman"/>
                <w:sz w:val="20"/>
                <w:szCs w:val="20"/>
              </w:rPr>
            </w:pPr>
            <w:r w:rsidRPr="00472CA4">
              <w:rPr>
                <w:rFonts w:ascii="Times New Roman" w:hAnsi="Times New Roman" w:cs="Times New Roman"/>
                <w:sz w:val="20"/>
                <w:szCs w:val="20"/>
              </w:rPr>
              <w:t>Priame platby</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2 013,9</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2 957,8</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3 038,9</w:t>
            </w:r>
          </w:p>
        </w:tc>
        <w:tc>
          <w:tcPr>
            <w:tcW w:w="1201"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3 038,9</w:t>
            </w:r>
          </w:p>
        </w:tc>
        <w:tc>
          <w:tcPr>
            <w:tcW w:w="1139"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100,0</w:t>
            </w:r>
          </w:p>
        </w:tc>
        <w:tc>
          <w:tcPr>
            <w:tcW w:w="1063"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1 025,0</w:t>
            </w:r>
          </w:p>
        </w:tc>
        <w:tc>
          <w:tcPr>
            <w:tcW w:w="1097"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150,9</w:t>
            </w:r>
          </w:p>
        </w:tc>
      </w:tr>
      <w:tr>
        <w:tblPrEx>
          <w:tblW w:w="9610" w:type="dxa"/>
          <w:tblInd w:w="-60" w:type="dxa"/>
          <w:tblLayout w:type="fixed"/>
          <w:tblCellMar>
            <w:top w:w="0" w:type="dxa"/>
            <w:left w:w="70" w:type="dxa"/>
            <w:bottom w:w="0" w:type="dxa"/>
            <w:right w:w="70" w:type="dxa"/>
          </w:tblCellMar>
        </w:tblPrEx>
        <w:trPr>
          <w:trHeight w:val="766"/>
        </w:trPr>
        <w:tc>
          <w:tcPr>
            <w:tcW w:w="1690" w:type="dxa"/>
            <w:tcBorders>
              <w:top w:val="single" w:sz="6" w:space="0" w:color="auto"/>
              <w:left w:val="single" w:sz="8" w:space="0" w:color="auto"/>
              <w:bottom w:val="double" w:sz="6" w:space="0" w:color="auto"/>
              <w:right w:val="single" w:sz="6" w:space="0" w:color="auto"/>
              <w:tl2br w:val="nil"/>
              <w:tr2bl w:val="nil"/>
            </w:tcBorders>
            <w:tcMar>
              <w:left w:w="0" w:type="dxa"/>
              <w:right w:w="0" w:type="dxa"/>
            </w:tcMar>
            <w:textDirection w:val="lrTb"/>
            <w:vAlign w:val="top"/>
          </w:tcPr>
          <w:p w:rsidR="00472CA4" w:rsidP="00FB6644">
            <w:pPr>
              <w:rPr>
                <w:rFonts w:ascii="Times New Roman" w:hAnsi="Times New Roman" w:cs="Times New Roman"/>
                <w:b/>
                <w:sz w:val="20"/>
                <w:szCs w:val="20"/>
              </w:rPr>
            </w:pPr>
            <w:r w:rsidRPr="00472CA4" w:rsidR="00FB6644">
              <w:rPr>
                <w:rFonts w:ascii="Times New Roman" w:hAnsi="Times New Roman" w:cs="Times New Roman"/>
                <w:b/>
                <w:sz w:val="20"/>
                <w:szCs w:val="20"/>
              </w:rPr>
              <w:t xml:space="preserve">Záručná sekcia EAGGF spolu spolufinancovanie </w:t>
            </w:r>
          </w:p>
          <w:p w:rsidR="00FB6644" w:rsidRPr="00472CA4" w:rsidP="00FB6644">
            <w:pPr>
              <w:rPr>
                <w:rFonts w:ascii="Times New Roman" w:hAnsi="Times New Roman" w:cs="Times New Roman"/>
                <w:b/>
                <w:sz w:val="20"/>
                <w:szCs w:val="20"/>
              </w:rPr>
            </w:pPr>
            <w:r w:rsidRPr="00472CA4">
              <w:rPr>
                <w:rFonts w:ascii="Times New Roman" w:hAnsi="Times New Roman" w:cs="Times New Roman"/>
                <w:b/>
                <w:sz w:val="20"/>
                <w:szCs w:val="20"/>
              </w:rPr>
              <w:t>zo ŠR</w:t>
            </w:r>
          </w:p>
        </w:tc>
        <w:tc>
          <w:tcPr>
            <w:tcW w:w="126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2 623,8</w:t>
            </w:r>
          </w:p>
        </w:tc>
        <w:tc>
          <w:tcPr>
            <w:tcW w:w="108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4 368,5</w:t>
            </w:r>
          </w:p>
        </w:tc>
        <w:tc>
          <w:tcPr>
            <w:tcW w:w="108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4 059,9</w:t>
            </w:r>
          </w:p>
        </w:tc>
        <w:tc>
          <w:tcPr>
            <w:tcW w:w="1201"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4 060,6</w:t>
            </w:r>
          </w:p>
        </w:tc>
        <w:tc>
          <w:tcPr>
            <w:tcW w:w="1139"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100,0</w:t>
            </w:r>
          </w:p>
        </w:tc>
        <w:tc>
          <w:tcPr>
            <w:tcW w:w="1063"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1 436,8</w:t>
            </w:r>
          </w:p>
        </w:tc>
        <w:tc>
          <w:tcPr>
            <w:tcW w:w="1097" w:type="dxa"/>
            <w:tcBorders>
              <w:top w:val="single" w:sz="6" w:space="0" w:color="auto"/>
              <w:left w:val="single" w:sz="6" w:space="0" w:color="auto"/>
              <w:bottom w:val="doub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154,8</w:t>
            </w:r>
          </w:p>
        </w:tc>
      </w:tr>
    </w:tbl>
    <w:p w:rsidR="00FB6644" w:rsidRPr="00FB6644" w:rsidP="00FB6644">
      <w:pPr>
        <w:spacing w:before="120" w:after="120" w:line="360" w:lineRule="auto"/>
        <w:ind w:firstLine="709"/>
        <w:jc w:val="both"/>
        <w:rPr>
          <w:rFonts w:ascii="Times New Roman" w:hAnsi="Times New Roman" w:cs="Times New Roman"/>
        </w:rPr>
      </w:pPr>
    </w:p>
    <w:p w:rsidR="00FB6644" w:rsidRPr="00FB6644" w:rsidP="00FB6644">
      <w:pPr>
        <w:spacing w:before="120" w:after="120" w:line="360" w:lineRule="auto"/>
        <w:ind w:firstLine="709"/>
        <w:jc w:val="both"/>
        <w:rPr>
          <w:rFonts w:ascii="Times New Roman" w:hAnsi="Times New Roman" w:cs="Times New Roman"/>
        </w:rPr>
      </w:pPr>
      <w:r w:rsidRPr="00FB6644">
        <w:rPr>
          <w:rFonts w:ascii="Times New Roman" w:hAnsi="Times New Roman" w:cs="Times New Roman"/>
        </w:rPr>
        <w:t>Čerpanie trhovo or</w:t>
      </w:r>
      <w:r w:rsidRPr="00FB6644">
        <w:rPr>
          <w:rFonts w:ascii="Times New Roman" w:hAnsi="Times New Roman" w:cs="Times New Roman"/>
        </w:rPr>
        <w:t xml:space="preserve">ientovaných výdavkov k 31.12.2006 predstavovalo 905,5 mil. Sk financovaných zo zdrojov EÚ. </w:t>
      </w:r>
    </w:p>
    <w:p w:rsidR="00FB6644" w:rsidRPr="00FB6644" w:rsidP="00FB6644">
      <w:pPr>
        <w:spacing w:before="120" w:after="120" w:line="360" w:lineRule="auto"/>
        <w:ind w:firstLine="708"/>
        <w:jc w:val="both"/>
        <w:rPr>
          <w:rFonts w:ascii="Times New Roman" w:hAnsi="Times New Roman" w:cs="Times New Roman"/>
        </w:rPr>
      </w:pPr>
      <w:r w:rsidRPr="00FB6644">
        <w:rPr>
          <w:rFonts w:ascii="Times New Roman" w:hAnsi="Times New Roman" w:cs="Times New Roman"/>
        </w:rPr>
        <w:t xml:space="preserve">V roku 2006 sa vyčerpali priame platby  v celkovom objeme 7 445,3 mil. Sk, čo k upravenému rozpočtu predstavuje plnenie 100 %,  z toho  zdroje z EÚ predstavujú výšku 4 406,4 mil. Sk. K úprave celkovej výšky rozpočtovaných prostriedkov došlo v nadväznosti na legislatívne zmeny EÚ, ktoré boli prijaté až v priebehu roka 2006. Na základe Nariadenia Rady (ES) č. 319/2006 bola pre Slovensko odsúhlasená osobitná platba na cukor, ktorá je 100% hradená z prostriedkov EÚ, ale musí byť predfinancovaná z prostriedkov štátneho rozpočtu. Pre rok 2006 bola stanovená na úrovni 441,6 mil. Sk. Nariadením Rady (ES) č. 660/2006 bol stanovený povinný doplatok 0,5 EUR/ha pre oprávnených žiadateľov za rok 2004, ktorým bola vyplatená jednotná platba na plochu. Uvedená platba predstavovala 44 mil. Sk. </w:t>
      </w:r>
    </w:p>
    <w:p w:rsidR="00FB6644" w:rsidRPr="00FB6644" w:rsidP="00FB6644">
      <w:pPr>
        <w:spacing w:before="120" w:after="120" w:line="360" w:lineRule="auto"/>
        <w:ind w:firstLine="708"/>
        <w:jc w:val="both"/>
        <w:rPr>
          <w:rFonts w:ascii="Times New Roman" w:hAnsi="Times New Roman" w:cs="Times New Roman"/>
        </w:rPr>
      </w:pPr>
      <w:r w:rsidRPr="00FB6644">
        <w:rPr>
          <w:rFonts w:ascii="Times New Roman" w:hAnsi="Times New Roman" w:cs="Times New Roman"/>
        </w:rPr>
        <w:t>Čerpanie výdavkov na opatrenia Plánu rozvoja vidieka k 31.12.2006 predstavovalo objem 4 754,5 mil. Sk,  z toho  zdroje z EÚ vo výške 3 732,8 mi</w:t>
      </w:r>
      <w:r w:rsidRPr="00FB6644">
        <w:rPr>
          <w:rFonts w:ascii="Times New Roman" w:hAnsi="Times New Roman" w:cs="Times New Roman"/>
        </w:rPr>
        <w:t xml:space="preserve">l. Sk. </w:t>
        <w:tab/>
      </w:r>
    </w:p>
    <w:p w:rsidR="00FB6644" w:rsidRPr="00FB6644" w:rsidP="00FB6644">
      <w:pPr>
        <w:pStyle w:val="Heading4"/>
        <w:spacing w:before="120" w:after="120" w:line="360" w:lineRule="auto"/>
        <w:rPr>
          <w:rFonts w:ascii="Times New Roman" w:hAnsi="Times New Roman" w:cs="Times New Roman"/>
          <w:sz w:val="24"/>
          <w:u w:val="single"/>
        </w:rPr>
      </w:pPr>
      <w:r w:rsidRPr="00FB6644">
        <w:rPr>
          <w:rFonts w:ascii="Times New Roman" w:hAnsi="Times New Roman" w:cs="Times New Roman"/>
          <w:sz w:val="24"/>
          <w:u w:val="single"/>
        </w:rPr>
        <w:t>B. Štrukturálne operácie</w:t>
      </w:r>
    </w:p>
    <w:p w:rsidR="00FB6644" w:rsidRPr="00FB6644" w:rsidP="00FB6644">
      <w:pPr>
        <w:spacing w:before="120" w:after="120" w:line="360" w:lineRule="auto"/>
        <w:ind w:firstLine="708"/>
        <w:jc w:val="both"/>
        <w:rPr>
          <w:rFonts w:ascii="Times New Roman" w:hAnsi="Times New Roman" w:cs="Times New Roman"/>
          <w:bCs/>
        </w:rPr>
      </w:pPr>
      <w:r w:rsidRPr="00FB6644">
        <w:rPr>
          <w:rFonts w:ascii="Times New Roman" w:hAnsi="Times New Roman" w:cs="Times New Roman"/>
          <w:bCs/>
        </w:rPr>
        <w:t>Podrobnejšie údaje o tejto skupine výdavkov sú uvedené v nasledujúcich tabuľkách (v mil. Sk):</w:t>
      </w:r>
    </w:p>
    <w:tbl>
      <w:tblPr>
        <w:tblW w:w="10540" w:type="dxa"/>
        <w:tblInd w:w="-930" w:type="dxa"/>
        <w:tblBorders>
          <w:top w:val="single" w:sz="8" w:space="0" w:color="auto"/>
          <w:left w:val="single" w:sz="8" w:space="0" w:color="auto"/>
          <w:bottom w:val="double" w:sz="6" w:space="0" w:color="auto"/>
          <w:right w:val="single" w:sz="8" w:space="0" w:color="auto"/>
          <w:insideH w:val="single" w:sz="6" w:space="0" w:color="auto"/>
          <w:insideV w:val="single" w:sz="6" w:space="0" w:color="auto"/>
        </w:tblBorders>
        <w:tblLayout w:type="fixed"/>
        <w:tblCellMar>
          <w:top w:w="0" w:type="dxa"/>
          <w:left w:w="70" w:type="dxa"/>
          <w:bottom w:w="0" w:type="dxa"/>
          <w:right w:w="70" w:type="dxa"/>
        </w:tblCellMar>
      </w:tblPr>
      <w:tblGrid>
        <w:gridCol w:w="2080"/>
        <w:gridCol w:w="1260"/>
        <w:gridCol w:w="1260"/>
        <w:gridCol w:w="1080"/>
        <w:gridCol w:w="1260"/>
        <w:gridCol w:w="1260"/>
        <w:gridCol w:w="1260"/>
        <w:gridCol w:w="1080"/>
      </w:tblGrid>
      <w:tr>
        <w:tblPrEx>
          <w:tblW w:w="10540" w:type="dxa"/>
          <w:tblInd w:w="-930" w:type="dxa"/>
          <w:tblBorders>
            <w:top w:val="single" w:sz="8" w:space="0" w:color="auto"/>
            <w:left w:val="single" w:sz="8" w:space="0" w:color="auto"/>
            <w:bottom w:val="double" w:sz="6" w:space="0" w:color="auto"/>
            <w:right w:val="single" w:sz="8" w:space="0" w:color="auto"/>
            <w:insideH w:val="single" w:sz="6" w:space="0" w:color="auto"/>
            <w:insideV w:val="single" w:sz="6" w:space="0" w:color="auto"/>
          </w:tblBorders>
          <w:tblLayout w:type="fixed"/>
          <w:tblCellMar>
            <w:top w:w="0" w:type="dxa"/>
            <w:left w:w="70" w:type="dxa"/>
            <w:bottom w:w="0" w:type="dxa"/>
            <w:right w:w="70" w:type="dxa"/>
          </w:tblCellMar>
        </w:tblPrEx>
        <w:trPr>
          <w:cantSplit/>
          <w:trHeight w:val="251"/>
        </w:trPr>
        <w:tc>
          <w:tcPr>
            <w:tcW w:w="2080" w:type="dxa"/>
            <w:vMerge w:val="restart"/>
            <w:tcBorders>
              <w:top w:val="single" w:sz="8" w:space="0" w:color="auto"/>
              <w:left w:val="single" w:sz="8"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both"/>
              <w:rPr>
                <w:rFonts w:ascii="Times New Roman" w:hAnsi="Times New Roman" w:cs="Times New Roman"/>
                <w:sz w:val="20"/>
                <w:szCs w:val="20"/>
              </w:rPr>
            </w:pPr>
          </w:p>
        </w:tc>
        <w:tc>
          <w:tcPr>
            <w:tcW w:w="1260"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Skutočnosť 2005</w:t>
            </w:r>
          </w:p>
        </w:tc>
        <w:tc>
          <w:tcPr>
            <w:tcW w:w="2340" w:type="dxa"/>
            <w:gridSpan w:val="2"/>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Rozpočet 2006</w:t>
            </w:r>
          </w:p>
        </w:tc>
        <w:tc>
          <w:tcPr>
            <w:tcW w:w="1260"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Skutočnosť 2006</w:t>
            </w:r>
          </w:p>
        </w:tc>
        <w:tc>
          <w:tcPr>
            <w:tcW w:w="1260"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Plnenie v %</w:t>
            </w:r>
          </w:p>
        </w:tc>
        <w:tc>
          <w:tcPr>
            <w:tcW w:w="1260" w:type="dxa"/>
            <w:vMerge w:val="restart"/>
            <w:tcBorders>
              <w:top w:val="single" w:sz="8"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Rozdiel 2005-2006</w:t>
            </w:r>
          </w:p>
        </w:tc>
        <w:tc>
          <w:tcPr>
            <w:tcW w:w="1080" w:type="dxa"/>
            <w:vMerge w:val="restart"/>
            <w:tcBorders>
              <w:top w:val="single" w:sz="8" w:space="0" w:color="auto"/>
              <w:left w:val="single" w:sz="6" w:space="0" w:color="auto"/>
              <w:bottom w:val="single" w:sz="6" w:space="0" w:color="auto"/>
              <w:right w:val="single" w:sz="8"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lang w:val="en-US"/>
              </w:rPr>
            </w:pPr>
            <w:r w:rsidRPr="00472CA4">
              <w:rPr>
                <w:rFonts w:ascii="Times New Roman" w:hAnsi="Times New Roman" w:cs="Times New Roman"/>
                <w:b/>
                <w:bCs/>
                <w:sz w:val="20"/>
                <w:szCs w:val="20"/>
              </w:rPr>
              <w:t>Index 2006/</w:t>
            </w:r>
            <w:r w:rsidRPr="00472CA4">
              <w:rPr>
                <w:rFonts w:ascii="Times New Roman" w:hAnsi="Times New Roman" w:cs="Times New Roman"/>
                <w:b/>
                <w:bCs/>
                <w:sz w:val="20"/>
                <w:szCs w:val="20"/>
                <w:lang w:val="en-US"/>
              </w:rPr>
              <w:t>2005</w:t>
            </w:r>
          </w:p>
        </w:tc>
      </w:tr>
      <w:tr>
        <w:tblPrEx>
          <w:tblW w:w="10540" w:type="dxa"/>
          <w:tblInd w:w="-930" w:type="dxa"/>
          <w:tblLayout w:type="fixed"/>
          <w:tblCellMar>
            <w:top w:w="0" w:type="dxa"/>
            <w:left w:w="70" w:type="dxa"/>
            <w:bottom w:w="0" w:type="dxa"/>
            <w:right w:w="70" w:type="dxa"/>
          </w:tblCellMar>
        </w:tblPrEx>
        <w:trPr>
          <w:cantSplit/>
          <w:trHeight w:val="133"/>
        </w:trPr>
        <w:tc>
          <w:tcPr>
            <w:tcW w:w="2080" w:type="dxa"/>
            <w:vMerge/>
            <w:tcBorders>
              <w:top w:val="single" w:sz="6" w:space="0" w:color="auto"/>
              <w:left w:val="single" w:sz="8"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both"/>
              <w:rPr>
                <w:rFonts w:ascii="Times New Roman" w:hAnsi="Times New Roman" w:cs="Times New Roman"/>
                <w:sz w:val="20"/>
                <w:szCs w:val="20"/>
              </w:rPr>
            </w:pPr>
          </w:p>
        </w:tc>
        <w:tc>
          <w:tcPr>
            <w:tcW w:w="1260"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Schválený</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Upravený</w:t>
            </w:r>
          </w:p>
        </w:tc>
        <w:tc>
          <w:tcPr>
            <w:tcW w:w="1260"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c>
          <w:tcPr>
            <w:tcW w:w="1260"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c>
          <w:tcPr>
            <w:tcW w:w="1260"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c>
          <w:tcPr>
            <w:tcW w:w="1080" w:type="dxa"/>
            <w:vMerge/>
            <w:tcBorders>
              <w:top w:val="single" w:sz="6" w:space="0" w:color="auto"/>
              <w:left w:val="single" w:sz="6" w:space="0" w:color="auto"/>
              <w:bottom w:val="single" w:sz="6" w:space="0" w:color="auto"/>
              <w:right w:val="single" w:sz="8"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r>
      <w:tr>
        <w:tblPrEx>
          <w:tblW w:w="10540" w:type="dxa"/>
          <w:tblInd w:w="-930" w:type="dxa"/>
          <w:tblLayout w:type="fixed"/>
          <w:tblCellMar>
            <w:top w:w="0" w:type="dxa"/>
            <w:left w:w="70" w:type="dxa"/>
            <w:bottom w:w="0" w:type="dxa"/>
            <w:right w:w="70" w:type="dxa"/>
          </w:tblCellMar>
        </w:tblPrEx>
        <w:trPr>
          <w:cantSplit/>
          <w:trHeight w:val="46"/>
        </w:trPr>
        <w:tc>
          <w:tcPr>
            <w:tcW w:w="2080" w:type="dxa"/>
            <w:vMerge/>
            <w:tcBorders>
              <w:top w:val="single" w:sz="6" w:space="0" w:color="auto"/>
              <w:left w:val="single" w:sz="8"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both"/>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1</w:t>
            </w:r>
          </w:p>
        </w:tc>
        <w:tc>
          <w:tcPr>
            <w:tcW w:w="126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2</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3</w:t>
            </w:r>
          </w:p>
        </w:tc>
        <w:tc>
          <w:tcPr>
            <w:tcW w:w="126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4</w:t>
            </w:r>
          </w:p>
        </w:tc>
        <w:tc>
          <w:tcPr>
            <w:tcW w:w="126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3F1E58" w:rsidP="003F1E58">
            <w:pPr>
              <w:jc w:val="center"/>
              <w:rPr>
                <w:rFonts w:ascii="Times New Roman" w:hAnsi="Times New Roman" w:cs="Times New Roman"/>
                <w:b/>
                <w:bCs/>
                <w:sz w:val="18"/>
                <w:szCs w:val="18"/>
              </w:rPr>
            </w:pPr>
            <w:r w:rsidRPr="003F1E58" w:rsidR="00FB0B78">
              <w:rPr>
                <w:rFonts w:ascii="Times New Roman" w:hAnsi="Times New Roman" w:cs="Times New Roman"/>
                <w:b/>
                <w:bCs/>
                <w:sz w:val="18"/>
                <w:szCs w:val="18"/>
              </w:rPr>
              <w:t>5=4/3*10</w:t>
            </w:r>
            <w:r w:rsidRPr="003F1E58">
              <w:rPr>
                <w:rFonts w:ascii="Times New Roman" w:hAnsi="Times New Roman" w:cs="Times New Roman"/>
                <w:b/>
                <w:bCs/>
                <w:sz w:val="18"/>
                <w:szCs w:val="18"/>
              </w:rPr>
              <w:t>0</w:t>
            </w:r>
          </w:p>
        </w:tc>
        <w:tc>
          <w:tcPr>
            <w:tcW w:w="126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6= 4 – 1</w:t>
            </w:r>
          </w:p>
        </w:tc>
        <w:tc>
          <w:tcPr>
            <w:tcW w:w="1080" w:type="dxa"/>
            <w:tcBorders>
              <w:top w:val="single" w:sz="6" w:space="0" w:color="auto"/>
              <w:left w:val="single" w:sz="6" w:space="0" w:color="auto"/>
              <w:bottom w:val="single" w:sz="6" w:space="0" w:color="auto"/>
              <w:right w:val="single" w:sz="8"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7=4/1*100</w:t>
            </w:r>
          </w:p>
        </w:tc>
      </w:tr>
      <w:tr>
        <w:tblPrEx>
          <w:tblW w:w="10540" w:type="dxa"/>
          <w:tblInd w:w="-990" w:type="dxa"/>
          <w:tblLayout w:type="fixed"/>
          <w:tblCellMar>
            <w:top w:w="0" w:type="dxa"/>
            <w:left w:w="70" w:type="dxa"/>
            <w:bottom w:w="0" w:type="dxa"/>
            <w:right w:w="70" w:type="dxa"/>
          </w:tblCellMar>
        </w:tblPrEx>
        <w:trPr>
          <w:trHeight w:val="251"/>
        </w:trPr>
        <w:tc>
          <w:tcPr>
            <w:tcW w:w="2080"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472CA4" w:rsidP="00FB6644">
            <w:pPr>
              <w:rPr>
                <w:rFonts w:ascii="Times New Roman" w:hAnsi="Times New Roman" w:cs="Times New Roman"/>
                <w:sz w:val="20"/>
                <w:szCs w:val="20"/>
              </w:rPr>
            </w:pPr>
            <w:r w:rsidRPr="00472CA4">
              <w:rPr>
                <w:rFonts w:ascii="Times New Roman" w:hAnsi="Times New Roman" w:cs="Times New Roman"/>
                <w:sz w:val="20"/>
                <w:szCs w:val="20"/>
              </w:rPr>
              <w:t>Štrukturálne fondy</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5 002,5</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12 099,8</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10 865,5</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11 2</w:t>
            </w:r>
            <w:r w:rsidR="000E5726">
              <w:rPr>
                <w:rFonts w:ascii="Times New Roman" w:hAnsi="Times New Roman" w:cs="Times New Roman"/>
                <w:sz w:val="20"/>
                <w:szCs w:val="20"/>
              </w:rPr>
              <w:t>58</w:t>
            </w:r>
            <w:r w:rsidRPr="00472CA4">
              <w:rPr>
                <w:rFonts w:ascii="Times New Roman" w:hAnsi="Times New Roman" w:cs="Times New Roman"/>
                <w:sz w:val="20"/>
                <w:szCs w:val="20"/>
              </w:rPr>
              <w:t>,</w:t>
            </w:r>
            <w:r w:rsidR="000E5726">
              <w:rPr>
                <w:rFonts w:ascii="Times New Roman" w:hAnsi="Times New Roman" w:cs="Times New Roman"/>
                <w:sz w:val="20"/>
                <w:szCs w:val="20"/>
              </w:rPr>
              <w:t>6</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103,6</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6 25</w:t>
            </w:r>
            <w:r w:rsidR="00073868">
              <w:rPr>
                <w:rFonts w:ascii="Times New Roman" w:hAnsi="Times New Roman" w:cs="Times New Roman"/>
                <w:sz w:val="20"/>
                <w:szCs w:val="20"/>
              </w:rPr>
              <w:t>6</w:t>
            </w:r>
            <w:r w:rsidRPr="00472CA4">
              <w:rPr>
                <w:rFonts w:ascii="Times New Roman" w:hAnsi="Times New Roman" w:cs="Times New Roman"/>
                <w:sz w:val="20"/>
                <w:szCs w:val="20"/>
              </w:rPr>
              <w:t>,</w:t>
            </w:r>
            <w:r w:rsidR="00073868">
              <w:rPr>
                <w:rFonts w:ascii="Times New Roman" w:hAnsi="Times New Roman" w:cs="Times New Roman"/>
                <w:sz w:val="20"/>
                <w:szCs w:val="20"/>
              </w:rPr>
              <w:t>1</w:t>
            </w:r>
          </w:p>
        </w:tc>
        <w:tc>
          <w:tcPr>
            <w:tcW w:w="108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225,1</w:t>
            </w:r>
          </w:p>
        </w:tc>
      </w:tr>
      <w:tr>
        <w:tblPrEx>
          <w:tblW w:w="10540" w:type="dxa"/>
          <w:tblInd w:w="-990" w:type="dxa"/>
          <w:tblLayout w:type="fixed"/>
          <w:tblCellMar>
            <w:top w:w="0" w:type="dxa"/>
            <w:left w:w="70" w:type="dxa"/>
            <w:bottom w:w="0" w:type="dxa"/>
            <w:right w:w="70" w:type="dxa"/>
          </w:tblCellMar>
        </w:tblPrEx>
        <w:trPr>
          <w:trHeight w:val="264"/>
        </w:trPr>
        <w:tc>
          <w:tcPr>
            <w:tcW w:w="2080" w:type="dxa"/>
            <w:tcBorders>
              <w:top w:val="single" w:sz="6" w:space="0" w:color="auto"/>
              <w:left w:val="single" w:sz="8" w:space="0" w:color="auto"/>
              <w:bottom w:val="single" w:sz="6" w:space="0" w:color="auto"/>
              <w:right w:val="single" w:sz="6" w:space="0" w:color="auto"/>
              <w:tl2br w:val="nil"/>
              <w:tr2bl w:val="nil"/>
            </w:tcBorders>
            <w:tcMar>
              <w:left w:w="0" w:type="dxa"/>
              <w:right w:w="0" w:type="dxa"/>
            </w:tcMar>
            <w:textDirection w:val="lrTb"/>
            <w:vAlign w:val="top"/>
          </w:tcPr>
          <w:p w:rsidR="00FB6644" w:rsidRPr="00472CA4" w:rsidP="00FB6644">
            <w:pPr>
              <w:rPr>
                <w:rFonts w:ascii="Times New Roman" w:hAnsi="Times New Roman" w:cs="Times New Roman"/>
                <w:sz w:val="20"/>
                <w:szCs w:val="20"/>
              </w:rPr>
            </w:pPr>
            <w:r w:rsidRPr="00472CA4">
              <w:rPr>
                <w:rFonts w:ascii="Times New Roman" w:hAnsi="Times New Roman" w:cs="Times New Roman"/>
                <w:sz w:val="20"/>
                <w:szCs w:val="20"/>
              </w:rPr>
              <w:t>Kohézny fond</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112,6</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4 891,7</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1 015,8</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1 015,8</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100,0</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903,2</w:t>
            </w:r>
          </w:p>
        </w:tc>
        <w:tc>
          <w:tcPr>
            <w:tcW w:w="1080" w:type="dxa"/>
            <w:tcBorders>
              <w:top w:val="single" w:sz="6" w:space="0" w:color="auto"/>
              <w:left w:val="single" w:sz="6" w:space="0" w:color="auto"/>
              <w:bottom w:val="sing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902,1</w:t>
            </w:r>
          </w:p>
        </w:tc>
      </w:tr>
      <w:tr>
        <w:tblPrEx>
          <w:tblW w:w="10540" w:type="dxa"/>
          <w:tblInd w:w="-990" w:type="dxa"/>
          <w:tblLayout w:type="fixed"/>
          <w:tblCellMar>
            <w:top w:w="0" w:type="dxa"/>
            <w:left w:w="70" w:type="dxa"/>
            <w:bottom w:w="0" w:type="dxa"/>
            <w:right w:w="70" w:type="dxa"/>
          </w:tblCellMar>
        </w:tblPrEx>
        <w:trPr>
          <w:trHeight w:val="519"/>
        </w:trPr>
        <w:tc>
          <w:tcPr>
            <w:tcW w:w="2080" w:type="dxa"/>
            <w:tcBorders>
              <w:top w:val="single" w:sz="6" w:space="0" w:color="auto"/>
              <w:left w:val="single" w:sz="8" w:space="0" w:color="auto"/>
              <w:bottom w:val="double" w:sz="6" w:space="0" w:color="auto"/>
              <w:right w:val="single" w:sz="6" w:space="0" w:color="auto"/>
              <w:tl2br w:val="nil"/>
              <w:tr2bl w:val="nil"/>
            </w:tcBorders>
            <w:tcMar>
              <w:left w:w="0" w:type="dxa"/>
              <w:right w:w="0" w:type="dxa"/>
            </w:tcMar>
            <w:textDirection w:val="lrTb"/>
            <w:vAlign w:val="top"/>
          </w:tcPr>
          <w:p w:rsidR="00FB6644" w:rsidRPr="00472CA4" w:rsidP="00FB6644">
            <w:pPr>
              <w:rPr>
                <w:rFonts w:ascii="Times New Roman" w:hAnsi="Times New Roman" w:cs="Times New Roman"/>
                <w:b/>
                <w:sz w:val="20"/>
                <w:szCs w:val="20"/>
              </w:rPr>
            </w:pPr>
            <w:r w:rsidRPr="00472CA4">
              <w:rPr>
                <w:rFonts w:ascii="Times New Roman" w:hAnsi="Times New Roman" w:cs="Times New Roman"/>
                <w:b/>
                <w:sz w:val="20"/>
                <w:szCs w:val="20"/>
              </w:rPr>
              <w:t>Štrukturálne operácie spolu prostriedky z EÚ</w:t>
            </w:r>
          </w:p>
        </w:tc>
        <w:tc>
          <w:tcPr>
            <w:tcW w:w="126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5 115,1</w:t>
            </w:r>
          </w:p>
        </w:tc>
        <w:tc>
          <w:tcPr>
            <w:tcW w:w="126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16 991,5</w:t>
            </w:r>
          </w:p>
        </w:tc>
        <w:tc>
          <w:tcPr>
            <w:tcW w:w="108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11 881,3</w:t>
            </w:r>
          </w:p>
        </w:tc>
        <w:tc>
          <w:tcPr>
            <w:tcW w:w="126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12 27</w:t>
            </w:r>
            <w:r w:rsidR="00073868">
              <w:rPr>
                <w:rFonts w:ascii="Times New Roman" w:hAnsi="Times New Roman" w:cs="Times New Roman"/>
                <w:b/>
                <w:bCs/>
                <w:sz w:val="20"/>
                <w:szCs w:val="20"/>
              </w:rPr>
              <w:t>4</w:t>
            </w:r>
            <w:r w:rsidRPr="00472CA4">
              <w:rPr>
                <w:rFonts w:ascii="Times New Roman" w:hAnsi="Times New Roman" w:cs="Times New Roman"/>
                <w:b/>
                <w:bCs/>
                <w:sz w:val="20"/>
                <w:szCs w:val="20"/>
              </w:rPr>
              <w:t>,</w:t>
            </w:r>
            <w:r w:rsidR="00073868">
              <w:rPr>
                <w:rFonts w:ascii="Times New Roman" w:hAnsi="Times New Roman" w:cs="Times New Roman"/>
                <w:b/>
                <w:bCs/>
                <w:sz w:val="20"/>
                <w:szCs w:val="20"/>
              </w:rPr>
              <w:t>4</w:t>
            </w:r>
          </w:p>
        </w:tc>
        <w:tc>
          <w:tcPr>
            <w:tcW w:w="126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103,3</w:t>
            </w:r>
          </w:p>
        </w:tc>
        <w:tc>
          <w:tcPr>
            <w:tcW w:w="126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7 1</w:t>
            </w:r>
            <w:r w:rsidR="00073868">
              <w:rPr>
                <w:rFonts w:ascii="Times New Roman" w:hAnsi="Times New Roman" w:cs="Times New Roman"/>
                <w:b/>
                <w:bCs/>
                <w:sz w:val="20"/>
                <w:szCs w:val="20"/>
              </w:rPr>
              <w:t>59</w:t>
            </w:r>
            <w:r w:rsidRPr="00472CA4">
              <w:rPr>
                <w:rFonts w:ascii="Times New Roman" w:hAnsi="Times New Roman" w:cs="Times New Roman"/>
                <w:b/>
                <w:bCs/>
                <w:sz w:val="20"/>
                <w:szCs w:val="20"/>
              </w:rPr>
              <w:t>,</w:t>
            </w:r>
            <w:r w:rsidR="00073868">
              <w:rPr>
                <w:rFonts w:ascii="Times New Roman" w:hAnsi="Times New Roman" w:cs="Times New Roman"/>
                <w:b/>
                <w:bCs/>
                <w:sz w:val="20"/>
                <w:szCs w:val="20"/>
              </w:rPr>
              <w:t>3</w:t>
            </w:r>
          </w:p>
        </w:tc>
        <w:tc>
          <w:tcPr>
            <w:tcW w:w="1080" w:type="dxa"/>
            <w:tcBorders>
              <w:top w:val="single" w:sz="6" w:space="0" w:color="auto"/>
              <w:left w:val="single" w:sz="6" w:space="0" w:color="auto"/>
              <w:bottom w:val="double" w:sz="6" w:space="0" w:color="auto"/>
              <w:right w:val="single" w:sz="8"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240,0</w:t>
            </w:r>
          </w:p>
        </w:tc>
      </w:tr>
    </w:tbl>
    <w:p w:rsidR="00FB6644" w:rsidRPr="00472CA4" w:rsidP="00FB6644">
      <w:pPr>
        <w:spacing w:line="360" w:lineRule="auto"/>
        <w:ind w:firstLine="708"/>
        <w:jc w:val="both"/>
        <w:rPr>
          <w:rFonts w:ascii="Times New Roman" w:hAnsi="Times New Roman" w:cs="Times New Roman"/>
          <w:bCs/>
          <w:sz w:val="20"/>
          <w:szCs w:val="20"/>
        </w:rPr>
      </w:pPr>
    </w:p>
    <w:tbl>
      <w:tblPr>
        <w:tblW w:w="10540" w:type="dxa"/>
        <w:tblInd w:w="-9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70" w:type="dxa"/>
          <w:bottom w:w="0" w:type="dxa"/>
          <w:right w:w="70" w:type="dxa"/>
        </w:tblCellMar>
      </w:tblPr>
      <w:tblGrid>
        <w:gridCol w:w="2119"/>
        <w:gridCol w:w="1221"/>
        <w:gridCol w:w="1260"/>
        <w:gridCol w:w="1080"/>
        <w:gridCol w:w="1260"/>
        <w:gridCol w:w="1260"/>
        <w:gridCol w:w="1260"/>
        <w:gridCol w:w="1080"/>
      </w:tblGrid>
      <w:tr>
        <w:tblPrEx>
          <w:tblW w:w="10540" w:type="dxa"/>
          <w:tblInd w:w="-9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70" w:type="dxa"/>
            <w:bottom w:w="0" w:type="dxa"/>
            <w:right w:w="70" w:type="dxa"/>
          </w:tblCellMar>
        </w:tblPrEx>
        <w:trPr>
          <w:cantSplit/>
          <w:trHeight w:val="263"/>
        </w:trPr>
        <w:tc>
          <w:tcPr>
            <w:tcW w:w="2119"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both"/>
              <w:rPr>
                <w:rFonts w:ascii="Times New Roman" w:hAnsi="Times New Roman" w:cs="Times New Roman"/>
                <w:sz w:val="20"/>
                <w:szCs w:val="20"/>
              </w:rPr>
            </w:pPr>
          </w:p>
        </w:tc>
        <w:tc>
          <w:tcPr>
            <w:tcW w:w="1221"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Skutočnosť 2005</w:t>
            </w:r>
          </w:p>
        </w:tc>
        <w:tc>
          <w:tcPr>
            <w:tcW w:w="2340" w:type="dxa"/>
            <w:gridSpan w:val="2"/>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Rozpočet 2006</w:t>
            </w:r>
          </w:p>
        </w:tc>
        <w:tc>
          <w:tcPr>
            <w:tcW w:w="126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Skutočnosť 2006</w:t>
            </w:r>
            <w:r w:rsidR="00E42525">
              <w:rPr>
                <w:rFonts w:ascii="Times New Roman" w:hAnsi="Times New Roman" w:cs="Times New Roman"/>
                <w:b/>
                <w:bCs/>
                <w:sz w:val="20"/>
                <w:szCs w:val="20"/>
              </w:rPr>
              <w:t>*</w:t>
            </w:r>
          </w:p>
        </w:tc>
        <w:tc>
          <w:tcPr>
            <w:tcW w:w="126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Plnenie v %</w:t>
            </w:r>
          </w:p>
        </w:tc>
        <w:tc>
          <w:tcPr>
            <w:tcW w:w="126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Rozdiel 2005-2006</w:t>
            </w:r>
          </w:p>
        </w:tc>
        <w:tc>
          <w:tcPr>
            <w:tcW w:w="1080" w:type="dxa"/>
            <w:vMerge w:val="restart"/>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lang w:val="en-US"/>
              </w:rPr>
            </w:pPr>
            <w:r w:rsidRPr="00472CA4">
              <w:rPr>
                <w:rFonts w:ascii="Times New Roman" w:hAnsi="Times New Roman" w:cs="Times New Roman"/>
                <w:b/>
                <w:bCs/>
                <w:sz w:val="20"/>
                <w:szCs w:val="20"/>
              </w:rPr>
              <w:t>Index 2006/</w:t>
            </w:r>
            <w:r w:rsidRPr="00472CA4">
              <w:rPr>
                <w:rFonts w:ascii="Times New Roman" w:hAnsi="Times New Roman" w:cs="Times New Roman"/>
                <w:b/>
                <w:bCs/>
                <w:sz w:val="20"/>
                <w:szCs w:val="20"/>
                <w:lang w:val="en-US"/>
              </w:rPr>
              <w:t>2005</w:t>
            </w:r>
          </w:p>
        </w:tc>
      </w:tr>
      <w:tr>
        <w:tblPrEx>
          <w:tblW w:w="10540" w:type="dxa"/>
          <w:tblInd w:w="-930" w:type="dxa"/>
          <w:tblLayout w:type="fixed"/>
          <w:tblCellMar>
            <w:top w:w="0" w:type="dxa"/>
            <w:left w:w="70" w:type="dxa"/>
            <w:bottom w:w="0" w:type="dxa"/>
            <w:right w:w="70" w:type="dxa"/>
          </w:tblCellMar>
        </w:tblPrEx>
        <w:trPr>
          <w:cantSplit/>
          <w:trHeight w:val="139"/>
        </w:trPr>
        <w:tc>
          <w:tcPr>
            <w:tcW w:w="2119"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both"/>
              <w:rPr>
                <w:rFonts w:ascii="Times New Roman" w:hAnsi="Times New Roman" w:cs="Times New Roman"/>
                <w:sz w:val="20"/>
                <w:szCs w:val="20"/>
              </w:rPr>
            </w:pPr>
          </w:p>
        </w:tc>
        <w:tc>
          <w:tcPr>
            <w:tcW w:w="1221"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Schválený</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center"/>
          </w:tcPr>
          <w:p w:rsidR="00FB6644" w:rsidRPr="00472CA4" w:rsidP="00FB6644">
            <w:pPr>
              <w:jc w:val="center"/>
              <w:rPr>
                <w:rFonts w:ascii="Times New Roman" w:hAnsi="Times New Roman" w:cs="Times New Roman"/>
                <w:b/>
                <w:bCs/>
                <w:sz w:val="20"/>
                <w:szCs w:val="20"/>
              </w:rPr>
            </w:pPr>
            <w:r w:rsidRPr="00472CA4">
              <w:rPr>
                <w:rFonts w:ascii="Times New Roman" w:hAnsi="Times New Roman" w:cs="Times New Roman"/>
                <w:b/>
                <w:bCs/>
                <w:sz w:val="20"/>
                <w:szCs w:val="20"/>
              </w:rPr>
              <w:t>Upravený</w:t>
            </w:r>
          </w:p>
        </w:tc>
        <w:tc>
          <w:tcPr>
            <w:tcW w:w="1260"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c>
          <w:tcPr>
            <w:tcW w:w="1260"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c>
          <w:tcPr>
            <w:tcW w:w="1260"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c>
          <w:tcPr>
            <w:tcW w:w="1080"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center"/>
              <w:rPr>
                <w:rFonts w:ascii="Times New Roman" w:hAnsi="Times New Roman" w:cs="Times New Roman"/>
                <w:sz w:val="20"/>
                <w:szCs w:val="20"/>
              </w:rPr>
            </w:pPr>
          </w:p>
        </w:tc>
      </w:tr>
      <w:tr>
        <w:tblPrEx>
          <w:tblW w:w="10540" w:type="dxa"/>
          <w:tblInd w:w="-930" w:type="dxa"/>
          <w:tblLayout w:type="fixed"/>
          <w:tblCellMar>
            <w:top w:w="0" w:type="dxa"/>
            <w:left w:w="70" w:type="dxa"/>
            <w:bottom w:w="0" w:type="dxa"/>
            <w:right w:w="70" w:type="dxa"/>
          </w:tblCellMar>
        </w:tblPrEx>
        <w:trPr>
          <w:cantSplit/>
          <w:trHeight w:val="50"/>
        </w:trPr>
        <w:tc>
          <w:tcPr>
            <w:tcW w:w="2119" w:type="dxa"/>
            <w:vMerge/>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472CA4" w:rsidP="00FB6644">
            <w:pPr>
              <w:jc w:val="both"/>
              <w:rPr>
                <w:rFonts w:ascii="Times New Roman" w:hAnsi="Times New Roman" w:cs="Times New Roman"/>
                <w:sz w:val="20"/>
                <w:szCs w:val="20"/>
              </w:rPr>
            </w:pPr>
          </w:p>
        </w:tc>
        <w:tc>
          <w:tcPr>
            <w:tcW w:w="1221"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1</w:t>
            </w:r>
          </w:p>
        </w:tc>
        <w:tc>
          <w:tcPr>
            <w:tcW w:w="126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2</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3</w:t>
            </w:r>
          </w:p>
        </w:tc>
        <w:tc>
          <w:tcPr>
            <w:tcW w:w="126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4</w:t>
            </w:r>
          </w:p>
        </w:tc>
        <w:tc>
          <w:tcPr>
            <w:tcW w:w="126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3F1E58" w:rsidP="003F1E58">
            <w:pPr>
              <w:jc w:val="center"/>
              <w:rPr>
                <w:rFonts w:ascii="Times New Roman" w:hAnsi="Times New Roman" w:cs="Times New Roman"/>
                <w:b/>
                <w:bCs/>
                <w:sz w:val="18"/>
                <w:szCs w:val="18"/>
              </w:rPr>
            </w:pPr>
            <w:r w:rsidRPr="003F1E58" w:rsidR="00F928B3">
              <w:rPr>
                <w:rFonts w:ascii="Times New Roman" w:hAnsi="Times New Roman" w:cs="Times New Roman"/>
                <w:b/>
                <w:bCs/>
                <w:sz w:val="18"/>
                <w:szCs w:val="18"/>
              </w:rPr>
              <w:t>5=</w:t>
            </w:r>
            <w:r w:rsidRPr="003F1E58">
              <w:rPr>
                <w:rFonts w:ascii="Times New Roman" w:hAnsi="Times New Roman" w:cs="Times New Roman"/>
                <w:b/>
                <w:bCs/>
                <w:sz w:val="18"/>
                <w:szCs w:val="18"/>
              </w:rPr>
              <w:t>4/3*100</w:t>
            </w:r>
          </w:p>
        </w:tc>
        <w:tc>
          <w:tcPr>
            <w:tcW w:w="126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6= 4 – 1</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7=4/1*100</w:t>
            </w:r>
          </w:p>
        </w:tc>
      </w:tr>
      <w:tr>
        <w:tblPrEx>
          <w:tblW w:w="10540" w:type="dxa"/>
          <w:tblInd w:w="-993" w:type="dxa"/>
          <w:tblLayout w:type="fixed"/>
          <w:tblCellMar>
            <w:top w:w="0" w:type="dxa"/>
            <w:left w:w="70" w:type="dxa"/>
            <w:bottom w:w="0" w:type="dxa"/>
            <w:right w:w="70" w:type="dxa"/>
          </w:tblCellMar>
        </w:tblPrEx>
        <w:trPr>
          <w:trHeight w:val="263"/>
        </w:trPr>
        <w:tc>
          <w:tcPr>
            <w:tcW w:w="2119" w:type="dxa"/>
            <w:tcBorders>
              <w:top w:val="single" w:sz="6" w:space="0" w:color="auto"/>
              <w:left w:val="single" w:sz="6" w:space="0" w:color="auto"/>
              <w:bottom w:val="single" w:sz="6" w:space="0" w:color="auto"/>
              <w:right w:val="single" w:sz="6" w:space="0" w:color="auto"/>
              <w:tl2br w:val="nil"/>
              <w:tr2bl w:val="nil"/>
            </w:tcBorders>
            <w:tcMar>
              <w:left w:w="0" w:type="dxa"/>
              <w:right w:w="0" w:type="dxa"/>
            </w:tcMar>
            <w:textDirection w:val="lrTb"/>
            <w:vAlign w:val="top"/>
          </w:tcPr>
          <w:p w:rsidR="00FB6644" w:rsidRPr="00472CA4" w:rsidP="00FB6644">
            <w:pPr>
              <w:rPr>
                <w:rFonts w:ascii="Times New Roman" w:hAnsi="Times New Roman" w:cs="Times New Roman"/>
                <w:sz w:val="20"/>
                <w:szCs w:val="20"/>
              </w:rPr>
            </w:pPr>
            <w:r w:rsidRPr="00472CA4">
              <w:rPr>
                <w:rFonts w:ascii="Times New Roman" w:hAnsi="Times New Roman" w:cs="Times New Roman"/>
                <w:sz w:val="20"/>
                <w:szCs w:val="20"/>
              </w:rPr>
              <w:t>Štrukturálne fondy</w:t>
            </w:r>
          </w:p>
        </w:tc>
        <w:tc>
          <w:tcPr>
            <w:tcW w:w="1221"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1 196,3</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3 897,4</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3 820,3</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4 902,6</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128,3</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3 706,3</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409,8</w:t>
            </w:r>
          </w:p>
        </w:tc>
      </w:tr>
      <w:tr>
        <w:tblPrEx>
          <w:tblW w:w="10540" w:type="dxa"/>
          <w:tblInd w:w="-993" w:type="dxa"/>
          <w:tblLayout w:type="fixed"/>
          <w:tblCellMar>
            <w:top w:w="0" w:type="dxa"/>
            <w:left w:w="70" w:type="dxa"/>
            <w:bottom w:w="0" w:type="dxa"/>
            <w:right w:w="70" w:type="dxa"/>
          </w:tblCellMar>
        </w:tblPrEx>
        <w:trPr>
          <w:trHeight w:val="263"/>
        </w:trPr>
        <w:tc>
          <w:tcPr>
            <w:tcW w:w="2119" w:type="dxa"/>
            <w:tcBorders>
              <w:top w:val="single" w:sz="6" w:space="0" w:color="auto"/>
              <w:left w:val="single" w:sz="6" w:space="0" w:color="auto"/>
              <w:bottom w:val="single" w:sz="6" w:space="0" w:color="auto"/>
              <w:right w:val="single" w:sz="6" w:space="0" w:color="auto"/>
              <w:tl2br w:val="nil"/>
              <w:tr2bl w:val="nil"/>
            </w:tcBorders>
            <w:tcMar>
              <w:left w:w="0" w:type="dxa"/>
              <w:right w:w="0" w:type="dxa"/>
            </w:tcMar>
            <w:textDirection w:val="lrTb"/>
            <w:vAlign w:val="top"/>
          </w:tcPr>
          <w:p w:rsidR="00FB6644" w:rsidRPr="00472CA4" w:rsidP="00FB6644">
            <w:pPr>
              <w:rPr>
                <w:rFonts w:ascii="Times New Roman" w:hAnsi="Times New Roman" w:cs="Times New Roman"/>
                <w:sz w:val="20"/>
                <w:szCs w:val="20"/>
              </w:rPr>
            </w:pPr>
            <w:r w:rsidRPr="00472CA4">
              <w:rPr>
                <w:rFonts w:ascii="Times New Roman" w:hAnsi="Times New Roman" w:cs="Times New Roman"/>
                <w:sz w:val="20"/>
                <w:szCs w:val="20"/>
              </w:rPr>
              <w:t>Kohézny fond</w:t>
            </w:r>
          </w:p>
        </w:tc>
        <w:tc>
          <w:tcPr>
            <w:tcW w:w="1221"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25,6</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1 111,1</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356,9</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356,9</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100,0</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331,3</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sz w:val="20"/>
                <w:szCs w:val="20"/>
              </w:rPr>
            </w:pPr>
            <w:r w:rsidRPr="00472CA4">
              <w:rPr>
                <w:rFonts w:ascii="Times New Roman" w:hAnsi="Times New Roman" w:cs="Times New Roman"/>
                <w:sz w:val="20"/>
                <w:szCs w:val="20"/>
              </w:rPr>
              <w:t>1 394,1</w:t>
            </w:r>
          </w:p>
        </w:tc>
      </w:tr>
      <w:tr>
        <w:tblPrEx>
          <w:tblW w:w="10540" w:type="dxa"/>
          <w:tblInd w:w="-993" w:type="dxa"/>
          <w:tblLayout w:type="fixed"/>
          <w:tblCellMar>
            <w:top w:w="0" w:type="dxa"/>
            <w:left w:w="70" w:type="dxa"/>
            <w:bottom w:w="0" w:type="dxa"/>
            <w:right w:w="70" w:type="dxa"/>
          </w:tblCellMar>
        </w:tblPrEx>
        <w:trPr>
          <w:trHeight w:val="139"/>
        </w:trPr>
        <w:tc>
          <w:tcPr>
            <w:tcW w:w="2119" w:type="dxa"/>
            <w:tcBorders>
              <w:top w:val="single" w:sz="6" w:space="0" w:color="auto"/>
              <w:left w:val="single" w:sz="6" w:space="0" w:color="auto"/>
              <w:bottom w:val="double" w:sz="6" w:space="0" w:color="auto"/>
              <w:right w:val="single" w:sz="6" w:space="0" w:color="auto"/>
              <w:tl2br w:val="nil"/>
              <w:tr2bl w:val="nil"/>
            </w:tcBorders>
            <w:tcMar>
              <w:left w:w="0" w:type="dxa"/>
              <w:right w:w="0" w:type="dxa"/>
            </w:tcMar>
            <w:textDirection w:val="lrTb"/>
            <w:vAlign w:val="top"/>
          </w:tcPr>
          <w:p w:rsidR="00FB6644" w:rsidRPr="00472CA4" w:rsidP="00FB6644">
            <w:pPr>
              <w:rPr>
                <w:rFonts w:ascii="Times New Roman" w:hAnsi="Times New Roman" w:cs="Times New Roman"/>
                <w:b/>
                <w:sz w:val="20"/>
                <w:szCs w:val="20"/>
              </w:rPr>
            </w:pPr>
            <w:r w:rsidRPr="00472CA4">
              <w:rPr>
                <w:rFonts w:ascii="Times New Roman" w:hAnsi="Times New Roman" w:cs="Times New Roman"/>
                <w:b/>
                <w:sz w:val="20"/>
                <w:szCs w:val="20"/>
              </w:rPr>
              <w:t>Štrukturálne operácie spolu spolufinancovanie zo ŠR*</w:t>
            </w:r>
          </w:p>
        </w:tc>
        <w:tc>
          <w:tcPr>
            <w:tcW w:w="1221"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1 221,9</w:t>
            </w:r>
          </w:p>
        </w:tc>
        <w:tc>
          <w:tcPr>
            <w:tcW w:w="126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5 008,5</w:t>
            </w:r>
          </w:p>
        </w:tc>
        <w:tc>
          <w:tcPr>
            <w:tcW w:w="108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4 177,2</w:t>
            </w:r>
          </w:p>
        </w:tc>
        <w:tc>
          <w:tcPr>
            <w:tcW w:w="126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5 259,5</w:t>
            </w:r>
          </w:p>
        </w:tc>
        <w:tc>
          <w:tcPr>
            <w:tcW w:w="126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125,9</w:t>
            </w:r>
          </w:p>
        </w:tc>
        <w:tc>
          <w:tcPr>
            <w:tcW w:w="126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4 037,6</w:t>
            </w:r>
          </w:p>
        </w:tc>
        <w:tc>
          <w:tcPr>
            <w:tcW w:w="1080" w:type="dxa"/>
            <w:tcBorders>
              <w:top w:val="single" w:sz="6" w:space="0" w:color="auto"/>
              <w:left w:val="single" w:sz="6" w:space="0" w:color="auto"/>
              <w:bottom w:val="double" w:sz="6" w:space="0" w:color="auto"/>
              <w:right w:val="single" w:sz="6" w:space="0" w:color="auto"/>
              <w:tl2br w:val="nil"/>
              <w:tr2bl w:val="nil"/>
            </w:tcBorders>
            <w:textDirection w:val="lrTb"/>
            <w:vAlign w:val="bottom"/>
          </w:tcPr>
          <w:p w:rsidR="00FB6644" w:rsidRPr="00472CA4" w:rsidP="00FB6644">
            <w:pPr>
              <w:jc w:val="right"/>
              <w:rPr>
                <w:rFonts w:ascii="Times New Roman" w:hAnsi="Times New Roman" w:cs="Times New Roman"/>
                <w:b/>
                <w:bCs/>
                <w:sz w:val="20"/>
                <w:szCs w:val="20"/>
              </w:rPr>
            </w:pPr>
            <w:r w:rsidRPr="00472CA4">
              <w:rPr>
                <w:rFonts w:ascii="Times New Roman" w:hAnsi="Times New Roman" w:cs="Times New Roman"/>
                <w:b/>
                <w:bCs/>
                <w:sz w:val="20"/>
                <w:szCs w:val="20"/>
              </w:rPr>
              <w:t>430,4</w:t>
            </w:r>
          </w:p>
        </w:tc>
      </w:tr>
    </w:tbl>
    <w:p w:rsidR="00E42525" w:rsidRPr="00E42525" w:rsidP="00E42525">
      <w:pPr>
        <w:spacing w:before="120" w:after="120" w:line="360" w:lineRule="auto"/>
        <w:ind w:hanging="900"/>
        <w:jc w:val="both"/>
        <w:rPr>
          <w:rFonts w:ascii="Times New Roman" w:hAnsi="Times New Roman" w:cs="Times New Roman"/>
          <w:sz w:val="20"/>
          <w:szCs w:val="20"/>
        </w:rPr>
      </w:pPr>
      <w:r w:rsidRPr="00E42525">
        <w:rPr>
          <w:rFonts w:ascii="Times New Roman" w:hAnsi="Times New Roman" w:cs="Times New Roman"/>
          <w:sz w:val="20"/>
          <w:szCs w:val="20"/>
        </w:rPr>
        <w:t>* bez spolufinancovania z úveru EIB</w:t>
      </w:r>
    </w:p>
    <w:p w:rsidR="00FB6644" w:rsidRPr="00FB6644" w:rsidP="00FB6644">
      <w:pPr>
        <w:spacing w:before="120" w:after="120" w:line="360" w:lineRule="auto"/>
        <w:ind w:firstLine="709"/>
        <w:jc w:val="both"/>
        <w:rPr>
          <w:rFonts w:ascii="Times New Roman" w:hAnsi="Times New Roman" w:cs="Times New Roman"/>
        </w:rPr>
      </w:pPr>
      <w:r w:rsidRPr="00FB6644">
        <w:rPr>
          <w:rFonts w:ascii="Times New Roman" w:hAnsi="Times New Roman" w:cs="Times New Roman"/>
        </w:rPr>
        <w:t xml:space="preserve">Finančné prostriedky zabezpečené v štátnom rozpočte vo forme výdavkov na </w:t>
      </w:r>
      <w:r w:rsidRPr="00FB6644">
        <w:rPr>
          <w:rFonts w:ascii="Times New Roman" w:hAnsi="Times New Roman" w:cs="Times New Roman"/>
          <w:b/>
          <w:bCs/>
        </w:rPr>
        <w:t>štruktu</w:t>
      </w:r>
      <w:r w:rsidRPr="00FB6644">
        <w:rPr>
          <w:rFonts w:ascii="Times New Roman" w:hAnsi="Times New Roman" w:cs="Times New Roman"/>
          <w:b/>
          <w:bCs/>
        </w:rPr>
        <w:t>rálne fondy</w:t>
      </w:r>
      <w:r w:rsidRPr="00FB6644">
        <w:rPr>
          <w:rFonts w:ascii="Times New Roman" w:hAnsi="Times New Roman" w:cs="Times New Roman"/>
        </w:rPr>
        <w:t xml:space="preserve"> v rámci relevantných kapitol na rok 2006 predstavovali sumu 15 975,7 mil.  Sk, z toho EÚ zdroje 12 099,9 mil. Sk a zdroje ŠR 3 875,8 mil. Sk. K  31.12.2006 stav čerpania prostriedkov EÚ a ŠR predstavoval sumu 16 16</w:t>
      </w:r>
      <w:r w:rsidR="0015273E">
        <w:rPr>
          <w:rFonts w:ascii="Times New Roman" w:hAnsi="Times New Roman" w:cs="Times New Roman"/>
        </w:rPr>
        <w:t>1</w:t>
      </w:r>
      <w:r w:rsidRPr="00FB6644">
        <w:rPr>
          <w:rFonts w:ascii="Times New Roman" w:hAnsi="Times New Roman" w:cs="Times New Roman"/>
        </w:rPr>
        <w:t>,</w:t>
      </w:r>
      <w:r w:rsidR="0015273E">
        <w:rPr>
          <w:rFonts w:ascii="Times New Roman" w:hAnsi="Times New Roman" w:cs="Times New Roman"/>
        </w:rPr>
        <w:t>2</w:t>
      </w:r>
      <w:r w:rsidRPr="00FB6644">
        <w:rPr>
          <w:rFonts w:ascii="Times New Roman" w:hAnsi="Times New Roman" w:cs="Times New Roman"/>
        </w:rPr>
        <w:t xml:space="preserve"> mil. Sk, z toho prostriedk</w:t>
      </w:r>
      <w:r w:rsidRPr="00FB6644">
        <w:rPr>
          <w:rFonts w:ascii="Times New Roman" w:hAnsi="Times New Roman" w:cs="Times New Roman"/>
        </w:rPr>
        <w:t>y EÚ v sume  11 2</w:t>
      </w:r>
      <w:r w:rsidR="001C531B">
        <w:rPr>
          <w:rFonts w:ascii="Times New Roman" w:hAnsi="Times New Roman" w:cs="Times New Roman"/>
        </w:rPr>
        <w:t>58</w:t>
      </w:r>
      <w:r w:rsidRPr="00FB6644">
        <w:rPr>
          <w:rFonts w:ascii="Times New Roman" w:hAnsi="Times New Roman" w:cs="Times New Roman"/>
        </w:rPr>
        <w:t>,</w:t>
      </w:r>
      <w:r w:rsidR="001C531B">
        <w:rPr>
          <w:rFonts w:ascii="Times New Roman" w:hAnsi="Times New Roman" w:cs="Times New Roman"/>
        </w:rPr>
        <w:t xml:space="preserve">6 </w:t>
      </w:r>
      <w:r w:rsidRPr="00FB6644">
        <w:rPr>
          <w:rFonts w:ascii="Times New Roman" w:hAnsi="Times New Roman" w:cs="Times New Roman"/>
        </w:rPr>
        <w:t xml:space="preserve">mil. Sk a prostriedky ŠR vo výške 4 902,6 mil. Sk. </w:t>
      </w:r>
    </w:p>
    <w:p w:rsidR="00FB6644" w:rsidRPr="00FB6644" w:rsidP="00FB6644">
      <w:pPr>
        <w:spacing w:before="120" w:after="120" w:line="360" w:lineRule="auto"/>
        <w:ind w:firstLine="709"/>
        <w:jc w:val="both"/>
        <w:rPr>
          <w:rFonts w:ascii="Times New Roman" w:hAnsi="Times New Roman" w:cs="Times New Roman"/>
        </w:rPr>
      </w:pPr>
      <w:r w:rsidRPr="00FB6644">
        <w:rPr>
          <w:rFonts w:ascii="Times New Roman" w:hAnsi="Times New Roman" w:cs="Times New Roman"/>
        </w:rPr>
        <w:t xml:space="preserve">Čerpanie prostriedkov EÚ a ŠR zodpovedá sume prostriedkov EÚ a štátneho rozpočtu na spolufinancovanie, ktoré platobná jednotka ako vnútorná organizačná jednotka kapitoly poskytla konečným prijímateľom na základe úhrady prostriedkov platobným príkazom a úpravou rozpočtu, resp. presunom prostriedkov formou rozpočtového opatrenia k 31.12.2006. Čerpanie vo vzťahu k štátnemu rozpočtu zahrňuje aj výdavky, ktoré sú poskytované konečným prijímateľom formou zálohovej platby a predfinancovania, t. j. ktoré až do momentu ich zúčtovania  a schválenia v súhrnnej žiadosti o platbu nie sú kryté príjmami EÚ.  </w:t>
      </w:r>
    </w:p>
    <w:p w:rsidR="00FB6644" w:rsidRPr="00FB6644" w:rsidP="00E42525">
      <w:pPr>
        <w:spacing w:before="120" w:after="120" w:line="360" w:lineRule="auto"/>
        <w:ind w:firstLine="708"/>
        <w:jc w:val="both"/>
        <w:rPr>
          <w:rFonts w:ascii="Times New Roman" w:hAnsi="Times New Roman" w:cs="Times New Roman"/>
        </w:rPr>
      </w:pPr>
      <w:r w:rsidRPr="00FB6644">
        <w:rPr>
          <w:rFonts w:ascii="Times New Roman" w:hAnsi="Times New Roman" w:cs="Times New Roman"/>
        </w:rPr>
        <w:t>Zmluva medzi SR a EIB na podporný rámcový úver na spolufinancovanie štrukturálnych fondov vo výške 95 mil. EUR bola podpísaná dňa 01.04.2004. Čerpanie úveru z EIB sa zrealizovalo 1 tranžou dňa 06.08.2004 v celkovej výške 95 mil. EUR, čo predstavuje 3 813,8 mil. Sk. Na základe bilaterálnych medzirezortných zmlúv medzi MF SR a MH SR, MŽP SR a MVRR SR (ostatné ministerstvá z úveru EIB nečerpajú) bolo v roku 2006 zahájené čerpan</w:t>
      </w:r>
      <w:r w:rsidR="00E42525">
        <w:rPr>
          <w:rFonts w:ascii="Times New Roman" w:hAnsi="Times New Roman" w:cs="Times New Roman"/>
        </w:rPr>
        <w:t>ie prostriedkov z daného úveru v celkovej výške 603,8 mil. Sk.</w:t>
      </w:r>
    </w:p>
    <w:p w:rsidR="00FB6644" w:rsidRPr="00FB6644" w:rsidP="00FB6644">
      <w:pPr>
        <w:autoSpaceDE/>
        <w:autoSpaceDN/>
        <w:spacing w:before="120" w:after="120" w:line="360" w:lineRule="auto"/>
        <w:ind w:firstLine="708"/>
        <w:jc w:val="both"/>
        <w:rPr>
          <w:rFonts w:ascii="Times New Roman" w:hAnsi="Times New Roman" w:cs="Times New Roman"/>
          <w:noProof/>
        </w:rPr>
      </w:pPr>
      <w:r w:rsidRPr="00FB6644">
        <w:rPr>
          <w:rFonts w:ascii="Times New Roman" w:hAnsi="Times New Roman" w:cs="Times New Roman"/>
        </w:rPr>
        <w:t xml:space="preserve">V rámci </w:t>
      </w:r>
      <w:r w:rsidRPr="00FB6644">
        <w:rPr>
          <w:rFonts w:ascii="Times New Roman" w:hAnsi="Times New Roman" w:cs="Times New Roman"/>
          <w:b/>
          <w:bCs/>
        </w:rPr>
        <w:t>Kohézneho fondu</w:t>
      </w:r>
      <w:r w:rsidRPr="00FB6644">
        <w:rPr>
          <w:rFonts w:ascii="Times New Roman" w:hAnsi="Times New Roman" w:cs="Times New Roman"/>
        </w:rPr>
        <w:t xml:space="preserve"> bolo EK doteraz schválených 9 projektov, z čoho 7 je v sektore životného prostredia a 2 sektore dopravy. Na účty platobného orgánu boli pripísané finančné prostriedky predstavujúce 16,6</w:t>
      </w:r>
      <w:r w:rsidR="00C2680B">
        <w:rPr>
          <w:rFonts w:ascii="Times New Roman" w:hAnsi="Times New Roman" w:cs="Times New Roman"/>
        </w:rPr>
        <w:t xml:space="preserve"> </w:t>
      </w:r>
      <w:r w:rsidRPr="00FB6644">
        <w:rPr>
          <w:rFonts w:ascii="Times New Roman" w:hAnsi="Times New Roman" w:cs="Times New Roman"/>
        </w:rPr>
        <w:t xml:space="preserve">% (41,8 mil. EUR) z celkovej alokácie prostriedkov EÚ. Uvedené prostriedky predstavujú prvú priebežnú platbu pre projekt </w:t>
      </w:r>
      <w:r w:rsidRPr="00FB6644">
        <w:rPr>
          <w:rFonts w:ascii="Times New Roman" w:hAnsi="Times New Roman" w:cs="Times New Roman"/>
          <w:noProof/>
        </w:rPr>
        <w:t>„Výstavba diaľnice D1, úsek Mengusovce</w:t>
      </w:r>
      <w:r w:rsidRPr="00FB6644">
        <w:rPr>
          <w:rFonts w:ascii="Times New Roman" w:hAnsi="Times New Roman" w:cs="Times New Roman"/>
          <w:noProof/>
        </w:rPr>
        <w:t xml:space="preserve"> – Jánovce na Slovensku“ a zálohové platby pre štyri projekty Kohézneho fondu (3 </w:t>
      </w:r>
      <w:r w:rsidRPr="00FB6644">
        <w:rPr>
          <w:rFonts w:ascii="Times New Roman" w:hAnsi="Times New Roman" w:cs="Times New Roman"/>
        </w:rPr>
        <w:t>v sektore životného prostredia a 1 sektore dopravy)</w:t>
      </w:r>
      <w:r w:rsidRPr="00FB6644">
        <w:rPr>
          <w:rFonts w:ascii="Times New Roman" w:hAnsi="Times New Roman" w:cs="Times New Roman"/>
          <w:noProof/>
        </w:rPr>
        <w:t xml:space="preserve">. </w:t>
      </w:r>
    </w:p>
    <w:p w:rsidR="00585D15" w:rsidP="00FB6644">
      <w:pPr>
        <w:pStyle w:val="Heading4"/>
        <w:spacing w:before="120" w:after="120" w:line="360" w:lineRule="auto"/>
        <w:jc w:val="center"/>
        <w:rPr>
          <w:rFonts w:ascii="Times New Roman" w:hAnsi="Times New Roman" w:cs="Times New Roman"/>
          <w:sz w:val="24"/>
        </w:rPr>
      </w:pPr>
    </w:p>
    <w:p w:rsidR="00FB6644" w:rsidRPr="00FB6644" w:rsidP="00FB6644">
      <w:pPr>
        <w:pStyle w:val="Heading4"/>
        <w:spacing w:before="120" w:after="120" w:line="360" w:lineRule="auto"/>
        <w:jc w:val="center"/>
        <w:rPr>
          <w:rFonts w:ascii="Times New Roman" w:hAnsi="Times New Roman" w:cs="Times New Roman"/>
          <w:sz w:val="24"/>
        </w:rPr>
      </w:pPr>
      <w:r w:rsidRPr="00FB6644">
        <w:rPr>
          <w:rFonts w:ascii="Times New Roman" w:hAnsi="Times New Roman" w:cs="Times New Roman"/>
          <w:sz w:val="24"/>
        </w:rPr>
        <w:t>2.3.2.2.2. Výdavky na použitie prostriedkov z rozpočtu Európskej únie na realizáciu spoločných programov Slovenskej republiky a Európskej únie nezaradených do výdavkov štátneho rozpočtu</w:t>
      </w:r>
    </w:p>
    <w:p w:rsidR="00FB6644" w:rsidRPr="00FB6644" w:rsidP="00FB6644">
      <w:pPr>
        <w:pStyle w:val="Heading4"/>
        <w:spacing w:before="120" w:after="120" w:line="360" w:lineRule="auto"/>
        <w:rPr>
          <w:rFonts w:ascii="Times New Roman" w:hAnsi="Times New Roman" w:cs="Times New Roman"/>
          <w:sz w:val="24"/>
          <w:u w:val="single"/>
        </w:rPr>
      </w:pPr>
      <w:r w:rsidRPr="00FB6644">
        <w:rPr>
          <w:rFonts w:ascii="Times New Roman" w:hAnsi="Times New Roman" w:cs="Times New Roman"/>
          <w:sz w:val="24"/>
          <w:u w:val="single"/>
        </w:rPr>
        <w:t>A. Predvstupové fondy</w:t>
      </w:r>
    </w:p>
    <w:p w:rsidR="00FB6644" w:rsidRPr="00FB6644" w:rsidP="00FB6644">
      <w:pPr>
        <w:spacing w:before="120" w:after="120" w:line="360" w:lineRule="auto"/>
        <w:ind w:firstLine="708"/>
        <w:jc w:val="both"/>
        <w:rPr>
          <w:rFonts w:ascii="Times New Roman" w:hAnsi="Times New Roman" w:cs="Times New Roman"/>
        </w:rPr>
      </w:pPr>
      <w:r w:rsidRPr="00FB6644">
        <w:rPr>
          <w:rFonts w:ascii="Times New Roman" w:hAnsi="Times New Roman" w:cs="Times New Roman"/>
        </w:rPr>
        <w:t xml:space="preserve">V roku 2006 SR pokračovala v čerpaní finančných prostriedkov v rámci predvstupových fondov PHARE, ISPA a SAPARD. </w:t>
      </w:r>
    </w:p>
    <w:p w:rsidR="00FB6644" w:rsidRPr="00FB6644" w:rsidP="00FB6644">
      <w:pPr>
        <w:spacing w:before="120" w:after="120" w:line="360" w:lineRule="auto"/>
        <w:ind w:firstLine="708"/>
        <w:jc w:val="both"/>
        <w:rPr>
          <w:rFonts w:ascii="Times New Roman" w:hAnsi="Times New Roman" w:cs="Times New Roman"/>
        </w:rPr>
      </w:pPr>
      <w:r w:rsidRPr="00FB6644">
        <w:rPr>
          <w:rFonts w:ascii="Times New Roman" w:hAnsi="Times New Roman" w:cs="Times New Roman"/>
        </w:rPr>
        <w:t>Podrobnejšie údaje o čerpaní prostriedkov EÚ z úrovne IA za jednotlivé fondy sú uvedené v nasledujúcej tabuľke ( v mil. Sk):</w:t>
      </w:r>
    </w:p>
    <w:tbl>
      <w:tblPr>
        <w:tblW w:w="9073"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CellMar>
          <w:left w:w="70" w:type="dxa"/>
          <w:right w:w="70" w:type="dxa"/>
        </w:tblCellMar>
      </w:tblPr>
      <w:tblGrid>
        <w:gridCol w:w="1330"/>
        <w:gridCol w:w="1260"/>
        <w:gridCol w:w="1080"/>
        <w:gridCol w:w="1080"/>
        <w:gridCol w:w="1260"/>
        <w:gridCol w:w="1088"/>
        <w:gridCol w:w="907"/>
        <w:gridCol w:w="1068"/>
      </w:tblGrid>
      <w:tr>
        <w:tblPrEx>
          <w:tblW w:w="9073"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CellMar>
            <w:left w:w="70" w:type="dxa"/>
            <w:right w:w="70" w:type="dxa"/>
          </w:tblCellMar>
        </w:tblPrEx>
        <w:trPr>
          <w:cantSplit/>
          <w:trHeight w:val="299"/>
        </w:trPr>
        <w:tc>
          <w:tcPr>
            <w:tcW w:w="1330" w:type="dxa"/>
            <w:vMerge w:val="restart"/>
            <w:tcBorders>
              <w:top w:val="single" w:sz="8" w:space="0" w:color="auto"/>
              <w:left w:val="single" w:sz="8" w:space="0" w:color="auto"/>
              <w:bottom w:val="single" w:sz="4" w:space="0" w:color="auto"/>
              <w:right w:val="single" w:sz="4" w:space="0" w:color="auto"/>
              <w:tl2br w:val="nil"/>
              <w:tr2bl w:val="nil"/>
            </w:tcBorders>
            <w:shd w:val="clear" w:color="auto" w:fill="FFFFFF"/>
            <w:textDirection w:val="lrTb"/>
            <w:vAlign w:val="center"/>
          </w:tcPr>
          <w:p w:rsidR="00FB6644" w:rsidRPr="008E4E2F" w:rsidP="00FB6644">
            <w:pPr>
              <w:jc w:val="center"/>
              <w:rPr>
                <w:rFonts w:ascii="Times New Roman" w:hAnsi="Times New Roman" w:cs="Times New Roman"/>
                <w:sz w:val="20"/>
                <w:szCs w:val="20"/>
              </w:rPr>
            </w:pPr>
          </w:p>
        </w:tc>
        <w:tc>
          <w:tcPr>
            <w:tcW w:w="1260" w:type="dxa"/>
            <w:vMerge w:val="restart"/>
            <w:tcBorders>
              <w:top w:val="single" w:sz="8"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FB6644" w:rsidRPr="008E4E2F" w:rsidP="00FB6644">
            <w:pPr>
              <w:jc w:val="center"/>
              <w:rPr>
                <w:rFonts w:ascii="Times New Roman" w:hAnsi="Times New Roman" w:cs="Times New Roman"/>
                <w:b/>
                <w:bCs/>
                <w:sz w:val="20"/>
                <w:szCs w:val="20"/>
              </w:rPr>
            </w:pPr>
            <w:r w:rsidRPr="008E4E2F">
              <w:rPr>
                <w:rFonts w:ascii="Times New Roman" w:hAnsi="Times New Roman" w:cs="Times New Roman"/>
                <w:b/>
                <w:bCs/>
                <w:sz w:val="20"/>
                <w:szCs w:val="20"/>
              </w:rPr>
              <w:t>Skutočnosť 2005</w:t>
            </w:r>
          </w:p>
        </w:tc>
        <w:tc>
          <w:tcPr>
            <w:tcW w:w="2160" w:type="dxa"/>
            <w:gridSpan w:val="2"/>
            <w:tcBorders>
              <w:top w:val="single" w:sz="8"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8E4E2F" w:rsidP="00FB6644">
            <w:pPr>
              <w:jc w:val="center"/>
              <w:rPr>
                <w:rFonts w:ascii="Times New Roman" w:hAnsi="Times New Roman" w:cs="Times New Roman"/>
                <w:b/>
                <w:bCs/>
                <w:sz w:val="20"/>
                <w:szCs w:val="20"/>
              </w:rPr>
            </w:pPr>
            <w:r w:rsidRPr="008E4E2F">
              <w:rPr>
                <w:rFonts w:ascii="Times New Roman" w:hAnsi="Times New Roman" w:cs="Times New Roman"/>
                <w:b/>
                <w:bCs/>
                <w:sz w:val="20"/>
                <w:szCs w:val="20"/>
              </w:rPr>
              <w:t>Rozpočet 2006</w:t>
            </w:r>
          </w:p>
        </w:tc>
        <w:tc>
          <w:tcPr>
            <w:tcW w:w="1260" w:type="dxa"/>
            <w:vMerge w:val="restart"/>
            <w:tcBorders>
              <w:top w:val="single" w:sz="8"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FB6644" w:rsidRPr="008E4E2F" w:rsidP="008E4E2F">
            <w:pPr>
              <w:jc w:val="center"/>
              <w:rPr>
                <w:rFonts w:ascii="Times New Roman" w:hAnsi="Times New Roman" w:cs="Times New Roman"/>
                <w:b/>
                <w:bCs/>
                <w:sz w:val="20"/>
                <w:szCs w:val="20"/>
              </w:rPr>
            </w:pPr>
            <w:r w:rsidRPr="008E4E2F">
              <w:rPr>
                <w:rFonts w:ascii="Times New Roman" w:hAnsi="Times New Roman" w:cs="Times New Roman"/>
                <w:b/>
                <w:bCs/>
                <w:sz w:val="20"/>
                <w:szCs w:val="20"/>
              </w:rPr>
              <w:t>Skutočnosť 2006</w:t>
            </w:r>
          </w:p>
        </w:tc>
        <w:tc>
          <w:tcPr>
            <w:tcW w:w="1088" w:type="dxa"/>
            <w:vMerge w:val="restart"/>
            <w:tcBorders>
              <w:top w:val="single" w:sz="8"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FB6644" w:rsidRPr="008E4E2F" w:rsidP="00FB6644">
            <w:pPr>
              <w:jc w:val="center"/>
              <w:rPr>
                <w:rFonts w:ascii="Times New Roman" w:hAnsi="Times New Roman" w:cs="Times New Roman"/>
                <w:b/>
                <w:bCs/>
                <w:sz w:val="20"/>
                <w:szCs w:val="20"/>
              </w:rPr>
            </w:pPr>
            <w:r w:rsidRPr="008E4E2F">
              <w:rPr>
                <w:rFonts w:ascii="Times New Roman" w:hAnsi="Times New Roman" w:cs="Times New Roman"/>
                <w:b/>
                <w:bCs/>
                <w:sz w:val="20"/>
                <w:szCs w:val="20"/>
              </w:rPr>
              <w:t>Plnenie v %</w:t>
            </w:r>
          </w:p>
        </w:tc>
        <w:tc>
          <w:tcPr>
            <w:tcW w:w="907" w:type="dxa"/>
            <w:vMerge w:val="restart"/>
            <w:tcBorders>
              <w:top w:val="single" w:sz="8"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FB6644" w:rsidRPr="008E4E2F" w:rsidP="00FB6644">
            <w:pPr>
              <w:jc w:val="center"/>
              <w:rPr>
                <w:rFonts w:ascii="Times New Roman" w:hAnsi="Times New Roman" w:cs="Times New Roman"/>
                <w:b/>
                <w:bCs/>
                <w:sz w:val="20"/>
                <w:szCs w:val="20"/>
              </w:rPr>
            </w:pPr>
            <w:r w:rsidRPr="008E4E2F">
              <w:rPr>
                <w:rFonts w:ascii="Times New Roman" w:hAnsi="Times New Roman" w:cs="Times New Roman"/>
                <w:b/>
                <w:bCs/>
                <w:sz w:val="20"/>
                <w:szCs w:val="20"/>
              </w:rPr>
              <w:t>Rozdiel 2005-2006</w:t>
            </w:r>
          </w:p>
        </w:tc>
        <w:tc>
          <w:tcPr>
            <w:tcW w:w="1068" w:type="dxa"/>
            <w:vMerge w:val="restart"/>
            <w:tcBorders>
              <w:top w:val="single" w:sz="8" w:space="0" w:color="auto"/>
              <w:left w:val="single" w:sz="4" w:space="0" w:color="auto"/>
              <w:bottom w:val="single" w:sz="4" w:space="0" w:color="auto"/>
              <w:right w:val="single" w:sz="8" w:space="0" w:color="auto"/>
              <w:tl2br w:val="nil"/>
              <w:tr2bl w:val="nil"/>
            </w:tcBorders>
            <w:shd w:val="clear" w:color="auto" w:fill="FFFFFF"/>
            <w:textDirection w:val="lrTb"/>
            <w:vAlign w:val="center"/>
          </w:tcPr>
          <w:p w:rsidR="00FB6644" w:rsidRPr="008E4E2F" w:rsidP="00FB6644">
            <w:pPr>
              <w:jc w:val="center"/>
              <w:rPr>
                <w:rFonts w:ascii="Times New Roman" w:hAnsi="Times New Roman" w:cs="Times New Roman"/>
                <w:b/>
                <w:bCs/>
                <w:sz w:val="20"/>
                <w:szCs w:val="20"/>
                <w:lang w:val="en-US"/>
              </w:rPr>
            </w:pPr>
            <w:r w:rsidRPr="008E4E2F">
              <w:rPr>
                <w:rFonts w:ascii="Times New Roman" w:hAnsi="Times New Roman" w:cs="Times New Roman"/>
                <w:b/>
                <w:bCs/>
                <w:sz w:val="20"/>
                <w:szCs w:val="20"/>
              </w:rPr>
              <w:t>Index 2006/</w:t>
            </w:r>
            <w:r w:rsidRPr="008E4E2F">
              <w:rPr>
                <w:rFonts w:ascii="Times New Roman" w:hAnsi="Times New Roman" w:cs="Times New Roman"/>
                <w:b/>
                <w:bCs/>
                <w:sz w:val="20"/>
                <w:szCs w:val="20"/>
                <w:lang w:val="en-US"/>
              </w:rPr>
              <w:t>2005</w:t>
            </w:r>
          </w:p>
        </w:tc>
      </w:tr>
      <w:tr>
        <w:tblPrEx>
          <w:tblW w:w="9073" w:type="dxa"/>
          <w:tblCellMar>
            <w:left w:w="70" w:type="dxa"/>
            <w:right w:w="70" w:type="dxa"/>
          </w:tblCellMar>
        </w:tblPrEx>
        <w:trPr>
          <w:cantSplit/>
          <w:trHeight w:val="299"/>
        </w:trPr>
        <w:tc>
          <w:tcPr>
            <w:tcW w:w="1330" w:type="dxa"/>
            <w:vMerge/>
            <w:tcBorders>
              <w:top w:val="single" w:sz="4" w:space="0" w:color="auto"/>
              <w:left w:val="single" w:sz="8" w:space="0" w:color="auto"/>
              <w:bottom w:val="single" w:sz="4" w:space="0" w:color="auto"/>
              <w:right w:val="single" w:sz="4" w:space="0" w:color="auto"/>
              <w:tl2br w:val="nil"/>
              <w:tr2bl w:val="nil"/>
            </w:tcBorders>
            <w:textDirection w:val="lrTb"/>
            <w:vAlign w:val="center"/>
          </w:tcPr>
          <w:p w:rsidR="00FB6644" w:rsidRPr="008E4E2F" w:rsidP="00FB6644">
            <w:pPr>
              <w:jc w:val="center"/>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FB6644" w:rsidRPr="008E4E2F" w:rsidP="00FB6644">
            <w:pPr>
              <w:jc w:val="center"/>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FB6644" w:rsidRPr="008E4E2F" w:rsidP="00FB6644">
            <w:pPr>
              <w:jc w:val="center"/>
              <w:rPr>
                <w:rFonts w:ascii="Times New Roman" w:hAnsi="Times New Roman" w:cs="Times New Roman"/>
                <w:b/>
                <w:bCs/>
                <w:sz w:val="20"/>
                <w:szCs w:val="20"/>
              </w:rPr>
            </w:pPr>
            <w:r w:rsidRPr="008E4E2F">
              <w:rPr>
                <w:rFonts w:ascii="Times New Roman" w:hAnsi="Times New Roman" w:cs="Times New Roman"/>
                <w:b/>
                <w:bCs/>
                <w:sz w:val="20"/>
                <w:szCs w:val="20"/>
              </w:rPr>
              <w:t>Schválený</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FB6644" w:rsidRPr="008E4E2F" w:rsidP="00FB6644">
            <w:pPr>
              <w:jc w:val="center"/>
              <w:rPr>
                <w:rFonts w:ascii="Times New Roman" w:hAnsi="Times New Roman" w:cs="Times New Roman"/>
                <w:b/>
                <w:bCs/>
                <w:sz w:val="20"/>
                <w:szCs w:val="20"/>
              </w:rPr>
            </w:pPr>
            <w:r w:rsidRPr="008E4E2F">
              <w:rPr>
                <w:rFonts w:ascii="Times New Roman" w:hAnsi="Times New Roman" w:cs="Times New Roman"/>
                <w:b/>
                <w:bCs/>
                <w:sz w:val="20"/>
                <w:szCs w:val="20"/>
              </w:rPr>
              <w:t>Upravený</w:t>
            </w:r>
          </w:p>
        </w:tc>
        <w:tc>
          <w:tcPr>
            <w:tcW w:w="126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FB6644" w:rsidRPr="008E4E2F" w:rsidP="00FB6644">
            <w:pPr>
              <w:jc w:val="center"/>
              <w:rPr>
                <w:rFonts w:ascii="Times New Roman" w:hAnsi="Times New Roman" w:cs="Times New Roman"/>
                <w:b/>
                <w:bCs/>
                <w:sz w:val="20"/>
                <w:szCs w:val="20"/>
              </w:rPr>
            </w:pPr>
          </w:p>
        </w:tc>
        <w:tc>
          <w:tcPr>
            <w:tcW w:w="1088"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FB6644" w:rsidRPr="008E4E2F" w:rsidP="00FB6644">
            <w:pPr>
              <w:jc w:val="center"/>
              <w:rPr>
                <w:rFonts w:ascii="Times New Roman" w:hAnsi="Times New Roman" w:cs="Times New Roman"/>
                <w:b/>
                <w:bCs/>
                <w:sz w:val="20"/>
                <w:szCs w:val="20"/>
              </w:rPr>
            </w:pPr>
          </w:p>
        </w:tc>
        <w:tc>
          <w:tcPr>
            <w:tcW w:w="907"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FB6644" w:rsidRPr="008E4E2F" w:rsidP="00FB6644">
            <w:pPr>
              <w:jc w:val="center"/>
              <w:rPr>
                <w:rFonts w:ascii="Times New Roman" w:hAnsi="Times New Roman" w:cs="Times New Roman"/>
                <w:b/>
                <w:bCs/>
                <w:sz w:val="20"/>
                <w:szCs w:val="20"/>
              </w:rPr>
            </w:pPr>
          </w:p>
        </w:tc>
        <w:tc>
          <w:tcPr>
            <w:tcW w:w="1068" w:type="dxa"/>
            <w:vMerge/>
            <w:tcBorders>
              <w:top w:val="single" w:sz="4" w:space="0" w:color="auto"/>
              <w:left w:val="single" w:sz="4" w:space="0" w:color="auto"/>
              <w:bottom w:val="single" w:sz="4" w:space="0" w:color="auto"/>
              <w:right w:val="single" w:sz="8" w:space="0" w:color="auto"/>
              <w:tl2br w:val="nil"/>
              <w:tr2bl w:val="nil"/>
            </w:tcBorders>
            <w:textDirection w:val="lrTb"/>
            <w:vAlign w:val="top"/>
          </w:tcPr>
          <w:p w:rsidR="00FB6644" w:rsidRPr="008E4E2F" w:rsidP="00FB6644">
            <w:pPr>
              <w:jc w:val="center"/>
              <w:rPr>
                <w:rFonts w:ascii="Times New Roman" w:hAnsi="Times New Roman" w:cs="Times New Roman"/>
                <w:b/>
                <w:bCs/>
                <w:sz w:val="20"/>
                <w:szCs w:val="20"/>
              </w:rPr>
            </w:pPr>
          </w:p>
        </w:tc>
      </w:tr>
      <w:tr>
        <w:tblPrEx>
          <w:tblW w:w="9073" w:type="dxa"/>
          <w:tblCellMar>
            <w:left w:w="70" w:type="dxa"/>
            <w:right w:w="70" w:type="dxa"/>
          </w:tblCellMar>
        </w:tblPrEx>
        <w:trPr>
          <w:cantSplit/>
          <w:trHeight w:val="151"/>
        </w:trPr>
        <w:tc>
          <w:tcPr>
            <w:tcW w:w="1330" w:type="dxa"/>
            <w:vMerge/>
            <w:tcBorders>
              <w:top w:val="single" w:sz="4" w:space="0" w:color="auto"/>
              <w:left w:val="single" w:sz="8" w:space="0" w:color="auto"/>
              <w:bottom w:val="single" w:sz="4" w:space="0" w:color="auto"/>
              <w:right w:val="single" w:sz="4" w:space="0" w:color="auto"/>
              <w:tl2br w:val="nil"/>
              <w:tr2bl w:val="nil"/>
            </w:tcBorders>
            <w:textDirection w:val="lrTb"/>
            <w:vAlign w:val="center"/>
          </w:tcPr>
          <w:p w:rsidR="00FB6644" w:rsidRPr="008E4E2F" w:rsidP="00FB6644">
            <w:pPr>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1</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2</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3</w:t>
            </w:r>
          </w:p>
        </w:tc>
        <w:tc>
          <w:tcPr>
            <w:tcW w:w="126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4</w:t>
            </w:r>
          </w:p>
        </w:tc>
        <w:tc>
          <w:tcPr>
            <w:tcW w:w="1088"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5= 4/3*100</w:t>
            </w:r>
          </w:p>
        </w:tc>
        <w:tc>
          <w:tcPr>
            <w:tcW w:w="907"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6= 4 – 1</w:t>
            </w:r>
          </w:p>
        </w:tc>
        <w:tc>
          <w:tcPr>
            <w:tcW w:w="1068" w:type="dxa"/>
            <w:tcBorders>
              <w:top w:val="single" w:sz="4" w:space="0" w:color="auto"/>
              <w:left w:val="single" w:sz="4" w:space="0" w:color="auto"/>
              <w:bottom w:val="single" w:sz="4" w:space="0" w:color="auto"/>
              <w:right w:val="single" w:sz="8"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7=4/1*100</w:t>
            </w:r>
          </w:p>
        </w:tc>
      </w:tr>
      <w:tr>
        <w:tblPrEx>
          <w:tblW w:w="9073" w:type="dxa"/>
          <w:tblCellMar>
            <w:left w:w="70" w:type="dxa"/>
            <w:right w:w="70" w:type="dxa"/>
          </w:tblCellMar>
        </w:tblPrEx>
        <w:trPr>
          <w:trHeight w:val="60"/>
        </w:trPr>
        <w:tc>
          <w:tcPr>
            <w:tcW w:w="133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FB6644" w:rsidRPr="008E4E2F" w:rsidP="00FB6644">
            <w:pPr>
              <w:rPr>
                <w:rFonts w:ascii="Times New Roman" w:hAnsi="Times New Roman" w:cs="Times New Roman"/>
                <w:sz w:val="20"/>
                <w:szCs w:val="20"/>
              </w:rPr>
            </w:pPr>
            <w:r w:rsidRPr="008E4E2F">
              <w:rPr>
                <w:rFonts w:ascii="Times New Roman" w:hAnsi="Times New Roman" w:cs="Times New Roman"/>
                <w:sz w:val="20"/>
                <w:szCs w:val="20"/>
              </w:rPr>
              <w:t>PHARE</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1 875,4</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688,5</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688,5</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1 624,2</w:t>
            </w:r>
          </w:p>
        </w:tc>
        <w:tc>
          <w:tcPr>
            <w:tcW w:w="1088"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235,9</w:t>
            </w:r>
          </w:p>
        </w:tc>
        <w:tc>
          <w:tcPr>
            <w:tcW w:w="907"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-251,2</w:t>
            </w:r>
          </w:p>
        </w:tc>
        <w:tc>
          <w:tcPr>
            <w:tcW w:w="1068"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86,6</w:t>
            </w:r>
          </w:p>
        </w:tc>
      </w:tr>
      <w:tr>
        <w:tblPrEx>
          <w:tblW w:w="9073" w:type="dxa"/>
          <w:tblCellMar>
            <w:left w:w="70" w:type="dxa"/>
            <w:right w:w="70" w:type="dxa"/>
          </w:tblCellMar>
        </w:tblPrEx>
        <w:trPr>
          <w:trHeight w:val="119"/>
        </w:trPr>
        <w:tc>
          <w:tcPr>
            <w:tcW w:w="133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FB6644" w:rsidRPr="008E4E2F" w:rsidP="00FB6644">
            <w:pPr>
              <w:rPr>
                <w:rFonts w:ascii="Times New Roman" w:hAnsi="Times New Roman" w:cs="Times New Roman"/>
                <w:sz w:val="20"/>
                <w:szCs w:val="20"/>
              </w:rPr>
            </w:pPr>
            <w:r w:rsidRPr="008E4E2F">
              <w:rPr>
                <w:rFonts w:ascii="Times New Roman" w:hAnsi="Times New Roman" w:cs="Times New Roman"/>
                <w:sz w:val="20"/>
                <w:szCs w:val="20"/>
              </w:rPr>
              <w:t>ISPA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2 615,0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4 015,9</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4 015,9</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2 721,2</w:t>
            </w:r>
          </w:p>
        </w:tc>
        <w:tc>
          <w:tcPr>
            <w:tcW w:w="1088"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67,8</w:t>
            </w:r>
          </w:p>
        </w:tc>
        <w:tc>
          <w:tcPr>
            <w:tcW w:w="907"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106,2</w:t>
            </w:r>
          </w:p>
        </w:tc>
        <w:tc>
          <w:tcPr>
            <w:tcW w:w="1068"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104,1</w:t>
            </w:r>
          </w:p>
        </w:tc>
      </w:tr>
      <w:tr>
        <w:tblPrEx>
          <w:tblW w:w="9073" w:type="dxa"/>
          <w:tblCellMar>
            <w:left w:w="70" w:type="dxa"/>
            <w:right w:w="70" w:type="dxa"/>
          </w:tblCellMar>
        </w:tblPrEx>
        <w:trPr>
          <w:trHeight w:val="60"/>
        </w:trPr>
        <w:tc>
          <w:tcPr>
            <w:tcW w:w="133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FB6644" w:rsidRPr="008E4E2F" w:rsidP="00FB6644">
            <w:pPr>
              <w:rPr>
                <w:rFonts w:ascii="Times New Roman" w:hAnsi="Times New Roman" w:cs="Times New Roman"/>
                <w:sz w:val="20"/>
                <w:szCs w:val="20"/>
              </w:rPr>
            </w:pPr>
            <w:r w:rsidRPr="008E4E2F">
              <w:rPr>
                <w:rFonts w:ascii="Times New Roman" w:hAnsi="Times New Roman" w:cs="Times New Roman"/>
                <w:sz w:val="20"/>
                <w:szCs w:val="20"/>
              </w:rPr>
              <w:t>SAPARD</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1 233,3</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451,2</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451,2</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496,0</w:t>
            </w:r>
          </w:p>
        </w:tc>
        <w:tc>
          <w:tcPr>
            <w:tcW w:w="1088"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109,9</w:t>
            </w:r>
          </w:p>
        </w:tc>
        <w:tc>
          <w:tcPr>
            <w:tcW w:w="907"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-737,3</w:t>
            </w:r>
          </w:p>
        </w:tc>
        <w:tc>
          <w:tcPr>
            <w:tcW w:w="1068"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40,2</w:t>
            </w:r>
          </w:p>
        </w:tc>
      </w:tr>
      <w:tr>
        <w:tblPrEx>
          <w:tblW w:w="9073" w:type="dxa"/>
          <w:tblCellMar>
            <w:left w:w="70" w:type="dxa"/>
            <w:right w:w="70" w:type="dxa"/>
          </w:tblCellMar>
        </w:tblPrEx>
        <w:trPr>
          <w:trHeight w:val="377"/>
        </w:trPr>
        <w:tc>
          <w:tcPr>
            <w:tcW w:w="1330" w:type="dxa"/>
            <w:tcBorders>
              <w:top w:val="single" w:sz="4" w:space="0" w:color="auto"/>
              <w:left w:val="single" w:sz="8" w:space="0" w:color="auto"/>
              <w:bottom w:val="double" w:sz="6" w:space="0" w:color="auto"/>
              <w:right w:val="single" w:sz="4" w:space="0" w:color="auto"/>
              <w:tl2br w:val="nil"/>
              <w:tr2bl w:val="nil"/>
            </w:tcBorders>
            <w:textDirection w:val="lrTb"/>
            <w:vAlign w:val="top"/>
          </w:tcPr>
          <w:p w:rsidR="00FB6644" w:rsidRPr="008E4E2F" w:rsidP="00FB6644">
            <w:pPr>
              <w:rPr>
                <w:rFonts w:ascii="Times New Roman" w:hAnsi="Times New Roman" w:cs="Times New Roman"/>
                <w:b/>
                <w:bCs/>
                <w:sz w:val="20"/>
                <w:szCs w:val="20"/>
              </w:rPr>
            </w:pPr>
            <w:r w:rsidRPr="008E4E2F">
              <w:rPr>
                <w:rFonts w:ascii="Times New Roman" w:hAnsi="Times New Roman" w:cs="Times New Roman"/>
                <w:b/>
                <w:bCs/>
                <w:sz w:val="20"/>
                <w:szCs w:val="20"/>
              </w:rPr>
              <w:t>Predvstupové fondy spolu</w:t>
            </w:r>
          </w:p>
        </w:tc>
        <w:tc>
          <w:tcPr>
            <w:tcW w:w="1260"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b/>
                <w:bCs/>
                <w:sz w:val="20"/>
                <w:szCs w:val="20"/>
              </w:rPr>
            </w:pPr>
            <w:r w:rsidRPr="008E4E2F">
              <w:rPr>
                <w:rFonts w:ascii="Times New Roman" w:hAnsi="Times New Roman" w:cs="Times New Roman"/>
                <w:b/>
                <w:bCs/>
                <w:sz w:val="20"/>
                <w:szCs w:val="20"/>
              </w:rPr>
              <w:t>5 723,7</w:t>
            </w:r>
          </w:p>
        </w:tc>
        <w:tc>
          <w:tcPr>
            <w:tcW w:w="1080"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b/>
                <w:bCs/>
                <w:sz w:val="20"/>
                <w:szCs w:val="20"/>
              </w:rPr>
            </w:pPr>
            <w:r w:rsidRPr="008E4E2F">
              <w:rPr>
                <w:rFonts w:ascii="Times New Roman" w:hAnsi="Times New Roman" w:cs="Times New Roman"/>
                <w:b/>
                <w:bCs/>
                <w:sz w:val="20"/>
                <w:szCs w:val="20"/>
              </w:rPr>
              <w:t>5 155,6</w:t>
            </w:r>
          </w:p>
        </w:tc>
        <w:tc>
          <w:tcPr>
            <w:tcW w:w="1080"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b/>
                <w:bCs/>
                <w:sz w:val="20"/>
                <w:szCs w:val="20"/>
              </w:rPr>
            </w:pPr>
            <w:r w:rsidRPr="008E4E2F">
              <w:rPr>
                <w:rFonts w:ascii="Times New Roman" w:hAnsi="Times New Roman" w:cs="Times New Roman"/>
                <w:b/>
                <w:bCs/>
                <w:sz w:val="20"/>
                <w:szCs w:val="20"/>
              </w:rPr>
              <w:t>5 155,6</w:t>
            </w:r>
          </w:p>
        </w:tc>
        <w:tc>
          <w:tcPr>
            <w:tcW w:w="1260"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b/>
                <w:bCs/>
                <w:sz w:val="20"/>
                <w:szCs w:val="20"/>
              </w:rPr>
            </w:pPr>
            <w:r w:rsidRPr="008E4E2F">
              <w:rPr>
                <w:rFonts w:ascii="Times New Roman" w:hAnsi="Times New Roman" w:cs="Times New Roman"/>
                <w:b/>
                <w:bCs/>
                <w:sz w:val="20"/>
                <w:szCs w:val="20"/>
              </w:rPr>
              <w:t>4 841,4</w:t>
            </w:r>
          </w:p>
        </w:tc>
        <w:tc>
          <w:tcPr>
            <w:tcW w:w="1088"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b/>
                <w:bCs/>
                <w:sz w:val="20"/>
                <w:szCs w:val="20"/>
              </w:rPr>
            </w:pPr>
            <w:r w:rsidRPr="008E4E2F">
              <w:rPr>
                <w:rFonts w:ascii="Times New Roman" w:hAnsi="Times New Roman" w:cs="Times New Roman"/>
                <w:b/>
                <w:bCs/>
                <w:sz w:val="20"/>
                <w:szCs w:val="20"/>
              </w:rPr>
              <w:t>93,9</w:t>
            </w:r>
          </w:p>
        </w:tc>
        <w:tc>
          <w:tcPr>
            <w:tcW w:w="907"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b/>
                <w:bCs/>
                <w:sz w:val="20"/>
                <w:szCs w:val="20"/>
              </w:rPr>
            </w:pPr>
            <w:r w:rsidRPr="008E4E2F">
              <w:rPr>
                <w:rFonts w:ascii="Times New Roman" w:hAnsi="Times New Roman" w:cs="Times New Roman"/>
                <w:b/>
                <w:bCs/>
                <w:sz w:val="20"/>
                <w:szCs w:val="20"/>
              </w:rPr>
              <w:t>-882,3</w:t>
            </w:r>
          </w:p>
        </w:tc>
        <w:tc>
          <w:tcPr>
            <w:tcW w:w="1068" w:type="dxa"/>
            <w:tcBorders>
              <w:top w:val="single" w:sz="4" w:space="0" w:color="auto"/>
              <w:left w:val="single" w:sz="4" w:space="0" w:color="auto"/>
              <w:bottom w:val="double" w:sz="6" w:space="0" w:color="auto"/>
              <w:right w:val="single" w:sz="8" w:space="0" w:color="auto"/>
              <w:tl2br w:val="nil"/>
              <w:tr2bl w:val="nil"/>
            </w:tcBorders>
            <w:textDirection w:val="lrTb"/>
            <w:vAlign w:val="bottom"/>
          </w:tcPr>
          <w:p w:rsidR="00FB6644" w:rsidRPr="008E4E2F" w:rsidP="00FB6644">
            <w:pPr>
              <w:jc w:val="right"/>
              <w:rPr>
                <w:rFonts w:ascii="Times New Roman" w:hAnsi="Times New Roman" w:cs="Times New Roman"/>
                <w:b/>
                <w:bCs/>
                <w:sz w:val="20"/>
                <w:szCs w:val="20"/>
              </w:rPr>
            </w:pPr>
            <w:r w:rsidRPr="008E4E2F">
              <w:rPr>
                <w:rFonts w:ascii="Times New Roman" w:hAnsi="Times New Roman" w:cs="Times New Roman"/>
                <w:b/>
                <w:bCs/>
                <w:sz w:val="20"/>
                <w:szCs w:val="20"/>
              </w:rPr>
              <w:t>84,6</w:t>
            </w:r>
          </w:p>
        </w:tc>
      </w:tr>
    </w:tbl>
    <w:p w:rsidR="00FB6644" w:rsidRPr="00FB6644" w:rsidP="00FB6644">
      <w:pPr>
        <w:spacing w:after="120" w:line="360" w:lineRule="auto"/>
        <w:ind w:firstLine="708"/>
        <w:rPr>
          <w:rFonts w:ascii="Times New Roman" w:hAnsi="Times New Roman" w:cs="Times New Roman"/>
        </w:rPr>
      </w:pPr>
    </w:p>
    <w:p w:rsidR="00FB6644" w:rsidRPr="00FB6644" w:rsidP="00FB6644">
      <w:pPr>
        <w:spacing w:after="120" w:line="360" w:lineRule="auto"/>
        <w:ind w:firstLine="708"/>
        <w:jc w:val="both"/>
        <w:rPr>
          <w:rFonts w:ascii="Times New Roman" w:hAnsi="Times New Roman" w:cs="Times New Roman"/>
        </w:rPr>
      </w:pPr>
      <w:r w:rsidRPr="00FB6644">
        <w:rPr>
          <w:rFonts w:ascii="Times New Roman" w:hAnsi="Times New Roman" w:cs="Times New Roman"/>
        </w:rPr>
        <w:t>Podrobnejšie údaje o čerpaní prostriedkov spolufinancovania z výdavkového účtu kapitoly VPS za  jednotlivé fondy sú uvedené v nasledujúcej tabuľke (v mil. Sk):</w:t>
      </w:r>
    </w:p>
    <w:p w:rsidR="003F1E58">
      <w:pPr>
        <w:rPr>
          <w:rFonts w:ascii="Times New Roman" w:hAnsi="Times New Roman" w:cs="Times New Roman"/>
        </w:rPr>
      </w:pPr>
      <w:r>
        <w:rPr>
          <w:rFonts w:ascii="Times New Roman" w:hAnsi="Times New Roman" w:cs="Times New Roman"/>
        </w:rPr>
        <w:br w:type="page"/>
      </w:r>
    </w:p>
    <w:tbl>
      <w:tblPr>
        <w:tblW w:w="9377" w:type="dxa"/>
        <w:tblInd w:w="53"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CellMar>
          <w:left w:w="70" w:type="dxa"/>
          <w:right w:w="70" w:type="dxa"/>
        </w:tblCellMar>
      </w:tblPr>
      <w:tblGrid>
        <w:gridCol w:w="1817"/>
        <w:gridCol w:w="1123"/>
        <w:gridCol w:w="1037"/>
        <w:gridCol w:w="1084"/>
        <w:gridCol w:w="1256"/>
        <w:gridCol w:w="1080"/>
        <w:gridCol w:w="900"/>
        <w:gridCol w:w="1080"/>
      </w:tblGrid>
      <w:tr>
        <w:tblPrEx>
          <w:tblW w:w="9377" w:type="dxa"/>
          <w:tblInd w:w="53"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CellMar>
            <w:left w:w="70" w:type="dxa"/>
            <w:right w:w="70" w:type="dxa"/>
          </w:tblCellMar>
        </w:tblPrEx>
        <w:trPr>
          <w:cantSplit/>
          <w:trHeight w:val="270"/>
        </w:trPr>
        <w:tc>
          <w:tcPr>
            <w:tcW w:w="1817" w:type="dxa"/>
            <w:vMerge w:val="restart"/>
            <w:tcBorders>
              <w:top w:val="single" w:sz="8" w:space="0" w:color="auto"/>
              <w:left w:val="single" w:sz="8" w:space="0" w:color="auto"/>
              <w:bottom w:val="single" w:sz="4" w:space="0" w:color="auto"/>
              <w:right w:val="single" w:sz="4" w:space="0" w:color="auto"/>
              <w:tl2br w:val="nil"/>
              <w:tr2bl w:val="nil"/>
            </w:tcBorders>
            <w:shd w:val="clear" w:color="auto" w:fill="FFFFFF"/>
            <w:textDirection w:val="lrTb"/>
            <w:vAlign w:val="center"/>
          </w:tcPr>
          <w:p w:rsidR="00FB6644" w:rsidRPr="008E4E2F" w:rsidP="00FB6644">
            <w:pPr>
              <w:jc w:val="center"/>
              <w:rPr>
                <w:rFonts w:ascii="Times New Roman" w:hAnsi="Times New Roman" w:cs="Times New Roman"/>
                <w:sz w:val="20"/>
                <w:szCs w:val="20"/>
              </w:rPr>
            </w:pPr>
          </w:p>
        </w:tc>
        <w:tc>
          <w:tcPr>
            <w:tcW w:w="1123" w:type="dxa"/>
            <w:vMerge w:val="restart"/>
            <w:tcBorders>
              <w:top w:val="single" w:sz="8"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FB6644" w:rsidRPr="008E4E2F" w:rsidP="00FB6644">
            <w:pPr>
              <w:jc w:val="center"/>
              <w:rPr>
                <w:rFonts w:ascii="Times New Roman" w:hAnsi="Times New Roman" w:cs="Times New Roman"/>
                <w:b/>
                <w:bCs/>
                <w:sz w:val="20"/>
                <w:szCs w:val="20"/>
              </w:rPr>
            </w:pPr>
            <w:r w:rsidRPr="008E4E2F">
              <w:rPr>
                <w:rFonts w:ascii="Times New Roman" w:hAnsi="Times New Roman" w:cs="Times New Roman"/>
                <w:b/>
                <w:bCs/>
                <w:sz w:val="20"/>
                <w:szCs w:val="20"/>
              </w:rPr>
              <w:t>Skutočnosť 2005</w:t>
            </w:r>
          </w:p>
        </w:tc>
        <w:tc>
          <w:tcPr>
            <w:tcW w:w="2121" w:type="dxa"/>
            <w:gridSpan w:val="2"/>
            <w:tcBorders>
              <w:top w:val="single" w:sz="8"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8E4E2F" w:rsidP="00FB6644">
            <w:pPr>
              <w:jc w:val="center"/>
              <w:rPr>
                <w:rFonts w:ascii="Times New Roman" w:hAnsi="Times New Roman" w:cs="Times New Roman"/>
                <w:b/>
                <w:bCs/>
                <w:sz w:val="20"/>
                <w:szCs w:val="20"/>
              </w:rPr>
            </w:pPr>
            <w:r w:rsidRPr="008E4E2F">
              <w:rPr>
                <w:rFonts w:ascii="Times New Roman" w:hAnsi="Times New Roman" w:cs="Times New Roman"/>
                <w:b/>
                <w:bCs/>
                <w:sz w:val="20"/>
                <w:szCs w:val="20"/>
              </w:rPr>
              <w:t>Rozpočet 2006</w:t>
            </w:r>
          </w:p>
        </w:tc>
        <w:tc>
          <w:tcPr>
            <w:tcW w:w="1256" w:type="dxa"/>
            <w:vMerge w:val="restart"/>
            <w:tcBorders>
              <w:top w:val="single" w:sz="8"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FB6644" w:rsidRPr="008E4E2F" w:rsidP="008E4E2F">
            <w:pPr>
              <w:jc w:val="center"/>
              <w:rPr>
                <w:rFonts w:ascii="Times New Roman" w:hAnsi="Times New Roman" w:cs="Times New Roman"/>
                <w:b/>
                <w:bCs/>
                <w:sz w:val="20"/>
                <w:szCs w:val="20"/>
              </w:rPr>
            </w:pPr>
            <w:r w:rsidRPr="008E4E2F">
              <w:rPr>
                <w:rFonts w:ascii="Times New Roman" w:hAnsi="Times New Roman" w:cs="Times New Roman"/>
                <w:b/>
                <w:bCs/>
                <w:sz w:val="20"/>
                <w:szCs w:val="20"/>
              </w:rPr>
              <w:t>Skutočnosť 2006</w:t>
            </w:r>
          </w:p>
        </w:tc>
        <w:tc>
          <w:tcPr>
            <w:tcW w:w="1080" w:type="dxa"/>
            <w:vMerge w:val="restart"/>
            <w:tcBorders>
              <w:top w:val="single" w:sz="8"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FB6644" w:rsidRPr="008E4E2F" w:rsidP="00FB6644">
            <w:pPr>
              <w:jc w:val="center"/>
              <w:rPr>
                <w:rFonts w:ascii="Times New Roman" w:hAnsi="Times New Roman" w:cs="Times New Roman"/>
                <w:b/>
                <w:bCs/>
                <w:sz w:val="20"/>
                <w:szCs w:val="20"/>
              </w:rPr>
            </w:pPr>
            <w:r w:rsidRPr="008E4E2F">
              <w:rPr>
                <w:rFonts w:ascii="Times New Roman" w:hAnsi="Times New Roman" w:cs="Times New Roman"/>
                <w:b/>
                <w:bCs/>
                <w:sz w:val="20"/>
                <w:szCs w:val="20"/>
              </w:rPr>
              <w:t>Plnenie v %</w:t>
            </w:r>
          </w:p>
        </w:tc>
        <w:tc>
          <w:tcPr>
            <w:tcW w:w="900" w:type="dxa"/>
            <w:vMerge w:val="restart"/>
            <w:tcBorders>
              <w:top w:val="single" w:sz="8"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FB6644" w:rsidRPr="008E4E2F" w:rsidP="00FB6644">
            <w:pPr>
              <w:jc w:val="center"/>
              <w:rPr>
                <w:rFonts w:ascii="Times New Roman" w:hAnsi="Times New Roman" w:cs="Times New Roman"/>
                <w:b/>
                <w:bCs/>
                <w:sz w:val="20"/>
                <w:szCs w:val="20"/>
              </w:rPr>
            </w:pPr>
            <w:r w:rsidRPr="008E4E2F">
              <w:rPr>
                <w:rFonts w:ascii="Times New Roman" w:hAnsi="Times New Roman" w:cs="Times New Roman"/>
                <w:b/>
                <w:bCs/>
                <w:sz w:val="20"/>
                <w:szCs w:val="20"/>
              </w:rPr>
              <w:t>Rozdiel 2005-2006</w:t>
            </w:r>
          </w:p>
        </w:tc>
        <w:tc>
          <w:tcPr>
            <w:tcW w:w="1080" w:type="dxa"/>
            <w:vMerge w:val="restart"/>
            <w:tcBorders>
              <w:top w:val="single" w:sz="8" w:space="0" w:color="auto"/>
              <w:left w:val="single" w:sz="4" w:space="0" w:color="auto"/>
              <w:bottom w:val="single" w:sz="4" w:space="0" w:color="auto"/>
              <w:right w:val="single" w:sz="8" w:space="0" w:color="auto"/>
              <w:tl2br w:val="nil"/>
              <w:tr2bl w:val="nil"/>
            </w:tcBorders>
            <w:shd w:val="clear" w:color="auto" w:fill="FFFFFF"/>
            <w:textDirection w:val="lrTb"/>
            <w:vAlign w:val="center"/>
          </w:tcPr>
          <w:p w:rsidR="00FB6644" w:rsidRPr="008E4E2F" w:rsidP="00FB6644">
            <w:pPr>
              <w:jc w:val="center"/>
              <w:rPr>
                <w:rFonts w:ascii="Times New Roman" w:hAnsi="Times New Roman" w:cs="Times New Roman"/>
                <w:b/>
                <w:bCs/>
                <w:sz w:val="20"/>
                <w:szCs w:val="20"/>
                <w:lang w:val="en-US"/>
              </w:rPr>
            </w:pPr>
            <w:r w:rsidRPr="008E4E2F">
              <w:rPr>
                <w:rFonts w:ascii="Times New Roman" w:hAnsi="Times New Roman" w:cs="Times New Roman"/>
                <w:b/>
                <w:bCs/>
                <w:sz w:val="20"/>
                <w:szCs w:val="20"/>
              </w:rPr>
              <w:t>Index 2006/</w:t>
            </w:r>
            <w:r w:rsidRPr="008E4E2F">
              <w:rPr>
                <w:rFonts w:ascii="Times New Roman" w:hAnsi="Times New Roman" w:cs="Times New Roman"/>
                <w:b/>
                <w:bCs/>
                <w:sz w:val="20"/>
                <w:szCs w:val="20"/>
                <w:lang w:val="en-US"/>
              </w:rPr>
              <w:t>2005</w:t>
            </w:r>
          </w:p>
        </w:tc>
      </w:tr>
      <w:tr>
        <w:tblPrEx>
          <w:tblW w:w="9377" w:type="dxa"/>
          <w:tblInd w:w="53" w:type="dxa"/>
          <w:tblLayout w:type="fixed"/>
          <w:tblCellMar>
            <w:left w:w="70" w:type="dxa"/>
            <w:right w:w="70" w:type="dxa"/>
          </w:tblCellMar>
        </w:tblPrEx>
        <w:trPr>
          <w:cantSplit/>
          <w:trHeight w:val="270"/>
        </w:trPr>
        <w:tc>
          <w:tcPr>
            <w:tcW w:w="1817" w:type="dxa"/>
            <w:vMerge/>
            <w:tcBorders>
              <w:top w:val="single" w:sz="4" w:space="0" w:color="auto"/>
              <w:left w:val="single" w:sz="8" w:space="0" w:color="auto"/>
              <w:bottom w:val="single" w:sz="4" w:space="0" w:color="auto"/>
              <w:right w:val="single" w:sz="4" w:space="0" w:color="auto"/>
              <w:tl2br w:val="nil"/>
              <w:tr2bl w:val="nil"/>
            </w:tcBorders>
            <w:textDirection w:val="lrTb"/>
            <w:vAlign w:val="center"/>
          </w:tcPr>
          <w:p w:rsidR="00FB6644" w:rsidRPr="008E4E2F" w:rsidP="00FB6644">
            <w:pPr>
              <w:jc w:val="center"/>
              <w:rPr>
                <w:rFonts w:ascii="Times New Roman" w:hAnsi="Times New Roman" w:cs="Times New Roman"/>
                <w:sz w:val="20"/>
                <w:szCs w:val="20"/>
              </w:rPr>
            </w:pPr>
          </w:p>
        </w:tc>
        <w:tc>
          <w:tcPr>
            <w:tcW w:w="1123"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FB6644" w:rsidRPr="008E4E2F" w:rsidP="00FB6644">
            <w:pPr>
              <w:jc w:val="center"/>
              <w:rPr>
                <w:rFonts w:ascii="Times New Roman" w:hAnsi="Times New Roman" w:cs="Times New Roman"/>
                <w:b/>
                <w:bCs/>
                <w:sz w:val="20"/>
                <w:szCs w:val="20"/>
              </w:rPr>
            </w:pPr>
          </w:p>
        </w:tc>
        <w:tc>
          <w:tcPr>
            <w:tcW w:w="1037"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FB6644" w:rsidRPr="008E4E2F" w:rsidP="00FB6644">
            <w:pPr>
              <w:jc w:val="center"/>
              <w:rPr>
                <w:rFonts w:ascii="Times New Roman" w:hAnsi="Times New Roman" w:cs="Times New Roman"/>
                <w:b/>
                <w:bCs/>
                <w:sz w:val="20"/>
                <w:szCs w:val="20"/>
              </w:rPr>
            </w:pPr>
            <w:r w:rsidRPr="008E4E2F">
              <w:rPr>
                <w:rFonts w:ascii="Times New Roman" w:hAnsi="Times New Roman" w:cs="Times New Roman"/>
                <w:b/>
                <w:bCs/>
                <w:sz w:val="20"/>
                <w:szCs w:val="20"/>
              </w:rPr>
              <w:t>Schválený</w:t>
            </w: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FB6644" w:rsidRPr="008E4E2F" w:rsidP="00FB6644">
            <w:pPr>
              <w:jc w:val="center"/>
              <w:rPr>
                <w:rFonts w:ascii="Times New Roman" w:hAnsi="Times New Roman" w:cs="Times New Roman"/>
                <w:b/>
                <w:bCs/>
                <w:sz w:val="20"/>
                <w:szCs w:val="20"/>
              </w:rPr>
            </w:pPr>
            <w:r w:rsidRPr="008E4E2F">
              <w:rPr>
                <w:rFonts w:ascii="Times New Roman" w:hAnsi="Times New Roman" w:cs="Times New Roman"/>
                <w:b/>
                <w:bCs/>
                <w:sz w:val="20"/>
                <w:szCs w:val="20"/>
              </w:rPr>
              <w:t>Upravený</w:t>
            </w:r>
          </w:p>
        </w:tc>
        <w:tc>
          <w:tcPr>
            <w:tcW w:w="1256"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FB6644" w:rsidRPr="008E4E2F" w:rsidP="00FB6644">
            <w:pPr>
              <w:jc w:val="center"/>
              <w:rPr>
                <w:rFonts w:ascii="Times New Roman" w:hAnsi="Times New Roman" w:cs="Times New Roman"/>
                <w:b/>
                <w:bCs/>
                <w:sz w:val="20"/>
                <w:szCs w:val="20"/>
              </w:rPr>
            </w:pPr>
          </w:p>
        </w:tc>
        <w:tc>
          <w:tcPr>
            <w:tcW w:w="108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FB6644" w:rsidRPr="008E4E2F" w:rsidP="00FB6644">
            <w:pPr>
              <w:jc w:val="center"/>
              <w:rPr>
                <w:rFonts w:ascii="Times New Roman" w:hAnsi="Times New Roman" w:cs="Times New Roman"/>
                <w:b/>
                <w:bCs/>
                <w:sz w:val="20"/>
                <w:szCs w:val="20"/>
              </w:rPr>
            </w:pPr>
          </w:p>
        </w:tc>
        <w:tc>
          <w:tcPr>
            <w:tcW w:w="90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FB6644" w:rsidRPr="008E4E2F" w:rsidP="00FB6644">
            <w:pPr>
              <w:jc w:val="center"/>
              <w:rPr>
                <w:rFonts w:ascii="Times New Roman" w:hAnsi="Times New Roman" w:cs="Times New Roman"/>
                <w:b/>
                <w:bCs/>
                <w:sz w:val="20"/>
                <w:szCs w:val="20"/>
              </w:rPr>
            </w:pPr>
          </w:p>
        </w:tc>
        <w:tc>
          <w:tcPr>
            <w:tcW w:w="1080" w:type="dxa"/>
            <w:vMerge/>
            <w:tcBorders>
              <w:top w:val="single" w:sz="4" w:space="0" w:color="auto"/>
              <w:left w:val="single" w:sz="4" w:space="0" w:color="auto"/>
              <w:bottom w:val="single" w:sz="4" w:space="0" w:color="auto"/>
              <w:right w:val="single" w:sz="8" w:space="0" w:color="auto"/>
              <w:tl2br w:val="nil"/>
              <w:tr2bl w:val="nil"/>
            </w:tcBorders>
            <w:textDirection w:val="lrTb"/>
            <w:vAlign w:val="top"/>
          </w:tcPr>
          <w:p w:rsidR="00FB6644" w:rsidRPr="008E4E2F" w:rsidP="00FB6644">
            <w:pPr>
              <w:jc w:val="center"/>
              <w:rPr>
                <w:rFonts w:ascii="Times New Roman" w:hAnsi="Times New Roman" w:cs="Times New Roman"/>
                <w:b/>
                <w:bCs/>
                <w:sz w:val="20"/>
                <w:szCs w:val="20"/>
              </w:rPr>
            </w:pPr>
          </w:p>
        </w:tc>
      </w:tr>
      <w:tr>
        <w:tblPrEx>
          <w:tblW w:w="9377" w:type="dxa"/>
          <w:tblInd w:w="53" w:type="dxa"/>
          <w:tblLayout w:type="fixed"/>
          <w:tblCellMar>
            <w:left w:w="70" w:type="dxa"/>
            <w:right w:w="70" w:type="dxa"/>
          </w:tblCellMar>
        </w:tblPrEx>
        <w:trPr>
          <w:cantSplit/>
          <w:trHeight w:val="60"/>
        </w:trPr>
        <w:tc>
          <w:tcPr>
            <w:tcW w:w="1817" w:type="dxa"/>
            <w:vMerge/>
            <w:tcBorders>
              <w:top w:val="single" w:sz="4" w:space="0" w:color="auto"/>
              <w:left w:val="single" w:sz="8" w:space="0" w:color="auto"/>
              <w:bottom w:val="single" w:sz="4" w:space="0" w:color="auto"/>
              <w:right w:val="single" w:sz="4" w:space="0" w:color="auto"/>
              <w:tl2br w:val="nil"/>
              <w:tr2bl w:val="nil"/>
            </w:tcBorders>
            <w:textDirection w:val="lrTb"/>
            <w:vAlign w:val="center"/>
          </w:tcPr>
          <w:p w:rsidR="00FB6644" w:rsidRPr="008E4E2F" w:rsidP="00FB6644">
            <w:pPr>
              <w:jc w:val="center"/>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1</w:t>
            </w:r>
          </w:p>
        </w:tc>
        <w:tc>
          <w:tcPr>
            <w:tcW w:w="1037"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2</w:t>
            </w:r>
          </w:p>
        </w:tc>
        <w:tc>
          <w:tcPr>
            <w:tcW w:w="1084"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3</w:t>
            </w:r>
          </w:p>
        </w:tc>
        <w:tc>
          <w:tcPr>
            <w:tcW w:w="1256"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4</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5= 4/3*100</w:t>
            </w:r>
          </w:p>
        </w:tc>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6= 4 – 1</w:t>
            </w:r>
          </w:p>
        </w:tc>
        <w:tc>
          <w:tcPr>
            <w:tcW w:w="1080" w:type="dxa"/>
            <w:tcBorders>
              <w:top w:val="single" w:sz="4" w:space="0" w:color="auto"/>
              <w:left w:val="single" w:sz="4" w:space="0" w:color="auto"/>
              <w:bottom w:val="single" w:sz="4" w:space="0" w:color="auto"/>
              <w:right w:val="single" w:sz="8"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7=4/1*100</w:t>
            </w:r>
          </w:p>
        </w:tc>
      </w:tr>
      <w:tr>
        <w:tblPrEx>
          <w:tblW w:w="9377" w:type="dxa"/>
          <w:tblInd w:w="53" w:type="dxa"/>
          <w:tblLayout w:type="fixed"/>
          <w:tblCellMar>
            <w:left w:w="70" w:type="dxa"/>
            <w:right w:w="70" w:type="dxa"/>
          </w:tblCellMar>
        </w:tblPrEx>
        <w:trPr>
          <w:trHeight w:val="170"/>
        </w:trPr>
        <w:tc>
          <w:tcPr>
            <w:tcW w:w="1817"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FB6644" w:rsidRPr="008E4E2F" w:rsidP="00FB6644">
            <w:pPr>
              <w:rPr>
                <w:rFonts w:ascii="Times New Roman" w:hAnsi="Times New Roman" w:cs="Times New Roman"/>
                <w:sz w:val="20"/>
                <w:szCs w:val="20"/>
              </w:rPr>
            </w:pPr>
            <w:r w:rsidRPr="008E4E2F">
              <w:rPr>
                <w:rFonts w:ascii="Times New Roman" w:hAnsi="Times New Roman" w:cs="Times New Roman"/>
                <w:sz w:val="20"/>
                <w:szCs w:val="20"/>
              </w:rPr>
              <w:t>PHARE</w:t>
            </w:r>
          </w:p>
        </w:tc>
        <w:tc>
          <w:tcPr>
            <w:tcW w:w="1123"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533,3</w:t>
            </w:r>
          </w:p>
        </w:tc>
        <w:tc>
          <w:tcPr>
            <w:tcW w:w="1037"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61,2</w:t>
            </w:r>
          </w:p>
        </w:tc>
        <w:tc>
          <w:tcPr>
            <w:tcW w:w="108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105,2</w:t>
            </w:r>
          </w:p>
        </w:tc>
        <w:tc>
          <w:tcPr>
            <w:tcW w:w="1256"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105,1</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99,9</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-428,2</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19,7</w:t>
            </w:r>
          </w:p>
        </w:tc>
      </w:tr>
      <w:tr>
        <w:tblPrEx>
          <w:tblW w:w="9377" w:type="dxa"/>
          <w:tblInd w:w="53" w:type="dxa"/>
          <w:tblLayout w:type="fixed"/>
          <w:tblCellMar>
            <w:left w:w="70" w:type="dxa"/>
            <w:right w:w="70" w:type="dxa"/>
          </w:tblCellMar>
        </w:tblPrEx>
        <w:trPr>
          <w:trHeight w:val="170"/>
        </w:trPr>
        <w:tc>
          <w:tcPr>
            <w:tcW w:w="1817"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FB6644" w:rsidRPr="008E4E2F" w:rsidP="00FB6644">
            <w:pPr>
              <w:rPr>
                <w:rFonts w:ascii="Times New Roman" w:hAnsi="Times New Roman" w:cs="Times New Roman"/>
                <w:sz w:val="20"/>
                <w:szCs w:val="20"/>
              </w:rPr>
            </w:pPr>
            <w:r w:rsidRPr="008E4E2F">
              <w:rPr>
                <w:rFonts w:ascii="Times New Roman" w:hAnsi="Times New Roman" w:cs="Times New Roman"/>
                <w:sz w:val="20"/>
                <w:szCs w:val="20"/>
              </w:rPr>
              <w:t>ISPA</w:t>
            </w:r>
          </w:p>
        </w:tc>
        <w:tc>
          <w:tcPr>
            <w:tcW w:w="1123"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1 308,7</w:t>
            </w:r>
          </w:p>
        </w:tc>
        <w:tc>
          <w:tcPr>
            <w:tcW w:w="1037"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2 198,6</w:t>
            </w:r>
          </w:p>
        </w:tc>
        <w:tc>
          <w:tcPr>
            <w:tcW w:w="108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3 472,5</w:t>
            </w:r>
          </w:p>
        </w:tc>
        <w:tc>
          <w:tcPr>
            <w:tcW w:w="1256"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3 466,3</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99,8</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2 157,6</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264,9</w:t>
            </w:r>
          </w:p>
        </w:tc>
      </w:tr>
      <w:tr>
        <w:tblPrEx>
          <w:tblW w:w="9377" w:type="dxa"/>
          <w:tblInd w:w="53" w:type="dxa"/>
          <w:tblLayout w:type="fixed"/>
          <w:tblCellMar>
            <w:left w:w="70" w:type="dxa"/>
            <w:right w:w="70" w:type="dxa"/>
          </w:tblCellMar>
        </w:tblPrEx>
        <w:trPr>
          <w:trHeight w:val="170"/>
        </w:trPr>
        <w:tc>
          <w:tcPr>
            <w:tcW w:w="1817"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FB6644" w:rsidRPr="008E4E2F" w:rsidP="00FB6644">
            <w:pPr>
              <w:rPr>
                <w:rFonts w:ascii="Times New Roman" w:hAnsi="Times New Roman" w:cs="Times New Roman"/>
                <w:sz w:val="20"/>
                <w:szCs w:val="20"/>
              </w:rPr>
            </w:pPr>
            <w:r w:rsidRPr="008E4E2F">
              <w:rPr>
                <w:rFonts w:ascii="Times New Roman" w:hAnsi="Times New Roman" w:cs="Times New Roman"/>
                <w:sz w:val="20"/>
                <w:szCs w:val="20"/>
              </w:rPr>
              <w:t>SAPARD</w:t>
            </w:r>
          </w:p>
        </w:tc>
        <w:tc>
          <w:tcPr>
            <w:tcW w:w="1123"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267,9</w:t>
            </w:r>
          </w:p>
        </w:tc>
        <w:tc>
          <w:tcPr>
            <w:tcW w:w="1037"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379,4</w:t>
            </w:r>
          </w:p>
        </w:tc>
        <w:tc>
          <w:tcPr>
            <w:tcW w:w="108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48,7</w:t>
            </w:r>
          </w:p>
        </w:tc>
        <w:tc>
          <w:tcPr>
            <w:tcW w:w="1256"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48,7</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100,0</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-219,2</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FB6644" w:rsidRPr="008E4E2F" w:rsidP="00FB6644">
            <w:pPr>
              <w:jc w:val="right"/>
              <w:rPr>
                <w:rFonts w:ascii="Times New Roman" w:hAnsi="Times New Roman" w:cs="Times New Roman"/>
                <w:sz w:val="20"/>
                <w:szCs w:val="20"/>
              </w:rPr>
            </w:pPr>
            <w:r w:rsidRPr="008E4E2F">
              <w:rPr>
                <w:rFonts w:ascii="Times New Roman" w:hAnsi="Times New Roman" w:cs="Times New Roman"/>
                <w:sz w:val="20"/>
                <w:szCs w:val="20"/>
              </w:rPr>
              <w:t>18,2</w:t>
            </w:r>
          </w:p>
        </w:tc>
      </w:tr>
      <w:tr>
        <w:tblPrEx>
          <w:tblW w:w="9377" w:type="dxa"/>
          <w:tblInd w:w="53" w:type="dxa"/>
          <w:tblLayout w:type="fixed"/>
          <w:tblCellMar>
            <w:left w:w="70" w:type="dxa"/>
            <w:right w:w="70" w:type="dxa"/>
          </w:tblCellMar>
        </w:tblPrEx>
        <w:trPr>
          <w:trHeight w:val="284"/>
        </w:trPr>
        <w:tc>
          <w:tcPr>
            <w:tcW w:w="1817" w:type="dxa"/>
            <w:tcBorders>
              <w:top w:val="single" w:sz="4" w:space="0" w:color="auto"/>
              <w:left w:val="single" w:sz="8" w:space="0" w:color="auto"/>
              <w:bottom w:val="double" w:sz="6" w:space="0" w:color="auto"/>
              <w:right w:val="single" w:sz="4" w:space="0" w:color="auto"/>
              <w:tl2br w:val="nil"/>
              <w:tr2bl w:val="nil"/>
            </w:tcBorders>
            <w:textDirection w:val="lrTb"/>
            <w:vAlign w:val="top"/>
          </w:tcPr>
          <w:p w:rsidR="00FB6644" w:rsidRPr="008E4E2F" w:rsidP="00FB6644">
            <w:pPr>
              <w:rPr>
                <w:rFonts w:ascii="Times New Roman" w:hAnsi="Times New Roman" w:cs="Times New Roman"/>
                <w:b/>
                <w:bCs/>
                <w:sz w:val="20"/>
                <w:szCs w:val="20"/>
              </w:rPr>
            </w:pPr>
            <w:r w:rsidRPr="008E4E2F">
              <w:rPr>
                <w:rFonts w:ascii="Times New Roman" w:hAnsi="Times New Roman" w:cs="Times New Roman"/>
                <w:b/>
                <w:bCs/>
                <w:sz w:val="20"/>
                <w:szCs w:val="20"/>
              </w:rPr>
              <w:t>Spolufinancovanie zo štátneho rozpočtu spolu</w:t>
            </w:r>
          </w:p>
        </w:tc>
        <w:tc>
          <w:tcPr>
            <w:tcW w:w="1123"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b/>
                <w:bCs/>
                <w:sz w:val="20"/>
                <w:szCs w:val="20"/>
              </w:rPr>
            </w:pPr>
            <w:r w:rsidRPr="008E4E2F">
              <w:rPr>
                <w:rFonts w:ascii="Times New Roman" w:hAnsi="Times New Roman" w:cs="Times New Roman"/>
                <w:b/>
                <w:bCs/>
                <w:sz w:val="20"/>
                <w:szCs w:val="20"/>
              </w:rPr>
              <w:t>2 109,9</w:t>
            </w:r>
          </w:p>
        </w:tc>
        <w:tc>
          <w:tcPr>
            <w:tcW w:w="1037"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b/>
                <w:bCs/>
                <w:sz w:val="20"/>
                <w:szCs w:val="20"/>
              </w:rPr>
            </w:pPr>
            <w:r w:rsidRPr="008E4E2F">
              <w:rPr>
                <w:rFonts w:ascii="Times New Roman" w:hAnsi="Times New Roman" w:cs="Times New Roman"/>
                <w:b/>
                <w:bCs/>
                <w:sz w:val="20"/>
                <w:szCs w:val="20"/>
              </w:rPr>
              <w:t>2 639,2</w:t>
            </w:r>
          </w:p>
        </w:tc>
        <w:tc>
          <w:tcPr>
            <w:tcW w:w="1084"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b/>
                <w:bCs/>
                <w:sz w:val="20"/>
                <w:szCs w:val="20"/>
              </w:rPr>
            </w:pPr>
            <w:r w:rsidRPr="008E4E2F">
              <w:rPr>
                <w:rFonts w:ascii="Times New Roman" w:hAnsi="Times New Roman" w:cs="Times New Roman"/>
                <w:b/>
                <w:bCs/>
                <w:sz w:val="20"/>
                <w:szCs w:val="20"/>
              </w:rPr>
              <w:t>3 626,4</w:t>
            </w:r>
          </w:p>
        </w:tc>
        <w:tc>
          <w:tcPr>
            <w:tcW w:w="1256"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b/>
                <w:bCs/>
                <w:sz w:val="20"/>
                <w:szCs w:val="20"/>
              </w:rPr>
            </w:pPr>
            <w:r w:rsidRPr="008E4E2F">
              <w:rPr>
                <w:rFonts w:ascii="Times New Roman" w:hAnsi="Times New Roman" w:cs="Times New Roman"/>
                <w:b/>
                <w:bCs/>
                <w:sz w:val="20"/>
                <w:szCs w:val="20"/>
              </w:rPr>
              <w:t>3 620,1</w:t>
            </w:r>
          </w:p>
        </w:tc>
        <w:tc>
          <w:tcPr>
            <w:tcW w:w="1080"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b/>
                <w:bCs/>
                <w:sz w:val="20"/>
                <w:szCs w:val="20"/>
              </w:rPr>
            </w:pPr>
            <w:r w:rsidRPr="008E4E2F">
              <w:rPr>
                <w:rFonts w:ascii="Times New Roman" w:hAnsi="Times New Roman" w:cs="Times New Roman"/>
                <w:b/>
                <w:bCs/>
                <w:sz w:val="20"/>
                <w:szCs w:val="20"/>
              </w:rPr>
              <w:t>99,8</w:t>
            </w:r>
          </w:p>
        </w:tc>
        <w:tc>
          <w:tcPr>
            <w:tcW w:w="900"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FB6644" w:rsidRPr="008E4E2F" w:rsidP="00FB6644">
            <w:pPr>
              <w:jc w:val="right"/>
              <w:rPr>
                <w:rFonts w:ascii="Times New Roman" w:hAnsi="Times New Roman" w:cs="Times New Roman"/>
                <w:b/>
                <w:bCs/>
                <w:sz w:val="20"/>
                <w:szCs w:val="20"/>
              </w:rPr>
            </w:pPr>
            <w:r w:rsidRPr="008E4E2F">
              <w:rPr>
                <w:rFonts w:ascii="Times New Roman" w:hAnsi="Times New Roman" w:cs="Times New Roman"/>
                <w:b/>
                <w:bCs/>
                <w:sz w:val="20"/>
                <w:szCs w:val="20"/>
              </w:rPr>
              <w:t>1</w:t>
            </w:r>
            <w:r w:rsidRPr="008E4E2F">
              <w:rPr>
                <w:rFonts w:ascii="Times New Roman" w:hAnsi="Times New Roman" w:cs="Times New Roman"/>
                <w:b/>
                <w:bCs/>
                <w:sz w:val="20"/>
                <w:szCs w:val="20"/>
              </w:rPr>
              <w:t xml:space="preserve"> 510,2</w:t>
            </w:r>
          </w:p>
        </w:tc>
        <w:tc>
          <w:tcPr>
            <w:tcW w:w="1080" w:type="dxa"/>
            <w:tcBorders>
              <w:top w:val="single" w:sz="4" w:space="0" w:color="auto"/>
              <w:left w:val="single" w:sz="4" w:space="0" w:color="auto"/>
              <w:bottom w:val="double" w:sz="6" w:space="0" w:color="auto"/>
              <w:right w:val="single" w:sz="8" w:space="0" w:color="auto"/>
              <w:tl2br w:val="nil"/>
              <w:tr2bl w:val="nil"/>
            </w:tcBorders>
            <w:textDirection w:val="lrTb"/>
            <w:vAlign w:val="bottom"/>
          </w:tcPr>
          <w:p w:rsidR="00FB6644" w:rsidRPr="008E4E2F" w:rsidP="00FB6644">
            <w:pPr>
              <w:jc w:val="right"/>
              <w:rPr>
                <w:rFonts w:ascii="Times New Roman" w:hAnsi="Times New Roman" w:cs="Times New Roman"/>
                <w:b/>
                <w:bCs/>
                <w:sz w:val="20"/>
                <w:szCs w:val="20"/>
              </w:rPr>
            </w:pPr>
            <w:r w:rsidRPr="008E4E2F">
              <w:rPr>
                <w:rFonts w:ascii="Times New Roman" w:hAnsi="Times New Roman" w:cs="Times New Roman"/>
                <w:b/>
                <w:bCs/>
                <w:sz w:val="20"/>
                <w:szCs w:val="20"/>
              </w:rPr>
              <w:t>171,6</w:t>
            </w:r>
          </w:p>
        </w:tc>
      </w:tr>
    </w:tbl>
    <w:p w:rsidR="00FB6644" w:rsidRPr="00FB6644" w:rsidP="00FB6644">
      <w:pPr>
        <w:spacing w:after="120" w:line="360" w:lineRule="auto"/>
        <w:ind w:firstLine="708"/>
        <w:rPr>
          <w:rFonts w:ascii="Times New Roman" w:hAnsi="Times New Roman" w:cs="Times New Roman"/>
        </w:rPr>
      </w:pPr>
    </w:p>
    <w:p w:rsidR="00FB6644" w:rsidRPr="00FB6644" w:rsidP="00FB6644">
      <w:pPr>
        <w:spacing w:before="120" w:after="120" w:line="360" w:lineRule="auto"/>
        <w:ind w:firstLine="708"/>
        <w:jc w:val="both"/>
        <w:rPr>
          <w:rFonts w:ascii="Times New Roman" w:hAnsi="Times New Roman" w:cs="Times New Roman"/>
        </w:rPr>
      </w:pPr>
      <w:r w:rsidRPr="00FB6644">
        <w:rPr>
          <w:rFonts w:ascii="Times New Roman" w:hAnsi="Times New Roman" w:cs="Times New Roman"/>
        </w:rPr>
        <w:t xml:space="preserve">V roku 2006 boli finančné prostriedky programu </w:t>
      </w:r>
      <w:r w:rsidRPr="00FB6644">
        <w:rPr>
          <w:rFonts w:ascii="Times New Roman" w:hAnsi="Times New Roman" w:cs="Times New Roman"/>
          <w:b/>
          <w:bCs/>
        </w:rPr>
        <w:t>PHARE</w:t>
      </w:r>
      <w:r w:rsidRPr="00FB6644">
        <w:rPr>
          <w:rFonts w:ascii="Times New Roman" w:hAnsi="Times New Roman" w:cs="Times New Roman"/>
        </w:rPr>
        <w:t xml:space="preserve"> vyplatené na nasledovné projekty:</w:t>
      </w:r>
    </w:p>
    <w:p w:rsidR="00FB6644" w:rsidRPr="00FB6644" w:rsidP="0022078A">
      <w:pPr>
        <w:numPr>
          <w:ilvl w:val="0"/>
          <w:numId w:val="94"/>
        </w:numPr>
        <w:tabs>
          <w:tab w:val="clear" w:pos="1320"/>
        </w:tabs>
        <w:spacing w:before="120" w:after="120" w:line="360" w:lineRule="auto"/>
        <w:ind w:left="720"/>
        <w:jc w:val="both"/>
        <w:rPr>
          <w:rFonts w:ascii="Times New Roman" w:hAnsi="Times New Roman" w:cs="Times New Roman"/>
        </w:rPr>
      </w:pPr>
      <w:r w:rsidRPr="00FB6644">
        <w:rPr>
          <w:rFonts w:ascii="Times New Roman" w:hAnsi="Times New Roman" w:cs="Times New Roman"/>
        </w:rPr>
        <w:t>Národný program 2002 – projekt SR 610.03</w:t>
      </w:r>
      <w:r w:rsidRPr="00FB6644">
        <w:rPr>
          <w:rFonts w:ascii="Times New Roman" w:hAnsi="Times New Roman" w:cs="Times New Roman"/>
          <w:color w:val="FF0000"/>
        </w:rPr>
        <w:t xml:space="preserve"> </w:t>
      </w:r>
      <w:r w:rsidRPr="00FB6644">
        <w:rPr>
          <w:rFonts w:ascii="Times New Roman" w:hAnsi="Times New Roman" w:cs="Times New Roman"/>
        </w:rPr>
        <w:t xml:space="preserve">Integrácia Rómskych detí v oblasti výchovy a vzdelávania; </w:t>
      </w:r>
    </w:p>
    <w:p w:rsidR="00FB6644" w:rsidRPr="00FB6644" w:rsidP="0022078A">
      <w:pPr>
        <w:numPr>
          <w:ilvl w:val="0"/>
          <w:numId w:val="94"/>
        </w:numPr>
        <w:tabs>
          <w:tab w:val="clear" w:pos="1320"/>
        </w:tabs>
        <w:spacing w:before="120" w:after="120" w:line="360" w:lineRule="auto"/>
        <w:ind w:left="720"/>
        <w:jc w:val="both"/>
        <w:rPr>
          <w:rFonts w:ascii="Times New Roman" w:hAnsi="Times New Roman" w:cs="Times New Roman"/>
        </w:rPr>
      </w:pPr>
      <w:r w:rsidRPr="00FB6644">
        <w:rPr>
          <w:rFonts w:ascii="Times New Roman" w:hAnsi="Times New Roman" w:cs="Times New Roman"/>
        </w:rPr>
        <w:t>Národný program 2003, Cezhraničná spolupráca medzi SR/</w:t>
      </w:r>
      <w:r w:rsidRPr="00FB6644">
        <w:rPr>
          <w:rFonts w:ascii="Times New Roman" w:hAnsi="Times New Roman" w:cs="Times New Roman"/>
        </w:rPr>
        <w:t>AT 2003;</w:t>
      </w:r>
    </w:p>
    <w:p w:rsidR="00FB6644" w:rsidRPr="00FB6644" w:rsidP="0022078A">
      <w:pPr>
        <w:numPr>
          <w:ilvl w:val="0"/>
          <w:numId w:val="94"/>
        </w:numPr>
        <w:tabs>
          <w:tab w:val="clear" w:pos="1320"/>
        </w:tabs>
        <w:spacing w:before="120" w:after="120" w:line="360" w:lineRule="auto"/>
        <w:ind w:left="720"/>
        <w:jc w:val="both"/>
        <w:rPr>
          <w:rFonts w:ascii="Times New Roman" w:hAnsi="Times New Roman" w:cs="Times New Roman"/>
        </w:rPr>
      </w:pPr>
      <w:r w:rsidRPr="00FB6644">
        <w:rPr>
          <w:rFonts w:ascii="Times New Roman" w:hAnsi="Times New Roman" w:cs="Times New Roman"/>
        </w:rPr>
        <w:t>Cezhraničná spolupráca medzi SR/PL 2003;</w:t>
      </w:r>
    </w:p>
    <w:p w:rsidR="00FB6644" w:rsidRPr="00FB6644" w:rsidP="0022078A">
      <w:pPr>
        <w:numPr>
          <w:ilvl w:val="0"/>
          <w:numId w:val="94"/>
        </w:numPr>
        <w:tabs>
          <w:tab w:val="clear" w:pos="1320"/>
        </w:tabs>
        <w:spacing w:before="120" w:after="120" w:line="360" w:lineRule="auto"/>
        <w:ind w:left="720"/>
        <w:jc w:val="both"/>
        <w:rPr>
          <w:rFonts w:ascii="Times New Roman" w:hAnsi="Times New Roman" w:cs="Times New Roman"/>
        </w:rPr>
      </w:pPr>
      <w:r w:rsidRPr="00FB6644">
        <w:rPr>
          <w:rFonts w:ascii="Times New Roman" w:hAnsi="Times New Roman" w:cs="Times New Roman"/>
        </w:rPr>
        <w:t xml:space="preserve">Cezhraničná spolupráca medzi SR/HU </w:t>
      </w:r>
      <w:smartTag w:uri="urn:schemas-microsoft-com:office:smarttags" w:element="metricconverter">
        <w:smartTagPr>
          <w:attr w:name="ProductID" w:val="2003 a"/>
        </w:smartTagPr>
        <w:r w:rsidRPr="00FB6644">
          <w:rPr>
            <w:rFonts w:ascii="Times New Roman" w:hAnsi="Times New Roman" w:cs="Times New Roman"/>
          </w:rPr>
          <w:t>2003 a</w:t>
        </w:r>
      </w:smartTag>
      <w:r w:rsidRPr="00FB6644">
        <w:rPr>
          <w:rFonts w:ascii="Times New Roman" w:hAnsi="Times New Roman" w:cs="Times New Roman"/>
        </w:rPr>
        <w:t xml:space="preserve"> Jadrová bezpečnosť 2003. </w:t>
      </w:r>
    </w:p>
    <w:p w:rsidR="00FB6644" w:rsidRPr="00FB6644" w:rsidP="00FB6644">
      <w:pPr>
        <w:spacing w:before="120" w:after="120" w:line="360" w:lineRule="auto"/>
        <w:ind w:firstLine="708"/>
        <w:jc w:val="both"/>
        <w:rPr>
          <w:rFonts w:ascii="Times New Roman" w:hAnsi="Times New Roman" w:cs="Times New Roman"/>
        </w:rPr>
      </w:pPr>
      <w:r w:rsidRPr="00FB6644">
        <w:rPr>
          <w:rFonts w:ascii="Times New Roman" w:hAnsi="Times New Roman" w:cs="Times New Roman"/>
        </w:rPr>
        <w:t xml:space="preserve">V priebehu roka 2006 dosiahlo čerpanie prostriedkov spolufinancovania z výdavkového účtu kapitoly VPS čiastku 105,1 mil. Sk, čo predstavuje 99,9 % plánu na rok 2006.  Zo zdrojov z predchádzajúcich rokov  kapitoly VPS boli vyčerpané prostriedky vo výške 24 mil. Sk. </w:t>
      </w:r>
    </w:p>
    <w:p w:rsidR="00FB6644" w:rsidRPr="00FB6644" w:rsidP="00FB6644">
      <w:pPr>
        <w:spacing w:before="120" w:after="120" w:line="360" w:lineRule="auto"/>
        <w:ind w:firstLine="708"/>
        <w:jc w:val="both"/>
        <w:rPr>
          <w:rFonts w:ascii="Times New Roman" w:hAnsi="Times New Roman" w:cs="Times New Roman"/>
        </w:rPr>
      </w:pPr>
      <w:r w:rsidRPr="00FB6644">
        <w:rPr>
          <w:rFonts w:ascii="Times New Roman" w:hAnsi="Times New Roman" w:cs="Times New Roman"/>
        </w:rPr>
        <w:t xml:space="preserve">V programe </w:t>
      </w:r>
      <w:r w:rsidRPr="00FB6644">
        <w:rPr>
          <w:rFonts w:ascii="Times New Roman" w:hAnsi="Times New Roman" w:cs="Times New Roman"/>
          <w:b/>
          <w:bCs/>
        </w:rPr>
        <w:t>ISPA</w:t>
      </w:r>
      <w:r w:rsidRPr="00FB6644">
        <w:rPr>
          <w:rFonts w:ascii="Times New Roman" w:hAnsi="Times New Roman" w:cs="Times New Roman"/>
        </w:rPr>
        <w:t xml:space="preserve"> rok 2006 predstavoval doposiaľ najintenzívnejšie čerpanie. K 31.12.2006 bolo celkovo schválených 32 projektov, z čoho 26 je v sektore životného prostredia a 6 v sektore dopravy. Ukončené boli 4 projekty technickej asistencie a po </w:t>
      </w:r>
      <w:r w:rsidR="00C2680B">
        <w:rPr>
          <w:rFonts w:ascii="Times New Roman" w:hAnsi="Times New Roman" w:cs="Times New Roman"/>
        </w:rPr>
        <w:t xml:space="preserve">jednom </w:t>
      </w:r>
      <w:r w:rsidRPr="00FB6644">
        <w:rPr>
          <w:rFonts w:ascii="Times New Roman" w:hAnsi="Times New Roman" w:cs="Times New Roman"/>
        </w:rPr>
        <w:t xml:space="preserve">investičnom projekte v sektore životného prostredia a v sektore dopravy. Čerpanie prostriedkov v priebehu roka môžeme hodnotiť ako primerané k stavu realizácie projektov. V prípade ukončených projektov došlo k vyžiadaniu prostriedkov EÚ aj formou záverečných platieb. </w:t>
      </w:r>
    </w:p>
    <w:p w:rsidR="00FB6644" w:rsidRPr="00FB6644" w:rsidP="00FB6644">
      <w:pPr>
        <w:spacing w:before="120" w:after="120" w:line="360" w:lineRule="auto"/>
        <w:ind w:firstLine="708"/>
        <w:jc w:val="both"/>
        <w:rPr>
          <w:rFonts w:ascii="Times New Roman" w:hAnsi="Times New Roman" w:cs="Times New Roman"/>
          <w:noProof/>
          <w:color w:val="000000"/>
        </w:rPr>
      </w:pPr>
      <w:r w:rsidRPr="00FB6644">
        <w:rPr>
          <w:rFonts w:ascii="Times New Roman" w:hAnsi="Times New Roman" w:cs="Times New Roman"/>
          <w:noProof/>
          <w:color w:val="000000"/>
        </w:rPr>
        <w:t>V období od 1.1.2006 do 31.12.2006 bolo na úhrady faktúr zhotoviteľom realizujúcim projekty ISPA za prostriedky EÚ vyp</w:t>
      </w:r>
      <w:r w:rsidRPr="00FB6644">
        <w:rPr>
          <w:rFonts w:ascii="Times New Roman" w:hAnsi="Times New Roman" w:cs="Times New Roman"/>
          <w:noProof/>
          <w:color w:val="000000"/>
        </w:rPr>
        <w:t xml:space="preserve">latených </w:t>
      </w:r>
      <w:r w:rsidRPr="00FB6644">
        <w:rPr>
          <w:rFonts w:ascii="Times New Roman" w:hAnsi="Times New Roman" w:cs="Times New Roman"/>
          <w:noProof/>
        </w:rPr>
        <w:t>celkom 2 721,2 mil. Sk.</w:t>
      </w:r>
      <w:r w:rsidRPr="00FB6644">
        <w:rPr>
          <w:rFonts w:ascii="Times New Roman" w:hAnsi="Times New Roman" w:cs="Times New Roman"/>
          <w:noProof/>
          <w:color w:val="000000"/>
        </w:rPr>
        <w:t xml:space="preserve"> Rozdiel medzi prijatými a vyplatenými zdrojmi bol krytý príjmami z EÚ na účet MF SR v predchádzajúcich rokoch a príjmami zo štátneho rozpočtu pri dosiahnutí </w:t>
      </w:r>
      <w:r w:rsidRPr="00FB6644">
        <w:rPr>
          <w:rFonts w:ascii="Times New Roman" w:hAnsi="Times New Roman" w:cs="Times New Roman"/>
        </w:rPr>
        <w:t xml:space="preserve">hranice 80% príspevku EÚ pri viacerých projektoch, </w:t>
      </w:r>
      <w:r w:rsidRPr="00FB6644">
        <w:rPr>
          <w:rFonts w:ascii="Times New Roman" w:hAnsi="Times New Roman" w:cs="Times New Roman"/>
          <w:noProof/>
          <w:color w:val="000000"/>
        </w:rPr>
        <w:t xml:space="preserve">resp. predfinancovaním prostriedkov zo štátneho rozpočtu v prípade projektov, u ktorých bolo nedostatočné krytie zo zdrojov EÚ. </w:t>
      </w:r>
    </w:p>
    <w:p w:rsidR="00FB6644" w:rsidRPr="00FB6644" w:rsidP="00FB6644">
      <w:pPr>
        <w:spacing w:before="120" w:after="120" w:line="360" w:lineRule="auto"/>
        <w:ind w:firstLine="708"/>
        <w:jc w:val="both"/>
        <w:rPr>
          <w:rFonts w:ascii="Times New Roman" w:hAnsi="Times New Roman" w:cs="Times New Roman"/>
        </w:rPr>
      </w:pPr>
      <w:r w:rsidRPr="00FB6644">
        <w:rPr>
          <w:rFonts w:ascii="Times New Roman" w:hAnsi="Times New Roman" w:cs="Times New Roman"/>
          <w:noProof/>
          <w:color w:val="000000"/>
        </w:rPr>
        <w:t xml:space="preserve">Na projekty ISPA boli od začiatku implementácie do konca roku 2006 vyplatené faktúry v celkovej </w:t>
      </w:r>
      <w:r w:rsidRPr="00FB6644">
        <w:rPr>
          <w:rFonts w:ascii="Times New Roman" w:hAnsi="Times New Roman" w:cs="Times New Roman"/>
          <w:noProof/>
        </w:rPr>
        <w:t>výške 380,2 mil. EUR</w:t>
      </w:r>
      <w:r w:rsidRPr="00FB6644">
        <w:rPr>
          <w:rFonts w:ascii="Times New Roman" w:hAnsi="Times New Roman" w:cs="Times New Roman"/>
          <w:noProof/>
          <w:color w:val="000000"/>
        </w:rPr>
        <w:t xml:space="preserve">, čo predstavuje </w:t>
      </w:r>
      <w:r w:rsidRPr="00FB6644">
        <w:rPr>
          <w:rFonts w:ascii="Times New Roman" w:hAnsi="Times New Roman" w:cs="Times New Roman"/>
          <w:noProof/>
        </w:rPr>
        <w:t>celkom 59</w:t>
      </w:r>
      <w:r w:rsidRPr="00FB6644">
        <w:rPr>
          <w:rFonts w:ascii="Times New Roman" w:hAnsi="Times New Roman" w:cs="Times New Roman"/>
          <w:noProof/>
        </w:rPr>
        <w:t>,6 %</w:t>
      </w:r>
      <w:r w:rsidRPr="00FB6644">
        <w:rPr>
          <w:rFonts w:ascii="Times New Roman" w:hAnsi="Times New Roman" w:cs="Times New Roman"/>
          <w:noProof/>
          <w:color w:val="000000"/>
        </w:rPr>
        <w:t xml:space="preserve"> z celkovej alokácie, z toho časť za prostriedky EÚ predstavuje </w:t>
      </w:r>
      <w:r w:rsidRPr="00FB6644">
        <w:rPr>
          <w:rFonts w:ascii="Times New Roman" w:hAnsi="Times New Roman" w:cs="Times New Roman"/>
          <w:noProof/>
        </w:rPr>
        <w:t>sumu 193,2 mil. EUR</w:t>
      </w:r>
      <w:r w:rsidRPr="00FB6644">
        <w:rPr>
          <w:rFonts w:ascii="Times New Roman" w:hAnsi="Times New Roman" w:cs="Times New Roman"/>
          <w:noProof/>
          <w:color w:val="000000"/>
        </w:rPr>
        <w:t>, čo je</w:t>
      </w:r>
      <w:r w:rsidRPr="00FB6644">
        <w:rPr>
          <w:rFonts w:ascii="Times New Roman" w:hAnsi="Times New Roman" w:cs="Times New Roman"/>
          <w:noProof/>
        </w:rPr>
        <w:t xml:space="preserve"> 53,3 % z celkovej</w:t>
      </w:r>
      <w:r w:rsidRPr="00FB6644">
        <w:rPr>
          <w:rFonts w:ascii="Times New Roman" w:hAnsi="Times New Roman" w:cs="Times New Roman"/>
          <w:noProof/>
          <w:color w:val="000000"/>
        </w:rPr>
        <w:t xml:space="preserve"> alokácie za prostriedky EÚ (neproporcionalita vo vyplácaní prostriedkov je spôsobená predfinancovaním prostriedkov EÚ zo štátneho rozpočtu).</w:t>
      </w:r>
    </w:p>
    <w:p w:rsidR="00FB6644" w:rsidRPr="00FB6644" w:rsidP="00FB6644">
      <w:pPr>
        <w:spacing w:before="120" w:after="120" w:line="360" w:lineRule="auto"/>
        <w:ind w:firstLine="708"/>
        <w:jc w:val="both"/>
        <w:rPr>
          <w:rFonts w:ascii="Times New Roman" w:hAnsi="Times New Roman" w:cs="Times New Roman"/>
          <w:b/>
          <w:bCs/>
        </w:rPr>
      </w:pPr>
      <w:r w:rsidRPr="00FB6644">
        <w:rPr>
          <w:rFonts w:ascii="Times New Roman" w:hAnsi="Times New Roman" w:cs="Times New Roman"/>
        </w:rPr>
        <w:t>Na</w:t>
      </w:r>
      <w:r w:rsidRPr="00FB6644">
        <w:rPr>
          <w:rFonts w:ascii="Times New Roman" w:hAnsi="Times New Roman" w:cs="Times New Roman"/>
        </w:rPr>
        <w:t xml:space="preserve"> spolufinancovanie projektov </w:t>
      </w:r>
      <w:r w:rsidRPr="00FB6644">
        <w:rPr>
          <w:rFonts w:ascii="Times New Roman" w:hAnsi="Times New Roman" w:cs="Times New Roman"/>
          <w:b/>
          <w:bCs/>
        </w:rPr>
        <w:t>SAPARD</w:t>
      </w:r>
      <w:r w:rsidRPr="00FB6644">
        <w:rPr>
          <w:rFonts w:ascii="Times New Roman" w:hAnsi="Times New Roman" w:cs="Times New Roman"/>
        </w:rPr>
        <w:t xml:space="preserve"> sa v rozpočte kapitoly VPS vyčlenilo 48,7 mil. Sk. Vzhľadom na vysoké tempo čerpania bola vyčerpaná takmer celá suma. V roku 2006 bola vytvorená nová položka na dofinancovanie platieb programu SAPARD vo výške 229,0 mil. Sk, tieto finančné prostriedky slúžili na dofinancovanie prostriedkov EÚ, ktoré chýbajú z dôvodu dlhodobého posilňovania kurzu Sk voči EUR. Rok 2006 bol posledným rokom implementácie programu SAPARD.</w:t>
      </w:r>
    </w:p>
    <w:p w:rsidR="00FB6644" w:rsidRPr="00FB6644" w:rsidP="00FB6644">
      <w:pPr>
        <w:pStyle w:val="Heading4"/>
        <w:spacing w:before="120" w:after="120" w:line="360" w:lineRule="auto"/>
        <w:rPr>
          <w:rFonts w:ascii="Times New Roman" w:hAnsi="Times New Roman" w:cs="Times New Roman"/>
          <w:sz w:val="24"/>
          <w:u w:val="single"/>
        </w:rPr>
      </w:pPr>
      <w:r w:rsidRPr="00FB6644">
        <w:rPr>
          <w:rFonts w:ascii="Times New Roman" w:hAnsi="Times New Roman" w:cs="Times New Roman"/>
          <w:sz w:val="24"/>
          <w:u w:val="single"/>
        </w:rPr>
        <w:t>B. Vnútorné politiky EÚ</w:t>
      </w:r>
    </w:p>
    <w:p w:rsidR="00FB6644" w:rsidRPr="00FB6644" w:rsidP="00FB6644">
      <w:pPr>
        <w:spacing w:before="120" w:after="120" w:line="360" w:lineRule="auto"/>
        <w:ind w:firstLine="709"/>
        <w:jc w:val="both"/>
        <w:rPr>
          <w:rFonts w:ascii="Times New Roman" w:hAnsi="Times New Roman" w:cs="Times New Roman"/>
          <w:bCs/>
        </w:rPr>
      </w:pPr>
      <w:r w:rsidRPr="00FB6644">
        <w:rPr>
          <w:rFonts w:ascii="Times New Roman" w:hAnsi="Times New Roman" w:cs="Times New Roman"/>
          <w:bCs/>
        </w:rPr>
        <w:t xml:space="preserve">Podrobnejšie údaje o tejto skupine výdavkov sú uvedené v nasledujúcej tabuľke (v mil. Sk): </w:t>
      </w:r>
    </w:p>
    <w:tbl>
      <w:tblPr>
        <w:tblW w:w="9790" w:type="dxa"/>
        <w:tblInd w:w="-209"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CellMar>
          <w:top w:w="0" w:type="dxa"/>
          <w:left w:w="70" w:type="dxa"/>
          <w:bottom w:w="0" w:type="dxa"/>
          <w:right w:w="70" w:type="dxa"/>
        </w:tblCellMar>
      </w:tblPr>
      <w:tblGrid>
        <w:gridCol w:w="1870"/>
        <w:gridCol w:w="1260"/>
        <w:gridCol w:w="1080"/>
        <w:gridCol w:w="1080"/>
        <w:gridCol w:w="1260"/>
        <w:gridCol w:w="1080"/>
        <w:gridCol w:w="1080"/>
        <w:gridCol w:w="1080"/>
      </w:tblGrid>
      <w:tr>
        <w:tblPrEx>
          <w:tblW w:w="9790" w:type="dxa"/>
          <w:tblInd w:w="-209"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trPr>
        <w:tc>
          <w:tcPr>
            <w:tcW w:w="1870" w:type="dxa"/>
            <w:vMerge w:val="restart"/>
            <w:tcBorders>
              <w:top w:val="single" w:sz="8" w:space="0" w:color="auto"/>
              <w:left w:val="single" w:sz="8" w:space="0" w:color="auto"/>
              <w:bottom w:val="single" w:sz="4" w:space="0" w:color="auto"/>
              <w:right w:val="single" w:sz="4" w:space="0" w:color="auto"/>
              <w:tl2br w:val="nil"/>
              <w:tr2bl w:val="nil"/>
            </w:tcBorders>
            <w:shd w:val="clear" w:color="auto" w:fill="FFFFFF"/>
            <w:textDirection w:val="lrTb"/>
            <w:vAlign w:val="top"/>
          </w:tcPr>
          <w:p w:rsidR="00FB6644" w:rsidRPr="0022078A" w:rsidP="00FB6644">
            <w:pPr>
              <w:jc w:val="both"/>
              <w:rPr>
                <w:rFonts w:ascii="Times New Roman" w:hAnsi="Times New Roman" w:cs="Times New Roman"/>
                <w:sz w:val="20"/>
                <w:szCs w:val="20"/>
              </w:rPr>
            </w:pPr>
          </w:p>
        </w:tc>
        <w:tc>
          <w:tcPr>
            <w:tcW w:w="1260" w:type="dxa"/>
            <w:vMerge w:val="restart"/>
            <w:tcBorders>
              <w:top w:val="single" w:sz="8"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FB6644" w:rsidRPr="0022078A" w:rsidP="00FB6644">
            <w:pPr>
              <w:jc w:val="center"/>
              <w:rPr>
                <w:rFonts w:ascii="Times New Roman" w:hAnsi="Times New Roman" w:cs="Times New Roman"/>
                <w:b/>
                <w:bCs/>
                <w:sz w:val="20"/>
                <w:szCs w:val="20"/>
              </w:rPr>
            </w:pPr>
            <w:r w:rsidRPr="0022078A">
              <w:rPr>
                <w:rFonts w:ascii="Times New Roman" w:hAnsi="Times New Roman" w:cs="Times New Roman"/>
                <w:b/>
                <w:bCs/>
                <w:sz w:val="20"/>
                <w:szCs w:val="20"/>
              </w:rPr>
              <w:t>Skutočnosť 2005</w:t>
            </w:r>
          </w:p>
        </w:tc>
        <w:tc>
          <w:tcPr>
            <w:tcW w:w="2160" w:type="dxa"/>
            <w:gridSpan w:val="2"/>
            <w:tcBorders>
              <w:top w:val="single" w:sz="8"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22078A" w:rsidP="00FB6644">
            <w:pPr>
              <w:jc w:val="center"/>
              <w:rPr>
                <w:rFonts w:ascii="Times New Roman" w:hAnsi="Times New Roman" w:cs="Times New Roman"/>
                <w:b/>
                <w:bCs/>
                <w:sz w:val="20"/>
                <w:szCs w:val="20"/>
              </w:rPr>
            </w:pPr>
            <w:r w:rsidRPr="0022078A">
              <w:rPr>
                <w:rFonts w:ascii="Times New Roman" w:hAnsi="Times New Roman" w:cs="Times New Roman"/>
                <w:b/>
                <w:bCs/>
                <w:sz w:val="20"/>
                <w:szCs w:val="20"/>
              </w:rPr>
              <w:t>Rozpočet 2006</w:t>
            </w:r>
          </w:p>
        </w:tc>
        <w:tc>
          <w:tcPr>
            <w:tcW w:w="1260" w:type="dxa"/>
            <w:vMerge w:val="restart"/>
            <w:tcBorders>
              <w:top w:val="single" w:sz="8"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22078A" w:rsidP="00FB6644">
            <w:pPr>
              <w:jc w:val="center"/>
              <w:rPr>
                <w:rFonts w:ascii="Times New Roman" w:hAnsi="Times New Roman" w:cs="Times New Roman"/>
                <w:b/>
                <w:bCs/>
                <w:sz w:val="20"/>
                <w:szCs w:val="20"/>
              </w:rPr>
            </w:pPr>
            <w:r w:rsidRPr="0022078A">
              <w:rPr>
                <w:rFonts w:ascii="Times New Roman" w:hAnsi="Times New Roman" w:cs="Times New Roman"/>
                <w:b/>
                <w:bCs/>
                <w:sz w:val="20"/>
                <w:szCs w:val="20"/>
              </w:rPr>
              <w:t>Skutočnosť 2006</w:t>
            </w:r>
          </w:p>
        </w:tc>
        <w:tc>
          <w:tcPr>
            <w:tcW w:w="1080" w:type="dxa"/>
            <w:vMerge w:val="restart"/>
            <w:tcBorders>
              <w:top w:val="single" w:sz="8"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FB6644" w:rsidRPr="0022078A" w:rsidP="00FB6644">
            <w:pPr>
              <w:jc w:val="center"/>
              <w:rPr>
                <w:rFonts w:ascii="Times New Roman" w:hAnsi="Times New Roman" w:cs="Times New Roman"/>
                <w:b/>
                <w:bCs/>
                <w:sz w:val="20"/>
                <w:szCs w:val="20"/>
              </w:rPr>
            </w:pPr>
            <w:r w:rsidRPr="0022078A">
              <w:rPr>
                <w:rFonts w:ascii="Times New Roman" w:hAnsi="Times New Roman" w:cs="Times New Roman"/>
                <w:b/>
                <w:bCs/>
                <w:sz w:val="20"/>
                <w:szCs w:val="20"/>
              </w:rPr>
              <w:t>Plnenie v %</w:t>
            </w:r>
          </w:p>
        </w:tc>
        <w:tc>
          <w:tcPr>
            <w:tcW w:w="1080" w:type="dxa"/>
            <w:vMerge w:val="restart"/>
            <w:tcBorders>
              <w:top w:val="single" w:sz="8"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FB6644" w:rsidRPr="0022078A" w:rsidP="00FB6644">
            <w:pPr>
              <w:jc w:val="center"/>
              <w:rPr>
                <w:rFonts w:ascii="Times New Roman" w:hAnsi="Times New Roman" w:cs="Times New Roman"/>
                <w:b/>
                <w:bCs/>
                <w:sz w:val="20"/>
                <w:szCs w:val="20"/>
              </w:rPr>
            </w:pPr>
            <w:r w:rsidRPr="0022078A">
              <w:rPr>
                <w:rFonts w:ascii="Times New Roman" w:hAnsi="Times New Roman" w:cs="Times New Roman"/>
                <w:b/>
                <w:bCs/>
                <w:sz w:val="20"/>
                <w:szCs w:val="20"/>
              </w:rPr>
              <w:t>Rozdiel 2005-2006</w:t>
            </w:r>
          </w:p>
        </w:tc>
        <w:tc>
          <w:tcPr>
            <w:tcW w:w="1080" w:type="dxa"/>
            <w:vMerge w:val="restart"/>
            <w:tcBorders>
              <w:top w:val="single" w:sz="8" w:space="0" w:color="auto"/>
              <w:left w:val="single" w:sz="4" w:space="0" w:color="auto"/>
              <w:bottom w:val="single" w:sz="4" w:space="0" w:color="auto"/>
              <w:right w:val="single" w:sz="8" w:space="0" w:color="auto"/>
              <w:tl2br w:val="nil"/>
              <w:tr2bl w:val="nil"/>
            </w:tcBorders>
            <w:shd w:val="clear" w:color="auto" w:fill="FFFFFF"/>
            <w:textDirection w:val="lrTb"/>
            <w:vAlign w:val="center"/>
          </w:tcPr>
          <w:p w:rsidR="00FB6644" w:rsidRPr="0022078A" w:rsidP="00FB6644">
            <w:pPr>
              <w:jc w:val="center"/>
              <w:rPr>
                <w:rFonts w:ascii="Times New Roman" w:hAnsi="Times New Roman" w:cs="Times New Roman"/>
                <w:b/>
                <w:bCs/>
                <w:sz w:val="20"/>
                <w:szCs w:val="20"/>
                <w:lang w:val="en-US"/>
              </w:rPr>
            </w:pPr>
            <w:r w:rsidRPr="0022078A">
              <w:rPr>
                <w:rFonts w:ascii="Times New Roman" w:hAnsi="Times New Roman" w:cs="Times New Roman"/>
                <w:b/>
                <w:bCs/>
                <w:sz w:val="20"/>
                <w:szCs w:val="20"/>
              </w:rPr>
              <w:t>Index 2006/</w:t>
            </w:r>
            <w:r w:rsidRPr="0022078A">
              <w:rPr>
                <w:rFonts w:ascii="Times New Roman" w:hAnsi="Times New Roman" w:cs="Times New Roman"/>
                <w:b/>
                <w:bCs/>
                <w:sz w:val="20"/>
                <w:szCs w:val="20"/>
                <w:lang w:val="en-US"/>
              </w:rPr>
              <w:t>2005</w:t>
            </w:r>
          </w:p>
        </w:tc>
      </w:tr>
      <w:tr>
        <w:tblPrEx>
          <w:tblW w:w="9790" w:type="dxa"/>
          <w:tblInd w:w="-209" w:type="dxa"/>
          <w:tblLayout w:type="fixed"/>
          <w:tblCellMar>
            <w:top w:w="0" w:type="dxa"/>
            <w:left w:w="70" w:type="dxa"/>
            <w:bottom w:w="0" w:type="dxa"/>
            <w:right w:w="70" w:type="dxa"/>
          </w:tblCellMar>
        </w:tblPrEx>
        <w:trPr>
          <w:cantSplit/>
          <w:trHeight w:hRule="auto" w:val="0"/>
        </w:trPr>
        <w:tc>
          <w:tcPr>
            <w:tcW w:w="1870" w:type="dxa"/>
            <w:vMerge/>
            <w:tcBorders>
              <w:top w:val="single" w:sz="4" w:space="0" w:color="auto"/>
              <w:left w:val="single" w:sz="8" w:space="0" w:color="auto"/>
              <w:bottom w:val="single" w:sz="4" w:space="0" w:color="auto"/>
              <w:right w:val="single" w:sz="4" w:space="0" w:color="auto"/>
              <w:tl2br w:val="nil"/>
              <w:tr2bl w:val="nil"/>
            </w:tcBorders>
            <w:shd w:val="clear" w:color="auto" w:fill="FFFFFF"/>
            <w:textDirection w:val="lrTb"/>
            <w:vAlign w:val="top"/>
          </w:tcPr>
          <w:p w:rsidR="00FB6644" w:rsidRPr="0022078A" w:rsidP="00FB6644">
            <w:pPr>
              <w:jc w:val="both"/>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22078A" w:rsidP="00FB6644">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FB6644" w:rsidRPr="0022078A" w:rsidP="00FB6644">
            <w:pPr>
              <w:jc w:val="center"/>
              <w:rPr>
                <w:rFonts w:ascii="Times New Roman" w:hAnsi="Times New Roman" w:cs="Times New Roman"/>
                <w:b/>
                <w:bCs/>
                <w:sz w:val="20"/>
                <w:szCs w:val="20"/>
              </w:rPr>
            </w:pPr>
            <w:r w:rsidRPr="0022078A">
              <w:rPr>
                <w:rFonts w:ascii="Times New Roman" w:hAnsi="Times New Roman" w:cs="Times New Roman"/>
                <w:b/>
                <w:bCs/>
                <w:sz w:val="20"/>
                <w:szCs w:val="20"/>
              </w:rPr>
              <w:t>Schválený</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FB6644" w:rsidRPr="0022078A" w:rsidP="00FB6644">
            <w:pPr>
              <w:jc w:val="center"/>
              <w:rPr>
                <w:rFonts w:ascii="Times New Roman" w:hAnsi="Times New Roman" w:cs="Times New Roman"/>
                <w:b/>
                <w:bCs/>
                <w:sz w:val="20"/>
                <w:szCs w:val="20"/>
              </w:rPr>
            </w:pPr>
            <w:r w:rsidRPr="0022078A">
              <w:rPr>
                <w:rFonts w:ascii="Times New Roman" w:hAnsi="Times New Roman" w:cs="Times New Roman"/>
                <w:b/>
                <w:bCs/>
                <w:sz w:val="20"/>
                <w:szCs w:val="20"/>
              </w:rPr>
              <w:t>Upravený</w:t>
            </w:r>
          </w:p>
        </w:tc>
        <w:tc>
          <w:tcPr>
            <w:tcW w:w="1260" w:type="dxa"/>
            <w:vMerge/>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22078A" w:rsidP="00FB6644">
            <w:pPr>
              <w:jc w:val="center"/>
              <w:rPr>
                <w:rFonts w:ascii="Times New Roman" w:hAnsi="Times New Roman" w:cs="Times New Roman"/>
                <w:sz w:val="20"/>
                <w:szCs w:val="20"/>
              </w:rPr>
            </w:pPr>
          </w:p>
        </w:tc>
        <w:tc>
          <w:tcPr>
            <w:tcW w:w="1080" w:type="dxa"/>
            <w:vMerge/>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22078A" w:rsidP="00FB6644">
            <w:pPr>
              <w:jc w:val="center"/>
              <w:rPr>
                <w:rFonts w:ascii="Times New Roman" w:hAnsi="Times New Roman" w:cs="Times New Roman"/>
                <w:sz w:val="20"/>
                <w:szCs w:val="20"/>
              </w:rPr>
            </w:pPr>
          </w:p>
        </w:tc>
        <w:tc>
          <w:tcPr>
            <w:tcW w:w="1080" w:type="dxa"/>
            <w:vMerge/>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22078A" w:rsidP="00FB6644">
            <w:pPr>
              <w:jc w:val="center"/>
              <w:rPr>
                <w:rFonts w:ascii="Times New Roman" w:hAnsi="Times New Roman" w:cs="Times New Roman"/>
                <w:sz w:val="20"/>
                <w:szCs w:val="20"/>
              </w:rPr>
            </w:pPr>
          </w:p>
        </w:tc>
        <w:tc>
          <w:tcPr>
            <w:tcW w:w="1080" w:type="dxa"/>
            <w:vMerge/>
            <w:tcBorders>
              <w:top w:val="single" w:sz="4" w:space="0" w:color="auto"/>
              <w:left w:val="single" w:sz="4" w:space="0" w:color="auto"/>
              <w:bottom w:val="single" w:sz="4" w:space="0" w:color="auto"/>
              <w:right w:val="single" w:sz="8" w:space="0" w:color="auto"/>
              <w:tl2br w:val="nil"/>
              <w:tr2bl w:val="nil"/>
            </w:tcBorders>
            <w:shd w:val="clear" w:color="auto" w:fill="FFFFFF"/>
            <w:textDirection w:val="lrTb"/>
            <w:vAlign w:val="top"/>
          </w:tcPr>
          <w:p w:rsidR="00FB6644" w:rsidRPr="0022078A" w:rsidP="00FB6644">
            <w:pPr>
              <w:jc w:val="center"/>
              <w:rPr>
                <w:rFonts w:ascii="Times New Roman" w:hAnsi="Times New Roman" w:cs="Times New Roman"/>
                <w:sz w:val="20"/>
                <w:szCs w:val="20"/>
              </w:rPr>
            </w:pPr>
          </w:p>
        </w:tc>
      </w:tr>
      <w:tr>
        <w:tblPrEx>
          <w:tblW w:w="9790" w:type="dxa"/>
          <w:tblInd w:w="-209" w:type="dxa"/>
          <w:tblLayout w:type="fixed"/>
          <w:tblCellMar>
            <w:top w:w="0" w:type="dxa"/>
            <w:left w:w="70" w:type="dxa"/>
            <w:bottom w:w="0" w:type="dxa"/>
            <w:right w:w="70" w:type="dxa"/>
          </w:tblCellMar>
        </w:tblPrEx>
        <w:trPr>
          <w:cantSplit/>
          <w:trHeight w:val="50"/>
        </w:trPr>
        <w:tc>
          <w:tcPr>
            <w:tcW w:w="1870" w:type="dxa"/>
            <w:vMerge/>
            <w:tcBorders>
              <w:top w:val="single" w:sz="4" w:space="0" w:color="auto"/>
              <w:left w:val="single" w:sz="8" w:space="0" w:color="auto"/>
              <w:bottom w:val="single" w:sz="4" w:space="0" w:color="auto"/>
              <w:right w:val="single" w:sz="4" w:space="0" w:color="auto"/>
              <w:tl2br w:val="nil"/>
              <w:tr2bl w:val="nil"/>
            </w:tcBorders>
            <w:shd w:val="clear" w:color="auto" w:fill="FFFFFF"/>
            <w:textDirection w:val="lrTb"/>
            <w:vAlign w:val="top"/>
          </w:tcPr>
          <w:p w:rsidR="00FB6644" w:rsidRPr="0022078A" w:rsidP="00FB6644">
            <w:pPr>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1</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2</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3</w:t>
            </w:r>
          </w:p>
        </w:tc>
        <w:tc>
          <w:tcPr>
            <w:tcW w:w="126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4</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5= 4/3*100</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6= 4 – 1</w:t>
            </w:r>
          </w:p>
        </w:tc>
        <w:tc>
          <w:tcPr>
            <w:tcW w:w="1080" w:type="dxa"/>
            <w:tcBorders>
              <w:top w:val="single" w:sz="4" w:space="0" w:color="auto"/>
              <w:left w:val="single" w:sz="4" w:space="0" w:color="auto"/>
              <w:bottom w:val="single" w:sz="4" w:space="0" w:color="auto"/>
              <w:right w:val="single" w:sz="8" w:space="0" w:color="auto"/>
              <w:tl2br w:val="nil"/>
              <w:tr2bl w:val="nil"/>
            </w:tcBorders>
            <w:shd w:val="clear" w:color="auto" w:fill="FFFFFF"/>
            <w:textDirection w:val="lrTb"/>
            <w:vAlign w:val="top"/>
          </w:tcPr>
          <w:p w:rsidR="00FB6644" w:rsidRPr="003F1E58" w:rsidP="00FB6644">
            <w:pPr>
              <w:jc w:val="center"/>
              <w:rPr>
                <w:rFonts w:ascii="Times New Roman" w:hAnsi="Times New Roman" w:cs="Times New Roman"/>
                <w:b/>
                <w:bCs/>
                <w:sz w:val="18"/>
                <w:szCs w:val="18"/>
              </w:rPr>
            </w:pPr>
            <w:r w:rsidRPr="003F1E58">
              <w:rPr>
                <w:rFonts w:ascii="Times New Roman" w:hAnsi="Times New Roman" w:cs="Times New Roman"/>
                <w:b/>
                <w:bCs/>
                <w:sz w:val="18"/>
                <w:szCs w:val="18"/>
              </w:rPr>
              <w:t>7=4/1*100</w:t>
            </w:r>
          </w:p>
        </w:tc>
      </w:tr>
      <w:tr>
        <w:tblPrEx>
          <w:tblW w:w="9790" w:type="dxa"/>
          <w:tblInd w:w="-269" w:type="dxa"/>
          <w:tblLayout w:type="fixed"/>
          <w:tblCellMar>
            <w:top w:w="0" w:type="dxa"/>
            <w:left w:w="70" w:type="dxa"/>
            <w:bottom w:w="0" w:type="dxa"/>
            <w:right w:w="70" w:type="dxa"/>
          </w:tblCellMar>
        </w:tblPrEx>
        <w:trPr>
          <w:trHeight w:hRule="auto" w:val="0"/>
        </w:trPr>
        <w:tc>
          <w:tcPr>
            <w:tcW w:w="1870" w:type="dxa"/>
            <w:tcBorders>
              <w:top w:val="single" w:sz="4" w:space="0" w:color="auto"/>
              <w:left w:val="single" w:sz="8" w:space="0" w:color="auto"/>
              <w:bottom w:val="single" w:sz="4" w:space="0" w:color="auto"/>
              <w:right w:val="single" w:sz="4" w:space="0" w:color="auto"/>
              <w:tl2br w:val="nil"/>
              <w:tr2bl w:val="nil"/>
            </w:tcBorders>
            <w:tcMar>
              <w:left w:w="0" w:type="dxa"/>
              <w:right w:w="0" w:type="dxa"/>
            </w:tcMar>
            <w:textDirection w:val="lrTb"/>
            <w:vAlign w:val="bottom"/>
          </w:tcPr>
          <w:p w:rsidR="00FB6644" w:rsidRPr="0022078A" w:rsidP="00FB6644">
            <w:pPr>
              <w:rPr>
                <w:rFonts w:ascii="Times New Roman" w:hAnsi="Times New Roman" w:cs="Times New Roman"/>
                <w:iCs/>
                <w:sz w:val="20"/>
                <w:szCs w:val="20"/>
              </w:rPr>
            </w:pPr>
            <w:r w:rsidRPr="0022078A">
              <w:rPr>
                <w:rFonts w:ascii="Times New Roman" w:hAnsi="Times New Roman" w:cs="Times New Roman"/>
                <w:iCs/>
                <w:sz w:val="20"/>
                <w:szCs w:val="20"/>
              </w:rPr>
              <w:t>Vnútorné opatrenia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357,0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1 938,1</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1 9</w:t>
            </w:r>
            <w:r w:rsidRPr="0022078A">
              <w:rPr>
                <w:rFonts w:ascii="Times New Roman" w:hAnsi="Times New Roman" w:cs="Times New Roman"/>
                <w:sz w:val="20"/>
                <w:szCs w:val="20"/>
              </w:rPr>
              <w:t>38,1</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38,9</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2,0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-318,1</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10,9</w:t>
            </w:r>
          </w:p>
        </w:tc>
      </w:tr>
      <w:tr>
        <w:tblPrEx>
          <w:tblW w:w="9790" w:type="dxa"/>
          <w:tblInd w:w="-269" w:type="dxa"/>
          <w:tblLayout w:type="fixed"/>
          <w:tblCellMar>
            <w:top w:w="0" w:type="dxa"/>
            <w:left w:w="70" w:type="dxa"/>
            <w:bottom w:w="0" w:type="dxa"/>
            <w:right w:w="70" w:type="dxa"/>
          </w:tblCellMar>
        </w:tblPrEx>
        <w:trPr>
          <w:trHeight w:hRule="auto" w:val="0"/>
        </w:trPr>
        <w:tc>
          <w:tcPr>
            <w:tcW w:w="1870" w:type="dxa"/>
            <w:tcBorders>
              <w:top w:val="single" w:sz="4" w:space="0" w:color="auto"/>
              <w:left w:val="single" w:sz="8" w:space="0" w:color="auto"/>
              <w:bottom w:val="single" w:sz="4" w:space="0" w:color="auto"/>
              <w:right w:val="single" w:sz="4" w:space="0" w:color="auto"/>
              <w:tl2br w:val="nil"/>
              <w:tr2bl w:val="nil"/>
            </w:tcBorders>
            <w:tcMar>
              <w:left w:w="0" w:type="dxa"/>
              <w:right w:w="0" w:type="dxa"/>
            </w:tcMar>
            <w:textDirection w:val="lrTb"/>
            <w:vAlign w:val="bottom"/>
          </w:tcPr>
          <w:p w:rsidR="00FB6644" w:rsidRPr="0022078A" w:rsidP="00FB6644">
            <w:pPr>
              <w:rPr>
                <w:rFonts w:ascii="Times New Roman" w:hAnsi="Times New Roman" w:cs="Times New Roman"/>
                <w:iCs/>
                <w:sz w:val="20"/>
                <w:szCs w:val="20"/>
              </w:rPr>
            </w:pPr>
            <w:r w:rsidRPr="0022078A">
              <w:rPr>
                <w:rFonts w:ascii="Times New Roman" w:hAnsi="Times New Roman" w:cs="Times New Roman"/>
                <w:iCs/>
                <w:sz w:val="20"/>
                <w:szCs w:val="20"/>
              </w:rPr>
              <w:t>Prechodný fond</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42,4</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524,7</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524,7</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230,2</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43,9</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187,8</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542,9</w:t>
            </w:r>
          </w:p>
        </w:tc>
      </w:tr>
      <w:tr>
        <w:tblPrEx>
          <w:tblW w:w="9790" w:type="dxa"/>
          <w:tblInd w:w="-269" w:type="dxa"/>
          <w:tblLayout w:type="fixed"/>
          <w:tblCellMar>
            <w:top w:w="0" w:type="dxa"/>
            <w:left w:w="70" w:type="dxa"/>
            <w:bottom w:w="0" w:type="dxa"/>
            <w:right w:w="70" w:type="dxa"/>
          </w:tblCellMar>
        </w:tblPrEx>
        <w:trPr>
          <w:trHeight w:val="72"/>
        </w:trPr>
        <w:tc>
          <w:tcPr>
            <w:tcW w:w="1870" w:type="dxa"/>
            <w:tcBorders>
              <w:top w:val="single" w:sz="4" w:space="0" w:color="auto"/>
              <w:left w:val="single" w:sz="8" w:space="0" w:color="auto"/>
              <w:bottom w:val="single" w:sz="4" w:space="0" w:color="auto"/>
              <w:right w:val="single" w:sz="4" w:space="0" w:color="auto"/>
              <w:tl2br w:val="nil"/>
              <w:tr2bl w:val="nil"/>
            </w:tcBorders>
            <w:tcMar>
              <w:left w:w="0" w:type="dxa"/>
              <w:right w:w="0" w:type="dxa"/>
            </w:tcMar>
            <w:textDirection w:val="lrTb"/>
            <w:vAlign w:val="bottom"/>
          </w:tcPr>
          <w:p w:rsidR="00FB6644" w:rsidRPr="0022078A" w:rsidP="00FB6644">
            <w:pPr>
              <w:rPr>
                <w:rFonts w:ascii="Times New Roman" w:hAnsi="Times New Roman" w:cs="Times New Roman"/>
                <w:iCs/>
                <w:sz w:val="20"/>
                <w:szCs w:val="20"/>
              </w:rPr>
            </w:pPr>
            <w:r w:rsidRPr="0022078A">
              <w:rPr>
                <w:rFonts w:ascii="Times New Roman" w:hAnsi="Times New Roman" w:cs="Times New Roman"/>
                <w:iCs/>
                <w:sz w:val="20"/>
                <w:szCs w:val="20"/>
              </w:rPr>
              <w:t>Budovanie Schengenských hraníc</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141,2</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687,2</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687,2</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457,4</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66,6</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316,2</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323,9</w:t>
            </w:r>
          </w:p>
        </w:tc>
      </w:tr>
      <w:tr>
        <w:tblPrEx>
          <w:tblW w:w="9790" w:type="dxa"/>
          <w:tblInd w:w="-269" w:type="dxa"/>
          <w:tblLayout w:type="fixed"/>
          <w:tblCellMar>
            <w:top w:w="0" w:type="dxa"/>
            <w:left w:w="70" w:type="dxa"/>
            <w:bottom w:w="0" w:type="dxa"/>
            <w:right w:w="70" w:type="dxa"/>
          </w:tblCellMar>
        </w:tblPrEx>
        <w:trPr>
          <w:trHeight w:hRule="auto" w:val="0"/>
        </w:trPr>
        <w:tc>
          <w:tcPr>
            <w:tcW w:w="1870" w:type="dxa"/>
            <w:tcBorders>
              <w:top w:val="single" w:sz="4" w:space="0" w:color="auto"/>
              <w:left w:val="single" w:sz="8" w:space="0" w:color="auto"/>
              <w:bottom w:val="single" w:sz="4" w:space="0" w:color="auto"/>
              <w:right w:val="single" w:sz="4" w:space="0" w:color="auto"/>
              <w:tl2br w:val="nil"/>
              <w:tr2bl w:val="nil"/>
            </w:tcBorders>
            <w:tcMar>
              <w:left w:w="0" w:type="dxa"/>
              <w:right w:w="0" w:type="dxa"/>
            </w:tcMar>
            <w:textDirection w:val="lrTb"/>
            <w:vAlign w:val="bottom"/>
          </w:tcPr>
          <w:p w:rsidR="00FB6644" w:rsidRPr="0022078A" w:rsidP="00FB6644">
            <w:pPr>
              <w:rPr>
                <w:rFonts w:ascii="Times New Roman" w:hAnsi="Times New Roman" w:cs="Times New Roman"/>
                <w:iCs/>
                <w:sz w:val="20"/>
                <w:szCs w:val="20"/>
              </w:rPr>
            </w:pPr>
            <w:r w:rsidRPr="0022078A">
              <w:rPr>
                <w:rFonts w:ascii="Times New Roman" w:hAnsi="Times New Roman" w:cs="Times New Roman"/>
                <w:iCs/>
                <w:sz w:val="20"/>
                <w:szCs w:val="20"/>
              </w:rPr>
              <w:t>Odstavenie bloku V1 JE Jaslovské Bohunice</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107,8</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1 293,9</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1 293,9</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673,1</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52,0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565,3</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FB6644" w:rsidRPr="0022078A" w:rsidP="00FB6644">
            <w:pPr>
              <w:jc w:val="right"/>
              <w:rPr>
                <w:rFonts w:ascii="Times New Roman" w:hAnsi="Times New Roman" w:cs="Times New Roman"/>
                <w:sz w:val="20"/>
                <w:szCs w:val="20"/>
              </w:rPr>
            </w:pPr>
            <w:r w:rsidRPr="0022078A">
              <w:rPr>
                <w:rFonts w:ascii="Times New Roman" w:hAnsi="Times New Roman" w:cs="Times New Roman"/>
                <w:sz w:val="20"/>
                <w:szCs w:val="20"/>
              </w:rPr>
              <w:t>624,4</w:t>
            </w:r>
          </w:p>
        </w:tc>
      </w:tr>
      <w:tr>
        <w:tblPrEx>
          <w:tblW w:w="9790" w:type="dxa"/>
          <w:tblInd w:w="-269" w:type="dxa"/>
          <w:tblLayout w:type="fixed"/>
          <w:tblCellMar>
            <w:top w:w="0" w:type="dxa"/>
            <w:left w:w="70" w:type="dxa"/>
            <w:bottom w:w="0" w:type="dxa"/>
            <w:right w:w="70" w:type="dxa"/>
          </w:tblCellMar>
        </w:tblPrEx>
        <w:trPr>
          <w:trHeight w:hRule="auto" w:val="0"/>
        </w:trPr>
        <w:tc>
          <w:tcPr>
            <w:tcW w:w="1870" w:type="dxa"/>
            <w:tcBorders>
              <w:top w:val="single" w:sz="4" w:space="0" w:color="auto"/>
              <w:left w:val="single" w:sz="8" w:space="0" w:color="auto"/>
              <w:bottom w:val="double" w:sz="6" w:space="0" w:color="auto"/>
              <w:right w:val="single" w:sz="4" w:space="0" w:color="auto"/>
              <w:tl2br w:val="nil"/>
              <w:tr2bl w:val="nil"/>
            </w:tcBorders>
            <w:tcMar>
              <w:left w:w="0" w:type="dxa"/>
              <w:right w:w="0" w:type="dxa"/>
            </w:tcMar>
            <w:textDirection w:val="lrTb"/>
            <w:vAlign w:val="bottom"/>
          </w:tcPr>
          <w:p w:rsidR="00FB6644" w:rsidRPr="0022078A" w:rsidP="00FB6644">
            <w:pPr>
              <w:rPr>
                <w:rFonts w:ascii="Times New Roman" w:hAnsi="Times New Roman" w:cs="Times New Roman"/>
                <w:b/>
                <w:bCs/>
                <w:sz w:val="20"/>
                <w:szCs w:val="20"/>
              </w:rPr>
            </w:pPr>
            <w:r w:rsidRPr="0022078A">
              <w:rPr>
                <w:rFonts w:ascii="Times New Roman" w:hAnsi="Times New Roman" w:cs="Times New Roman"/>
                <w:b/>
                <w:bCs/>
                <w:sz w:val="20"/>
                <w:szCs w:val="20"/>
              </w:rPr>
              <w:t>Vnútorné politiky EÚ spolu</w:t>
            </w:r>
          </w:p>
        </w:tc>
        <w:tc>
          <w:tcPr>
            <w:tcW w:w="1260"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b/>
                <w:bCs/>
                <w:sz w:val="20"/>
                <w:szCs w:val="20"/>
              </w:rPr>
            </w:pPr>
            <w:r w:rsidRPr="0022078A">
              <w:rPr>
                <w:rFonts w:ascii="Times New Roman" w:hAnsi="Times New Roman" w:cs="Times New Roman"/>
                <w:b/>
                <w:bCs/>
                <w:sz w:val="20"/>
                <w:szCs w:val="20"/>
              </w:rPr>
              <w:t>648,4</w:t>
            </w:r>
          </w:p>
        </w:tc>
        <w:tc>
          <w:tcPr>
            <w:tcW w:w="1080"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b/>
                <w:bCs/>
                <w:sz w:val="20"/>
                <w:szCs w:val="20"/>
              </w:rPr>
            </w:pPr>
            <w:r w:rsidRPr="0022078A">
              <w:rPr>
                <w:rFonts w:ascii="Times New Roman" w:hAnsi="Times New Roman" w:cs="Times New Roman"/>
                <w:b/>
                <w:bCs/>
                <w:sz w:val="20"/>
                <w:szCs w:val="20"/>
              </w:rPr>
              <w:t>4 443,9</w:t>
            </w:r>
          </w:p>
        </w:tc>
        <w:tc>
          <w:tcPr>
            <w:tcW w:w="1080"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b/>
                <w:bCs/>
                <w:sz w:val="20"/>
                <w:szCs w:val="20"/>
              </w:rPr>
            </w:pPr>
            <w:r w:rsidRPr="0022078A">
              <w:rPr>
                <w:rFonts w:ascii="Times New Roman" w:hAnsi="Times New Roman" w:cs="Times New Roman"/>
                <w:b/>
                <w:bCs/>
                <w:sz w:val="20"/>
                <w:szCs w:val="20"/>
              </w:rPr>
              <w:t>4 443,9</w:t>
            </w:r>
          </w:p>
        </w:tc>
        <w:tc>
          <w:tcPr>
            <w:tcW w:w="1260"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b/>
                <w:bCs/>
                <w:sz w:val="20"/>
                <w:szCs w:val="20"/>
              </w:rPr>
            </w:pPr>
            <w:r w:rsidRPr="0022078A">
              <w:rPr>
                <w:rFonts w:ascii="Times New Roman" w:hAnsi="Times New Roman" w:cs="Times New Roman"/>
                <w:b/>
                <w:bCs/>
                <w:sz w:val="20"/>
                <w:szCs w:val="20"/>
              </w:rPr>
              <w:t>1 399,6</w:t>
            </w:r>
          </w:p>
        </w:tc>
        <w:tc>
          <w:tcPr>
            <w:tcW w:w="1080"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b/>
                <w:bCs/>
                <w:sz w:val="20"/>
                <w:szCs w:val="20"/>
              </w:rPr>
            </w:pPr>
            <w:r w:rsidRPr="0022078A">
              <w:rPr>
                <w:rFonts w:ascii="Times New Roman" w:hAnsi="Times New Roman" w:cs="Times New Roman"/>
                <w:b/>
                <w:bCs/>
                <w:sz w:val="20"/>
                <w:szCs w:val="20"/>
              </w:rPr>
              <w:t>31,5</w:t>
            </w:r>
          </w:p>
        </w:tc>
        <w:tc>
          <w:tcPr>
            <w:tcW w:w="1080"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FB6644" w:rsidRPr="0022078A" w:rsidP="00FB6644">
            <w:pPr>
              <w:jc w:val="right"/>
              <w:rPr>
                <w:rFonts w:ascii="Times New Roman" w:hAnsi="Times New Roman" w:cs="Times New Roman"/>
                <w:b/>
                <w:bCs/>
                <w:sz w:val="20"/>
                <w:szCs w:val="20"/>
              </w:rPr>
            </w:pPr>
            <w:r w:rsidRPr="0022078A">
              <w:rPr>
                <w:rFonts w:ascii="Times New Roman" w:hAnsi="Times New Roman" w:cs="Times New Roman"/>
                <w:b/>
                <w:bCs/>
                <w:sz w:val="20"/>
                <w:szCs w:val="20"/>
              </w:rPr>
              <w:t>751,2</w:t>
            </w:r>
          </w:p>
        </w:tc>
        <w:tc>
          <w:tcPr>
            <w:tcW w:w="1080" w:type="dxa"/>
            <w:tcBorders>
              <w:top w:val="single" w:sz="4" w:space="0" w:color="auto"/>
              <w:left w:val="single" w:sz="4" w:space="0" w:color="auto"/>
              <w:bottom w:val="double" w:sz="6" w:space="0" w:color="auto"/>
              <w:right w:val="single" w:sz="8" w:space="0" w:color="auto"/>
              <w:tl2br w:val="nil"/>
              <w:tr2bl w:val="nil"/>
            </w:tcBorders>
            <w:textDirection w:val="lrTb"/>
            <w:vAlign w:val="bottom"/>
          </w:tcPr>
          <w:p w:rsidR="00FB6644" w:rsidRPr="0022078A" w:rsidP="00FB6644">
            <w:pPr>
              <w:jc w:val="right"/>
              <w:rPr>
                <w:rFonts w:ascii="Times New Roman" w:hAnsi="Times New Roman" w:cs="Times New Roman"/>
                <w:b/>
                <w:bCs/>
                <w:sz w:val="20"/>
                <w:szCs w:val="20"/>
              </w:rPr>
            </w:pPr>
            <w:r w:rsidRPr="0022078A">
              <w:rPr>
                <w:rFonts w:ascii="Times New Roman" w:hAnsi="Times New Roman" w:cs="Times New Roman"/>
                <w:b/>
                <w:bCs/>
                <w:sz w:val="20"/>
                <w:szCs w:val="20"/>
              </w:rPr>
              <w:t>215,9</w:t>
            </w:r>
          </w:p>
        </w:tc>
      </w:tr>
    </w:tbl>
    <w:p w:rsidR="00FB6644" w:rsidRPr="00FB6644" w:rsidP="00FB6644">
      <w:pPr>
        <w:spacing w:after="120" w:line="360" w:lineRule="auto"/>
        <w:jc w:val="both"/>
        <w:rPr>
          <w:rFonts w:ascii="Times New Roman" w:hAnsi="Times New Roman" w:cs="Times New Roman"/>
          <w:b/>
          <w:bCs/>
        </w:rPr>
      </w:pPr>
    </w:p>
    <w:p w:rsidR="00FB6644" w:rsidRPr="00FB6644" w:rsidP="00FB6644">
      <w:pPr>
        <w:spacing w:before="120" w:after="120" w:line="360" w:lineRule="auto"/>
        <w:ind w:firstLine="708"/>
        <w:jc w:val="both"/>
        <w:rPr>
          <w:rFonts w:ascii="Times New Roman" w:hAnsi="Times New Roman" w:cs="Times New Roman"/>
        </w:rPr>
      </w:pPr>
      <w:r w:rsidRPr="00FB6644">
        <w:rPr>
          <w:rFonts w:ascii="Times New Roman" w:hAnsi="Times New Roman" w:cs="Times New Roman"/>
        </w:rPr>
        <w:t xml:space="preserve">Vykazované nižšie čerpanie finančných prostriedkov z rozpočtu EÚ v rámci </w:t>
      </w:r>
      <w:r w:rsidRPr="00FB6644">
        <w:rPr>
          <w:rFonts w:ascii="Times New Roman" w:hAnsi="Times New Roman" w:cs="Times New Roman"/>
          <w:b/>
          <w:bCs/>
        </w:rPr>
        <w:t>vnútorných opatrení</w:t>
      </w:r>
      <w:r w:rsidRPr="00FB6644">
        <w:rPr>
          <w:rFonts w:ascii="Times New Roman" w:hAnsi="Times New Roman" w:cs="Times New Roman"/>
        </w:rPr>
        <w:t xml:space="preserve"> v roku 2006 oproti schválenému rozpočtu nie je spôsobené problémami vyplývajúcimi z oneskoreného začiatku realizácie projektov alebo zdĺhavého procesu schvaľovania, ale problémom je takmer nemožnosť zabezpečiť plné vykazovanie všetkých príjmov z vnútorných opatrení na úrovni SR. Vnútorné opatrenia sú projektovo orientované a koneční prijímatelia podpory (verejné inštitúcie a/alebo súkromné osoby) predkladajú návrhy projektov priamo EK. Vzhľadom na uvedenú skutočnosť je možné stanoviť reálne čerpanie až po zverejnení Správy EK o alokácii výdavkov rozpočtu EÚ podľa jednotlivých členských krajín, ktorá je publikovaná v septembri daného roka. Až na základe tejto správy v septembri 2007 bude možné stanoviť reálnu výšku čerpania v roku 2006. </w:t>
      </w:r>
    </w:p>
    <w:p w:rsidR="00FB6644" w:rsidRPr="00FB6644" w:rsidP="00FB6644">
      <w:pPr>
        <w:autoSpaceDE/>
        <w:autoSpaceDN/>
        <w:spacing w:before="120" w:after="120" w:line="360" w:lineRule="auto"/>
        <w:ind w:firstLine="708"/>
        <w:jc w:val="both"/>
        <w:rPr>
          <w:rFonts w:ascii="Times New Roman" w:hAnsi="Times New Roman" w:cs="Times New Roman"/>
        </w:rPr>
      </w:pPr>
      <w:r w:rsidRPr="00FB6644">
        <w:rPr>
          <w:rFonts w:ascii="Times New Roman" w:hAnsi="Times New Roman" w:cs="Times New Roman"/>
          <w:bCs/>
        </w:rPr>
        <w:t xml:space="preserve">MF SR poskytlo v priebehu roka 2006 IA CFKJ prostriedky na financovanie projektov spadajúcich do troch Rozhodnutí EK v rámci </w:t>
      </w:r>
      <w:r w:rsidRPr="00FB6644">
        <w:rPr>
          <w:rFonts w:ascii="Times New Roman" w:hAnsi="Times New Roman" w:cs="Times New Roman"/>
          <w:b/>
          <w:bCs/>
        </w:rPr>
        <w:t>Prechodného fondu</w:t>
      </w:r>
      <w:r w:rsidRPr="00FB6644">
        <w:rPr>
          <w:rFonts w:ascii="Times New Roman" w:hAnsi="Times New Roman" w:cs="Times New Roman"/>
          <w:bCs/>
        </w:rPr>
        <w:t xml:space="preserve"> </w:t>
      </w:r>
      <w:r w:rsidRPr="00FB6644">
        <w:rPr>
          <w:rFonts w:ascii="Times New Roman" w:hAnsi="Times New Roman" w:cs="Times New Roman"/>
        </w:rPr>
        <w:t xml:space="preserve">(Národný program 2004, Posilnenie kontroly vonkajšej hranice EÚ a Národný program 2005). Čerpanie prostriedkov spolufinancovania z výdavkového účtu kapitoly VPS dosiahlo čiastku 23,0 mil. Sk, čo predstavuje 42,3 % a čiastku 39,0 mil. Sk z prostriedkov predchádzajúceho roku (90,7 % z rozpočtovaných prostriedkov).  IA CFKJ bolo z mimorozpočtových účtov MF SR v priebehu roka 2006 vyplatených 230,2 mil. Sk (43,9 %) z prostriedkov Prechodného fondu </w:t>
      </w:r>
      <w:smartTag w:uri="urn:schemas-microsoft-com:office:smarttags" w:element="metricconverter">
        <w:smartTagPr>
          <w:attr w:name="ProductID" w:val="2004 a"/>
        </w:smartTagPr>
        <w:r w:rsidRPr="00FB6644">
          <w:rPr>
            <w:rFonts w:ascii="Times New Roman" w:hAnsi="Times New Roman" w:cs="Times New Roman"/>
          </w:rPr>
          <w:t>2004 a</w:t>
        </w:r>
      </w:smartTag>
      <w:r w:rsidRPr="00FB6644">
        <w:rPr>
          <w:rFonts w:ascii="Times New Roman" w:hAnsi="Times New Roman" w:cs="Times New Roman"/>
        </w:rPr>
        <w:t xml:space="preserve"> 2005 poskytnutých EK a 41,8 mil. Sk z celkovej sumy 54,4 mil. Sk (76,8 %) prostriedkov spolufinancovania. IA CFKJ vyplatila v priebehu roka 2006 konečným  prijímateľom z prijatých prostriedkov EÚ z Národného fondu 229,2 mil. Sk. Hlavnými príčinami nižšej miery čerpania oproti plánu boli predovšetkým tieto skutočnosti:</w:t>
      </w:r>
    </w:p>
    <w:p w:rsidR="00FB6644" w:rsidRPr="00FB6644" w:rsidP="0022078A">
      <w:pPr>
        <w:numPr>
          <w:ilvl w:val="0"/>
          <w:numId w:val="96"/>
        </w:numPr>
        <w:tabs>
          <w:tab w:val="clear" w:pos="1320"/>
        </w:tabs>
        <w:autoSpaceDE/>
        <w:autoSpaceDN/>
        <w:spacing w:before="120" w:after="120" w:line="360" w:lineRule="auto"/>
        <w:ind w:left="720"/>
        <w:jc w:val="both"/>
        <w:rPr>
          <w:rFonts w:ascii="Times New Roman" w:hAnsi="Times New Roman" w:cs="Times New Roman"/>
        </w:rPr>
      </w:pPr>
      <w:r w:rsidRPr="00FB6644">
        <w:rPr>
          <w:rFonts w:ascii="Times New Roman" w:hAnsi="Times New Roman" w:cs="Times New Roman"/>
        </w:rPr>
        <w:t>nepresné plánovanie rezortov a IA,</w:t>
      </w:r>
    </w:p>
    <w:p w:rsidR="00FB6644" w:rsidRPr="00FB6644" w:rsidP="0022078A">
      <w:pPr>
        <w:numPr>
          <w:ilvl w:val="0"/>
          <w:numId w:val="96"/>
        </w:numPr>
        <w:tabs>
          <w:tab w:val="clear" w:pos="1320"/>
        </w:tabs>
        <w:autoSpaceDE/>
        <w:autoSpaceDN/>
        <w:spacing w:before="120" w:after="120" w:line="360" w:lineRule="auto"/>
        <w:ind w:left="720"/>
        <w:jc w:val="both"/>
        <w:rPr>
          <w:rFonts w:ascii="Times New Roman" w:hAnsi="Times New Roman" w:cs="Times New Roman"/>
        </w:rPr>
      </w:pPr>
      <w:r w:rsidRPr="00FB6644">
        <w:rPr>
          <w:rFonts w:ascii="Times New Roman" w:hAnsi="Times New Roman" w:cs="Times New Roman"/>
        </w:rPr>
        <w:t>oneskorená implementácia projektov zapríčinená prechodom na národnú legislatívu upravujúcu  proces verejného obstarávania po udelení akreditácie EDIS,</w:t>
      </w:r>
    </w:p>
    <w:p w:rsidR="00FB6644" w:rsidRPr="00FB6644" w:rsidP="0022078A">
      <w:pPr>
        <w:numPr>
          <w:ilvl w:val="0"/>
          <w:numId w:val="96"/>
        </w:numPr>
        <w:tabs>
          <w:tab w:val="clear" w:pos="1320"/>
        </w:tabs>
        <w:spacing w:before="120" w:after="120" w:line="360" w:lineRule="auto"/>
        <w:ind w:left="720"/>
        <w:jc w:val="both"/>
        <w:rPr>
          <w:rFonts w:ascii="Times New Roman" w:hAnsi="Times New Roman" w:cs="Times New Roman"/>
        </w:rPr>
      </w:pPr>
      <w:r w:rsidRPr="00FB6644">
        <w:rPr>
          <w:rFonts w:ascii="Times New Roman" w:hAnsi="Times New Roman" w:cs="Times New Roman"/>
        </w:rPr>
        <w:t>IA</w:t>
      </w:r>
      <w:r w:rsidRPr="00FB6644">
        <w:rPr>
          <w:rFonts w:ascii="Times New Roman" w:hAnsi="Times New Roman" w:cs="Times New Roman"/>
          <w:bCs/>
        </w:rPr>
        <w:t xml:space="preserve"> CFKJ sa v priebehu roku 2006 zameriavala na ukončovanie kontrahovania projektov Prechodného fondu 200</w:t>
      </w:r>
      <w:r w:rsidRPr="00FB6644">
        <w:rPr>
          <w:rFonts w:ascii="Times New Roman" w:hAnsi="Times New Roman" w:cs="Times New Roman"/>
          <w:bCs/>
        </w:rPr>
        <w:t>4</w:t>
      </w:r>
      <w:r w:rsidRPr="00FB6644">
        <w:rPr>
          <w:rFonts w:ascii="Times New Roman" w:hAnsi="Times New Roman" w:cs="Times New Roman"/>
        </w:rPr>
        <w:t>,</w:t>
      </w:r>
    </w:p>
    <w:p w:rsidR="00FB6644" w:rsidRPr="00FB6644" w:rsidP="0022078A">
      <w:pPr>
        <w:numPr>
          <w:ilvl w:val="0"/>
          <w:numId w:val="96"/>
        </w:numPr>
        <w:tabs>
          <w:tab w:val="clear" w:pos="1320"/>
        </w:tabs>
        <w:autoSpaceDE/>
        <w:autoSpaceDN/>
        <w:spacing w:before="120" w:after="120" w:line="360" w:lineRule="auto"/>
        <w:ind w:left="720"/>
        <w:jc w:val="both"/>
        <w:rPr>
          <w:rFonts w:ascii="Times New Roman" w:hAnsi="Times New Roman" w:cs="Times New Roman"/>
        </w:rPr>
      </w:pPr>
      <w:r w:rsidRPr="00FB6644">
        <w:rPr>
          <w:rFonts w:ascii="Times New Roman" w:hAnsi="Times New Roman" w:cs="Times New Roman"/>
        </w:rPr>
        <w:t>posilňovanie výmenného kurzu Sk voči EUR (apreciáciou slovenskej meny dochádza k zníženiu nárokov na prostriedky spolufinancovania pri prepočte na EUR).</w:t>
      </w:r>
    </w:p>
    <w:p w:rsidR="00FB6644" w:rsidRPr="00FB6644" w:rsidP="00FB6644">
      <w:pPr>
        <w:spacing w:before="120" w:after="120" w:line="360" w:lineRule="auto"/>
        <w:ind w:firstLine="709"/>
        <w:jc w:val="both"/>
        <w:rPr>
          <w:rFonts w:ascii="Times New Roman" w:hAnsi="Times New Roman" w:cs="Times New Roman"/>
        </w:rPr>
      </w:pPr>
      <w:r w:rsidRPr="00FB6644">
        <w:rPr>
          <w:rFonts w:ascii="Times New Roman" w:hAnsi="Times New Roman" w:cs="Times New Roman"/>
        </w:rPr>
        <w:t xml:space="preserve">V roku 2006 prebiehala realizácia 22 schválených projektov </w:t>
      </w:r>
      <w:r w:rsidRPr="00FB6644">
        <w:rPr>
          <w:rFonts w:ascii="Times New Roman" w:hAnsi="Times New Roman" w:cs="Times New Roman"/>
          <w:b/>
          <w:bCs/>
        </w:rPr>
        <w:t>budovania</w:t>
      </w:r>
      <w:r w:rsidRPr="00FB6644">
        <w:rPr>
          <w:rFonts w:ascii="Times New Roman" w:hAnsi="Times New Roman" w:cs="Times New Roman"/>
        </w:rPr>
        <w:t xml:space="preserve"> </w:t>
      </w:r>
      <w:r w:rsidRPr="00FB6644">
        <w:rPr>
          <w:rFonts w:ascii="Times New Roman" w:hAnsi="Times New Roman" w:cs="Times New Roman"/>
          <w:b/>
        </w:rPr>
        <w:t xml:space="preserve">Schengenských hraníc </w:t>
      </w:r>
      <w:r w:rsidRPr="00FB6644">
        <w:rPr>
          <w:rFonts w:ascii="Times New Roman" w:hAnsi="Times New Roman" w:cs="Times New Roman"/>
        </w:rPr>
        <w:t xml:space="preserve">v kapitolách MV SR, MDPT SR, MZV SR a na MF SR (Colnom riaditeľstve). Na mimorozpočtový účet MV SR bola 28. novembra 2006 poukázaná posledná paušálna platba z EK vo výške 691,8 mil. Sk. Zo spolufinancovania zo štátneho rozpočtu bolo vyčerpaných 14,3 mil. Sk. </w:t>
      </w:r>
    </w:p>
    <w:p w:rsidR="00FB6644" w:rsidRPr="00FB6644" w:rsidP="00FB6644">
      <w:pPr>
        <w:spacing w:before="120" w:after="120" w:line="360" w:lineRule="auto"/>
        <w:ind w:firstLine="709"/>
        <w:jc w:val="both"/>
        <w:rPr>
          <w:rFonts w:ascii="Times New Roman" w:hAnsi="Times New Roman" w:cs="Times New Roman"/>
          <w:b/>
          <w:bCs/>
        </w:rPr>
      </w:pPr>
      <w:r w:rsidRPr="00FB6644">
        <w:rPr>
          <w:rFonts w:ascii="Times New Roman" w:hAnsi="Times New Roman" w:cs="Times New Roman"/>
        </w:rPr>
        <w:t>Finanč</w:t>
      </w:r>
      <w:r w:rsidRPr="00FB6644">
        <w:rPr>
          <w:rFonts w:ascii="Times New Roman" w:hAnsi="Times New Roman" w:cs="Times New Roman"/>
        </w:rPr>
        <w:t xml:space="preserve">né prostriedky na </w:t>
      </w:r>
      <w:r w:rsidRPr="00FB6644">
        <w:rPr>
          <w:rFonts w:ascii="Times New Roman" w:hAnsi="Times New Roman" w:cs="Times New Roman"/>
          <w:b/>
          <w:bCs/>
        </w:rPr>
        <w:t>odstavenie JE V1 Jaslovské Bohunice</w:t>
      </w:r>
      <w:r w:rsidRPr="00FB6644">
        <w:rPr>
          <w:rFonts w:ascii="Times New Roman" w:hAnsi="Times New Roman" w:cs="Times New Roman"/>
        </w:rPr>
        <w:t xml:space="preserve"> plynú na Slovensko prostredníctvom fondu BIDSF (Bohunice International Decommissioning Support Fund), ktorého správcom je Európska banka pre obnovu a rozvoj. Finančné prostriedky sú z tohto fondu po podpísaní grantových dohôd preplácané slovenským príjemcom zahraničnej pomoci (t.j. Slovenské elektrárne, a.s. a Slovenská elektrizačná a prenosová sústava, a.s.). V roku 2006 boli podpísané dve grantové dohody, na základe ktorých sa v roku 2006 čerpalo 673,1</w:t>
      </w:r>
      <w:r w:rsidRPr="00FB6644">
        <w:rPr>
          <w:rFonts w:ascii="Times New Roman" w:hAnsi="Times New Roman" w:cs="Times New Roman"/>
        </w:rPr>
        <w:t xml:space="preserve"> mil. Sk.  </w:t>
      </w:r>
    </w:p>
    <w:p w:rsidR="00FB6644" w:rsidRPr="00FB6644" w:rsidP="00FB6644">
      <w:pPr>
        <w:pStyle w:val="Heading4"/>
        <w:spacing w:before="120" w:after="120" w:line="360" w:lineRule="auto"/>
        <w:rPr>
          <w:rFonts w:ascii="Times New Roman" w:hAnsi="Times New Roman" w:cs="Times New Roman"/>
          <w:sz w:val="24"/>
          <w:u w:val="single"/>
        </w:rPr>
      </w:pPr>
      <w:r w:rsidRPr="00FB6644">
        <w:rPr>
          <w:rFonts w:ascii="Times New Roman" w:hAnsi="Times New Roman" w:cs="Times New Roman"/>
          <w:sz w:val="24"/>
          <w:u w:val="single"/>
        </w:rPr>
        <w:t>C. Finančný mechanizmus EHP a Nórsky finančný mechanizmus</w:t>
      </w:r>
    </w:p>
    <w:p w:rsidR="00FB6644" w:rsidRPr="00FB6644" w:rsidP="00FB6644">
      <w:pPr>
        <w:spacing w:before="120" w:after="120" w:line="360" w:lineRule="auto"/>
        <w:ind w:firstLine="708"/>
        <w:jc w:val="both"/>
        <w:rPr>
          <w:rFonts w:ascii="Times New Roman" w:hAnsi="Times New Roman" w:cs="Times New Roman"/>
        </w:rPr>
      </w:pPr>
      <w:r w:rsidRPr="00FB6644">
        <w:rPr>
          <w:rFonts w:ascii="Times New Roman" w:hAnsi="Times New Roman" w:cs="Times New Roman"/>
        </w:rPr>
        <w:t xml:space="preserve">Čerpanie prostriedkov finančného mechanizmu EHP a NFM začalo v priebehu roka 2006 iba v rámci technickej asistencie, kde sú konečnými  prijímateľmi ÚV SR a MF SR. SR predfinancovala prostriedky donorov určené na technickú asistenciu zo zdrojov štátneho rozpočtu pre ÚV SR vo výške 59 364 EUR a pre MF SR vo výške 2 642 EUR. Tieto prostriedky budú v priebehu roka 2007 refundované zo strany Úradu pre finančný mechanizmus. </w:t>
      </w:r>
    </w:p>
    <w:p w:rsidR="00FB6644" w:rsidRPr="00FB6644" w:rsidP="00FB6644">
      <w:pPr>
        <w:pStyle w:val="Heading4"/>
        <w:spacing w:before="120" w:after="120" w:line="360" w:lineRule="auto"/>
        <w:rPr>
          <w:rFonts w:ascii="Times New Roman" w:hAnsi="Times New Roman" w:cs="Times New Roman"/>
          <w:sz w:val="24"/>
          <w:u w:val="single"/>
        </w:rPr>
      </w:pPr>
      <w:r w:rsidRPr="00FB6644">
        <w:rPr>
          <w:rFonts w:ascii="Times New Roman" w:hAnsi="Times New Roman" w:cs="Times New Roman"/>
          <w:sz w:val="24"/>
          <w:u w:val="single"/>
        </w:rPr>
        <w:t>D. Finančná obálka</w:t>
      </w:r>
    </w:p>
    <w:p w:rsidR="00FB6644" w:rsidRPr="00FB6644" w:rsidP="00FB6644">
      <w:pPr>
        <w:autoSpaceDE/>
        <w:autoSpaceDN/>
        <w:spacing w:before="120" w:after="120" w:line="360" w:lineRule="auto"/>
        <w:ind w:firstLine="708"/>
        <w:jc w:val="both"/>
        <w:rPr>
          <w:rFonts w:ascii="Times New Roman" w:hAnsi="Times New Roman" w:cs="Times New Roman"/>
        </w:rPr>
      </w:pPr>
      <w:r w:rsidRPr="00FB6644">
        <w:rPr>
          <w:rFonts w:ascii="Times New Roman" w:hAnsi="Times New Roman" w:cs="Times New Roman"/>
        </w:rPr>
        <w:t xml:space="preserve">Finančná obálka slúži na financovanie náhrad cestovných výdavkov súvisiacich s účasťou zástupcov SR na zasadaniach výborov a pracovných skupín Rady EÚ. V roku 2006 boli uhradené žiadosti v celkovej hodnote 35,9 mil. Sk. Počiatočný stav prostriedkov predstavoval 26,1 mil. Sk (nevyčerpané prostriedky zo všeobecného rozpočtu EU z roku 2005). </w:t>
      </w:r>
    </w:p>
    <w:p w:rsidR="00FB6644" w:rsidP="00FB6644">
      <w:pPr>
        <w:spacing w:before="120" w:after="120" w:line="360" w:lineRule="auto"/>
        <w:rPr>
          <w:rFonts w:ascii="Times New Roman" w:hAnsi="Times New Roman" w:cs="Times New Roman"/>
          <w:b/>
          <w:bCs/>
        </w:rPr>
      </w:pPr>
    </w:p>
    <w:p w:rsidR="00585D15" w:rsidP="00FB6644">
      <w:pPr>
        <w:spacing w:before="120" w:after="120" w:line="360" w:lineRule="auto"/>
        <w:rPr>
          <w:rFonts w:ascii="Times New Roman" w:hAnsi="Times New Roman" w:cs="Times New Roman"/>
          <w:b/>
          <w:bCs/>
        </w:rPr>
      </w:pPr>
    </w:p>
    <w:p w:rsidR="0022078A" w:rsidRPr="00FB6644" w:rsidP="00FB6644">
      <w:pPr>
        <w:spacing w:before="120" w:after="120" w:line="360" w:lineRule="auto"/>
        <w:rPr>
          <w:rFonts w:ascii="Times New Roman" w:hAnsi="Times New Roman" w:cs="Times New Roman"/>
          <w:b/>
          <w:bCs/>
        </w:rPr>
      </w:pPr>
    </w:p>
    <w:p w:rsidR="006E009B" w:rsidP="006E009B">
      <w:pPr>
        <w:jc w:val="center"/>
        <w:rPr>
          <w:rFonts w:ascii="Times New Roman" w:hAnsi="Times New Roman" w:cs="Times New Roman"/>
          <w:b/>
          <w:color w:val="000000"/>
        </w:rPr>
      </w:pPr>
      <w:r w:rsidR="003F1E58">
        <w:rPr>
          <w:rFonts w:ascii="Times New Roman" w:hAnsi="Times New Roman" w:cs="Times New Roman"/>
          <w:b/>
          <w:color w:val="000000"/>
        </w:rPr>
        <w:br w:type="page"/>
      </w:r>
      <w:r>
        <w:rPr>
          <w:rFonts w:ascii="Times New Roman" w:hAnsi="Times New Roman" w:cs="Times New Roman"/>
          <w:b/>
          <w:color w:val="000000"/>
        </w:rPr>
        <w:t>2.4. S</w:t>
      </w:r>
      <w:r w:rsidRPr="00527460">
        <w:rPr>
          <w:rFonts w:ascii="Times New Roman" w:hAnsi="Times New Roman" w:cs="Times New Roman"/>
          <w:b/>
          <w:color w:val="000000"/>
        </w:rPr>
        <w:t>chodok štátneho rozpočtu a jeho financovanie v roku 200</w:t>
      </w:r>
      <w:r>
        <w:rPr>
          <w:rFonts w:ascii="Times New Roman" w:hAnsi="Times New Roman" w:cs="Times New Roman"/>
          <w:b/>
          <w:color w:val="000000"/>
        </w:rPr>
        <w:t>6</w:t>
      </w:r>
    </w:p>
    <w:p w:rsidR="006E009B" w:rsidP="006E009B">
      <w:pPr>
        <w:spacing w:line="360" w:lineRule="auto"/>
        <w:ind w:firstLine="709"/>
        <w:jc w:val="both"/>
        <w:rPr>
          <w:rFonts w:ascii="Times New Roman" w:hAnsi="Times New Roman" w:cs="Times New Roman"/>
          <w:b/>
          <w:color w:val="000000"/>
        </w:rPr>
      </w:pPr>
    </w:p>
    <w:p w:rsidR="006E009B" w:rsidP="006E009B">
      <w:pPr>
        <w:spacing w:line="360" w:lineRule="auto"/>
        <w:ind w:firstLine="709"/>
        <w:jc w:val="both"/>
        <w:rPr>
          <w:rFonts w:ascii="Times New Roman" w:hAnsi="Times New Roman" w:cs="Arial"/>
        </w:rPr>
      </w:pPr>
      <w:r>
        <w:rPr>
          <w:rFonts w:ascii="Times New Roman" w:hAnsi="Times New Roman" w:cs="Arial"/>
        </w:rPr>
        <w:t>V zmysle § 5 zákona č. 386/2002 o štátnom dlhu a štátnych zárukách sa na financovanie preklenutia dočasného nesúladu medzi príjmami a výdavkami štátneho rozpočtu v priebehu príslušného rozpočtového roka vykonávajú finančné operácie na domácom finančnom trhu a zahraničných finančných trhoch vydávaním štátnych cenných papierov, prijímaním úverov a inými činnosťami súvisiacimi s riadením rizík štátneho dlhu.</w:t>
      </w:r>
    </w:p>
    <w:p w:rsidR="006E009B" w:rsidP="006E009B">
      <w:pPr>
        <w:spacing w:line="360" w:lineRule="auto"/>
        <w:ind w:firstLine="709"/>
        <w:jc w:val="both"/>
        <w:rPr>
          <w:rFonts w:ascii="Times New Roman" w:hAnsi="Times New Roman" w:cs="Arial"/>
        </w:rPr>
      </w:pPr>
      <w:r>
        <w:rPr>
          <w:rFonts w:ascii="Times New Roman" w:hAnsi="Times New Roman" w:cs="Arial"/>
        </w:rPr>
        <w:t xml:space="preserve"> Zákon č. 655/2005 o štátnom rozpočte na rok 2006 určil celkové príjmy štátneho rozpočtu 272 717 mil. Sk, celkové výdavky 330 185 mil. Sk a schodok štátneho rozpočtu 57 468 mil. Sk. Skutočne p</w:t>
      </w:r>
      <w:r w:rsidRPr="00440C19">
        <w:rPr>
          <w:rFonts w:ascii="Times New Roman" w:hAnsi="Times New Roman" w:cs="Arial"/>
        </w:rPr>
        <w:t xml:space="preserve">ríjmy štátneho rozpočtu </w:t>
      </w:r>
      <w:r>
        <w:rPr>
          <w:rFonts w:ascii="Times New Roman" w:hAnsi="Times New Roman" w:cs="Arial"/>
        </w:rPr>
        <w:t xml:space="preserve">dosiahli v roku 2006 výšku 291 977 </w:t>
      </w:r>
      <w:r w:rsidRPr="00440C19">
        <w:rPr>
          <w:rFonts w:ascii="Times New Roman" w:hAnsi="Times New Roman" w:cs="Arial"/>
        </w:rPr>
        <w:t>mil. Sk</w:t>
      </w:r>
      <w:r>
        <w:rPr>
          <w:rFonts w:ascii="Times New Roman" w:hAnsi="Times New Roman" w:cs="Arial"/>
        </w:rPr>
        <w:t>, v</w:t>
      </w:r>
      <w:r w:rsidRPr="00440C19">
        <w:rPr>
          <w:rFonts w:ascii="Times New Roman" w:hAnsi="Times New Roman" w:cs="Arial"/>
        </w:rPr>
        <w:t xml:space="preserve">ýdavky  </w:t>
      </w:r>
      <w:r>
        <w:rPr>
          <w:rFonts w:ascii="Times New Roman" w:hAnsi="Times New Roman" w:cs="Arial"/>
        </w:rPr>
        <w:t xml:space="preserve">323 655 </w:t>
      </w:r>
      <w:r w:rsidRPr="00440C19">
        <w:rPr>
          <w:rFonts w:ascii="Times New Roman" w:hAnsi="Times New Roman" w:cs="Arial"/>
        </w:rPr>
        <w:t>mil. Sk</w:t>
      </w:r>
      <w:r>
        <w:rPr>
          <w:rFonts w:ascii="Times New Roman" w:hAnsi="Times New Roman" w:cs="Arial"/>
        </w:rPr>
        <w:t xml:space="preserve">, deficit štátneho rozpočtu </w:t>
      </w:r>
      <w:r w:rsidRPr="00440C19">
        <w:rPr>
          <w:rFonts w:ascii="Times New Roman" w:hAnsi="Times New Roman" w:cs="Arial"/>
        </w:rPr>
        <w:t>k 31.12.200</w:t>
      </w:r>
      <w:r>
        <w:rPr>
          <w:rFonts w:ascii="Times New Roman" w:hAnsi="Times New Roman" w:cs="Arial"/>
        </w:rPr>
        <w:t>6</w:t>
      </w:r>
      <w:r w:rsidRPr="00440C19">
        <w:rPr>
          <w:rFonts w:ascii="Times New Roman" w:hAnsi="Times New Roman" w:cs="Arial"/>
        </w:rPr>
        <w:t xml:space="preserve"> </w:t>
      </w:r>
      <w:r>
        <w:rPr>
          <w:rFonts w:ascii="Times New Roman" w:hAnsi="Times New Roman" w:cs="Arial"/>
        </w:rPr>
        <w:t>dosiahol</w:t>
      </w:r>
      <w:r w:rsidRPr="00440C19">
        <w:rPr>
          <w:rFonts w:ascii="Times New Roman" w:hAnsi="Times New Roman" w:cs="Arial"/>
        </w:rPr>
        <w:t xml:space="preserve"> </w:t>
      </w:r>
      <w:r>
        <w:rPr>
          <w:rFonts w:ascii="Times New Roman" w:hAnsi="Times New Roman" w:cs="Arial"/>
        </w:rPr>
        <w:t xml:space="preserve">31 678 </w:t>
      </w:r>
      <w:r w:rsidRPr="00440C19">
        <w:rPr>
          <w:rFonts w:ascii="Times New Roman" w:hAnsi="Times New Roman" w:cs="Arial"/>
        </w:rPr>
        <w:t>mil. Sk</w:t>
      </w:r>
      <w:r>
        <w:rPr>
          <w:rFonts w:ascii="Times New Roman" w:hAnsi="Times New Roman" w:cs="Arial"/>
        </w:rPr>
        <w:t xml:space="preserve">. Vývoj schodku resp. prebytku štátneho rozpočtu v jednotlivých mesiacoch za roky 2006 a 2005 uvádzame v nasledujúcom prehľade (v mil. Sk): </w:t>
      </w:r>
    </w:p>
    <w:p w:rsidR="006E009B" w:rsidP="006E009B">
      <w:pPr>
        <w:spacing w:line="360" w:lineRule="auto"/>
        <w:ind w:firstLine="709"/>
        <w:jc w:val="both"/>
        <w:rPr>
          <w:rFonts w:ascii="Times New Roman" w:hAnsi="Times New Roman" w:cs="Arial"/>
        </w:rPr>
      </w:pPr>
    </w:p>
    <w:tbl>
      <w:tblPr>
        <w:tblW w:w="9015" w:type="dxa"/>
        <w:tblInd w:w="55" w:type="dxa"/>
        <w:tblCellMar>
          <w:left w:w="70" w:type="dxa"/>
          <w:right w:w="70" w:type="dxa"/>
        </w:tblCellMar>
      </w:tblPr>
      <w:tblGrid>
        <w:gridCol w:w="500"/>
        <w:gridCol w:w="710"/>
        <w:gridCol w:w="703"/>
        <w:gridCol w:w="590"/>
        <w:gridCol w:w="703"/>
        <w:gridCol w:w="703"/>
        <w:gridCol w:w="786"/>
        <w:gridCol w:w="720"/>
        <w:gridCol w:w="720"/>
        <w:gridCol w:w="720"/>
        <w:gridCol w:w="772"/>
        <w:gridCol w:w="668"/>
        <w:gridCol w:w="720"/>
      </w:tblGrid>
      <w:tr>
        <w:tblPrEx>
          <w:tblW w:w="9015" w:type="dxa"/>
          <w:tblInd w:w="55" w:type="dxa"/>
          <w:tblCellMar>
            <w:left w:w="70" w:type="dxa"/>
            <w:right w:w="70" w:type="dxa"/>
          </w:tblCellMar>
        </w:tblPrEx>
        <w:trPr>
          <w:trHeight w:val="218"/>
        </w:trPr>
        <w:tc>
          <w:tcPr>
            <w:tcW w:w="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E009B" w:rsidRPr="00AF5AAF" w:rsidP="006E009B">
            <w:pPr>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bookmarkStart w:id="2" w:name="RANGE!B4:M5"/>
            <w:r w:rsidRPr="00AF5AAF">
              <w:rPr>
                <w:rFonts w:ascii="Times New Roman" w:hAnsi="Times New Roman" w:cs="Times New Roman"/>
                <w:sz w:val="18"/>
                <w:szCs w:val="18"/>
              </w:rPr>
              <w:t xml:space="preserve">I. </w:t>
            </w:r>
            <w:bookmarkEnd w:id="2"/>
          </w:p>
        </w:tc>
        <w:tc>
          <w:tcPr>
            <w:tcW w:w="703" w:type="dxa"/>
            <w:tcBorders>
              <w:top w:val="single" w:sz="4" w:space="0" w:color="auto"/>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 xml:space="preserve">II. </w:t>
            </w:r>
          </w:p>
        </w:tc>
        <w:tc>
          <w:tcPr>
            <w:tcW w:w="590" w:type="dxa"/>
            <w:tcBorders>
              <w:top w:val="single" w:sz="4" w:space="0" w:color="auto"/>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 xml:space="preserve">III. </w:t>
            </w:r>
          </w:p>
        </w:tc>
        <w:tc>
          <w:tcPr>
            <w:tcW w:w="703" w:type="dxa"/>
            <w:tcBorders>
              <w:top w:val="single" w:sz="4" w:space="0" w:color="auto"/>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 xml:space="preserve">IV. </w:t>
            </w:r>
          </w:p>
        </w:tc>
        <w:tc>
          <w:tcPr>
            <w:tcW w:w="703" w:type="dxa"/>
            <w:tcBorders>
              <w:top w:val="single" w:sz="4" w:space="0" w:color="auto"/>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V.</w:t>
            </w:r>
          </w:p>
        </w:tc>
        <w:tc>
          <w:tcPr>
            <w:tcW w:w="786" w:type="dxa"/>
            <w:tcBorders>
              <w:top w:val="single" w:sz="4" w:space="0" w:color="auto"/>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VI.</w:t>
            </w:r>
          </w:p>
        </w:tc>
        <w:tc>
          <w:tcPr>
            <w:tcW w:w="720" w:type="dxa"/>
            <w:tcBorders>
              <w:top w:val="single" w:sz="4" w:space="0" w:color="auto"/>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VII.</w:t>
            </w:r>
          </w:p>
        </w:tc>
        <w:tc>
          <w:tcPr>
            <w:tcW w:w="720" w:type="dxa"/>
            <w:tcBorders>
              <w:top w:val="single" w:sz="4" w:space="0" w:color="auto"/>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VIII.</w:t>
            </w:r>
          </w:p>
        </w:tc>
        <w:tc>
          <w:tcPr>
            <w:tcW w:w="720" w:type="dxa"/>
            <w:tcBorders>
              <w:top w:val="single" w:sz="4" w:space="0" w:color="auto"/>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IX.</w:t>
            </w:r>
          </w:p>
        </w:tc>
        <w:tc>
          <w:tcPr>
            <w:tcW w:w="772" w:type="dxa"/>
            <w:tcBorders>
              <w:top w:val="single" w:sz="4" w:space="0" w:color="auto"/>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X.</w:t>
            </w:r>
          </w:p>
        </w:tc>
        <w:tc>
          <w:tcPr>
            <w:tcW w:w="668" w:type="dxa"/>
            <w:tcBorders>
              <w:top w:val="single" w:sz="4" w:space="0" w:color="auto"/>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XI.</w:t>
            </w:r>
          </w:p>
        </w:tc>
        <w:tc>
          <w:tcPr>
            <w:tcW w:w="720" w:type="dxa"/>
            <w:tcBorders>
              <w:top w:val="single" w:sz="4" w:space="0" w:color="auto"/>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XII.</w:t>
            </w:r>
          </w:p>
        </w:tc>
      </w:tr>
      <w:tr>
        <w:tblPrEx>
          <w:tblW w:w="9015" w:type="dxa"/>
          <w:tblInd w:w="55" w:type="dxa"/>
          <w:tblCellMar>
            <w:left w:w="70" w:type="dxa"/>
            <w:right w:w="70" w:type="dxa"/>
          </w:tblCellMar>
        </w:tblPrEx>
        <w:trPr>
          <w:trHeight w:val="218"/>
        </w:trPr>
        <w:tc>
          <w:tcPr>
            <w:tcW w:w="500" w:type="dxa"/>
            <w:tcBorders>
              <w:top w:val="nil"/>
              <w:left w:val="single" w:sz="4" w:space="0" w:color="auto"/>
              <w:bottom w:val="single" w:sz="4" w:space="0" w:color="auto"/>
              <w:right w:val="single" w:sz="4" w:space="0" w:color="auto"/>
              <w:tl2br w:val="nil"/>
              <w:tr2bl w:val="nil"/>
            </w:tcBorders>
            <w:textDirection w:val="lrTb"/>
            <w:vAlign w:val="top"/>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Rok 2006</w:t>
            </w:r>
          </w:p>
        </w:tc>
        <w:tc>
          <w:tcPr>
            <w:tcW w:w="710" w:type="dxa"/>
            <w:tcBorders>
              <w:top w:val="nil"/>
              <w:left w:val="single" w:sz="4" w:space="0" w:color="auto"/>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12 083</w:t>
            </w:r>
          </w:p>
        </w:tc>
        <w:tc>
          <w:tcPr>
            <w:tcW w:w="703" w:type="dxa"/>
            <w:tcBorders>
              <w:top w:val="nil"/>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6 347</w:t>
            </w:r>
          </w:p>
        </w:tc>
        <w:tc>
          <w:tcPr>
            <w:tcW w:w="590" w:type="dxa"/>
            <w:tcBorders>
              <w:top w:val="nil"/>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157</w:t>
            </w:r>
          </w:p>
        </w:tc>
        <w:tc>
          <w:tcPr>
            <w:tcW w:w="703" w:type="dxa"/>
            <w:tcBorders>
              <w:top w:val="nil"/>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180</w:t>
            </w:r>
          </w:p>
        </w:tc>
        <w:tc>
          <w:tcPr>
            <w:tcW w:w="703" w:type="dxa"/>
            <w:tcBorders>
              <w:top w:val="nil"/>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-11 700</w:t>
            </w:r>
          </w:p>
        </w:tc>
        <w:tc>
          <w:tcPr>
            <w:tcW w:w="786" w:type="dxa"/>
            <w:tcBorders>
              <w:top w:val="nil"/>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- 10 245</w:t>
            </w:r>
          </w:p>
        </w:tc>
        <w:tc>
          <w:tcPr>
            <w:tcW w:w="720" w:type="dxa"/>
            <w:tcBorders>
              <w:top w:val="nil"/>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- 5 244</w:t>
            </w:r>
          </w:p>
        </w:tc>
        <w:tc>
          <w:tcPr>
            <w:tcW w:w="720" w:type="dxa"/>
            <w:tcBorders>
              <w:top w:val="nil"/>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- 5 716</w:t>
            </w:r>
          </w:p>
        </w:tc>
        <w:tc>
          <w:tcPr>
            <w:tcW w:w="720" w:type="dxa"/>
            <w:tcBorders>
              <w:top w:val="nil"/>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- 5 134</w:t>
            </w:r>
          </w:p>
        </w:tc>
        <w:tc>
          <w:tcPr>
            <w:tcW w:w="772" w:type="dxa"/>
            <w:tcBorders>
              <w:top w:val="nil"/>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- 1 080</w:t>
            </w:r>
          </w:p>
        </w:tc>
        <w:tc>
          <w:tcPr>
            <w:tcW w:w="668" w:type="dxa"/>
            <w:tcBorders>
              <w:top w:val="nil"/>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- 6 983</w:t>
            </w:r>
          </w:p>
        </w:tc>
        <w:tc>
          <w:tcPr>
            <w:tcW w:w="720" w:type="dxa"/>
            <w:tcBorders>
              <w:top w:val="nil"/>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-31 678</w:t>
            </w:r>
          </w:p>
        </w:tc>
      </w:tr>
      <w:tr>
        <w:tblPrEx>
          <w:tblW w:w="9015" w:type="dxa"/>
          <w:tblInd w:w="55" w:type="dxa"/>
          <w:tblCellMar>
            <w:left w:w="70" w:type="dxa"/>
            <w:right w:w="70" w:type="dxa"/>
          </w:tblCellMar>
        </w:tblPrEx>
        <w:trPr>
          <w:trHeight w:val="218"/>
        </w:trPr>
        <w:tc>
          <w:tcPr>
            <w:tcW w:w="5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Rok 2005</w:t>
            </w:r>
          </w:p>
        </w:tc>
        <w:tc>
          <w:tcPr>
            <w:tcW w:w="71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4 310</w:t>
            </w:r>
          </w:p>
        </w:tc>
        <w:tc>
          <w:tcPr>
            <w:tcW w:w="703" w:type="dxa"/>
            <w:tcBorders>
              <w:top w:val="single" w:sz="4" w:space="0" w:color="auto"/>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-1 108</w:t>
            </w:r>
          </w:p>
        </w:tc>
        <w:tc>
          <w:tcPr>
            <w:tcW w:w="590" w:type="dxa"/>
            <w:tcBorders>
              <w:top w:val="single" w:sz="4" w:space="0" w:color="auto"/>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2 800</w:t>
            </w:r>
          </w:p>
        </w:tc>
        <w:tc>
          <w:tcPr>
            <w:tcW w:w="703" w:type="dxa"/>
            <w:tcBorders>
              <w:top w:val="single" w:sz="4" w:space="0" w:color="auto"/>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6 388</w:t>
            </w:r>
          </w:p>
        </w:tc>
        <w:tc>
          <w:tcPr>
            <w:tcW w:w="703" w:type="dxa"/>
            <w:tcBorders>
              <w:top w:val="single" w:sz="4" w:space="0" w:color="auto"/>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- 3 858</w:t>
            </w:r>
          </w:p>
        </w:tc>
        <w:tc>
          <w:tcPr>
            <w:tcW w:w="786" w:type="dxa"/>
            <w:tcBorders>
              <w:top w:val="single" w:sz="4" w:space="0" w:color="auto"/>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- 1 149</w:t>
            </w:r>
          </w:p>
        </w:tc>
        <w:tc>
          <w:tcPr>
            <w:tcW w:w="720" w:type="dxa"/>
            <w:tcBorders>
              <w:top w:val="single" w:sz="4" w:space="0" w:color="auto"/>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1 922</w:t>
            </w:r>
          </w:p>
        </w:tc>
        <w:tc>
          <w:tcPr>
            <w:tcW w:w="720" w:type="dxa"/>
            <w:tcBorders>
              <w:top w:val="single" w:sz="4" w:space="0" w:color="auto"/>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- 5 064</w:t>
            </w:r>
          </w:p>
        </w:tc>
        <w:tc>
          <w:tcPr>
            <w:tcW w:w="720" w:type="dxa"/>
            <w:tcBorders>
              <w:top w:val="single" w:sz="4" w:space="0" w:color="auto"/>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- 8 107</w:t>
            </w:r>
          </w:p>
        </w:tc>
        <w:tc>
          <w:tcPr>
            <w:tcW w:w="772" w:type="dxa"/>
            <w:tcBorders>
              <w:top w:val="single" w:sz="4" w:space="0" w:color="auto"/>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- 5</w:t>
            </w:r>
            <w:r w:rsidRPr="00AF5AAF">
              <w:rPr>
                <w:rFonts w:ascii="Times New Roman" w:hAnsi="Times New Roman" w:cs="Times New Roman"/>
                <w:sz w:val="18"/>
                <w:szCs w:val="18"/>
              </w:rPr>
              <w:t xml:space="preserve"> 115</w:t>
            </w:r>
          </w:p>
        </w:tc>
        <w:tc>
          <w:tcPr>
            <w:tcW w:w="668" w:type="dxa"/>
            <w:tcBorders>
              <w:top w:val="single" w:sz="4" w:space="0" w:color="auto"/>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- 7 553</w:t>
            </w:r>
          </w:p>
        </w:tc>
        <w:tc>
          <w:tcPr>
            <w:tcW w:w="720" w:type="dxa"/>
            <w:tcBorders>
              <w:top w:val="single" w:sz="4" w:space="0" w:color="auto"/>
              <w:left w:val="nil"/>
              <w:bottom w:val="single" w:sz="4" w:space="0" w:color="auto"/>
              <w:right w:val="single" w:sz="4" w:space="0" w:color="auto"/>
              <w:tl2br w:val="nil"/>
              <w:tr2bl w:val="nil"/>
            </w:tcBorders>
            <w:noWrap/>
            <w:textDirection w:val="lrTb"/>
            <w:vAlign w:val="bottom"/>
          </w:tcPr>
          <w:p w:rsidR="006E009B" w:rsidRPr="00AF5AAF" w:rsidP="006E009B">
            <w:pPr>
              <w:jc w:val="center"/>
              <w:rPr>
                <w:rFonts w:ascii="Times New Roman" w:hAnsi="Times New Roman" w:cs="Times New Roman"/>
                <w:sz w:val="18"/>
                <w:szCs w:val="18"/>
              </w:rPr>
            </w:pPr>
            <w:r w:rsidRPr="00AF5AAF">
              <w:rPr>
                <w:rFonts w:ascii="Times New Roman" w:hAnsi="Times New Roman" w:cs="Times New Roman"/>
                <w:sz w:val="18"/>
                <w:szCs w:val="18"/>
              </w:rPr>
              <w:t>-33 886</w:t>
            </w:r>
          </w:p>
        </w:tc>
      </w:tr>
    </w:tbl>
    <w:p w:rsidR="006E009B" w:rsidRPr="00AF5AAF" w:rsidP="006E009B">
      <w:pPr>
        <w:spacing w:line="360" w:lineRule="auto"/>
        <w:ind w:firstLine="709"/>
        <w:jc w:val="both"/>
        <w:rPr>
          <w:rFonts w:ascii="Times New Roman" w:hAnsi="Times New Roman" w:cs="Arial"/>
          <w:sz w:val="18"/>
          <w:szCs w:val="18"/>
        </w:rPr>
      </w:pPr>
    </w:p>
    <w:p w:rsidR="006E009B" w:rsidP="006E009B">
      <w:pPr>
        <w:spacing w:line="360" w:lineRule="auto"/>
        <w:ind w:firstLine="709"/>
        <w:jc w:val="both"/>
        <w:rPr>
          <w:rFonts w:ascii="Times New Roman" w:hAnsi="Times New Roman" w:cs="Arial"/>
        </w:rPr>
      </w:pPr>
      <w:r>
        <w:rPr>
          <w:rFonts w:ascii="Times New Roman" w:hAnsi="Times New Roman" w:cs="Arial"/>
        </w:rPr>
        <w:t>Na rozdiel od roku 2005, kedy v dôsledku rýchlejšieho čerpania rozpočtových výdavkov bolo saldo štátneho rozpočtu už v prvých dňoch roka záporne, nastal schodok štátneho rozpočtu v roku 2006 v polovici januára. Avšak ku koncu mesiaca saldo štátneho rozpočtu vykazovalo kladné hodnoty spôsobené predovšetkým splátkami spotrebných daní a dane z pridanej hodnoty.</w:t>
      </w:r>
    </w:p>
    <w:p w:rsidR="006E009B" w:rsidP="006E009B">
      <w:pPr>
        <w:spacing w:line="360" w:lineRule="auto"/>
        <w:ind w:firstLine="709"/>
        <w:jc w:val="both"/>
        <w:rPr>
          <w:rFonts w:ascii="Times New Roman" w:hAnsi="Times New Roman" w:cs="Arial"/>
        </w:rPr>
      </w:pPr>
      <w:r>
        <w:rPr>
          <w:rFonts w:ascii="Times New Roman" w:hAnsi="Times New Roman" w:cs="Arial"/>
        </w:rPr>
        <w:t xml:space="preserve"> Podobný vývoj schodku nasledoval vo februári, marci a apríli s tým rozdielom, že výška prebytku vykazovala klesajúcu tendenciu. V tomto období bola maximálna výška prebytku salda štátneho rozpočtu v roku 2006 zaznamenaná dňa 27. januára, kedy dosiahla 14 199 mil. Sk. Deficit štátneho rozpočtu sa začal prehlbovať začiatkom mája a ku koncu polroka dosiahol 10 245 mil. Sk. V druhom polroku 2006 pokračoval trvalý trend deficitného bežného hospodárenia štátneho rozpočtu a saldo vykazovalo záporné hodnoty až do konca roka</w:t>
      </w:r>
      <w:r w:rsidRPr="00145D9B">
        <w:rPr>
          <w:rFonts w:ascii="Times New Roman" w:hAnsi="Times New Roman" w:cs="Arial"/>
        </w:rPr>
        <w:t>.</w:t>
      </w:r>
      <w:r>
        <w:rPr>
          <w:rFonts w:ascii="Times New Roman" w:hAnsi="Times New Roman" w:cs="Arial"/>
        </w:rPr>
        <w:t xml:space="preserve"> </w:t>
      </w:r>
    </w:p>
    <w:p w:rsidR="006E009B" w:rsidP="006E009B">
      <w:pPr>
        <w:spacing w:line="360" w:lineRule="auto"/>
        <w:ind w:firstLine="709"/>
        <w:jc w:val="both"/>
        <w:rPr>
          <w:rFonts w:ascii="Times New Roman" w:hAnsi="Times New Roman" w:cs="Arial"/>
        </w:rPr>
      </w:pPr>
      <w:r>
        <w:rPr>
          <w:rFonts w:ascii="Times New Roman" w:hAnsi="Times New Roman" w:cs="Arial"/>
        </w:rPr>
        <w:t>V dôsledku priaznivého plnenia príjmov je dosiahnutý schodok za rok 2006 o 25 790 mil. Sk nižší ako bol schválený z</w:t>
      </w:r>
      <w:r>
        <w:rPr>
          <w:rFonts w:ascii="Times New Roman" w:hAnsi="Times New Roman" w:cs="Arial"/>
        </w:rPr>
        <w:t>ákonom.</w:t>
      </w:r>
    </w:p>
    <w:p w:rsidR="006E009B" w:rsidP="006E009B">
      <w:pPr>
        <w:spacing w:line="360" w:lineRule="auto"/>
        <w:jc w:val="both"/>
        <w:rPr>
          <w:rFonts w:ascii="Times New Roman" w:hAnsi="Times New Roman" w:cs="Arial"/>
        </w:rPr>
      </w:pPr>
    </w:p>
    <w:p w:rsidR="006E009B" w:rsidP="006E009B">
      <w:pPr>
        <w:spacing w:line="360" w:lineRule="auto"/>
        <w:jc w:val="both"/>
        <w:rPr>
          <w:rFonts w:ascii="Times New Roman" w:hAnsi="Times New Roman" w:cs="Arial"/>
        </w:rPr>
      </w:pPr>
      <w:r>
        <w:rPr>
          <w:rFonts w:ascii="Times New Roman" w:hAnsi="Times New Roman" w:cs="Arial"/>
        </w:rPr>
        <w:t>Vývoj denného stavu štátneho rozpočtu v roku 2006 znázorňuje nasledujúci graf (v mil. Sk).</w:t>
      </w:r>
    </w:p>
    <w:p w:rsidR="006E009B" w:rsidP="006E009B">
      <w:pPr>
        <w:spacing w:line="360" w:lineRule="auto"/>
        <w:jc w:val="both"/>
        <w:rPr>
          <w:rFonts w:ascii="Times New Roman" w:hAnsi="Times New Roman" w:cs="Arial"/>
        </w:rPr>
      </w:pPr>
    </w:p>
    <w:p w:rsidR="006E009B" w:rsidP="006E009B">
      <w:pPr>
        <w:spacing w:line="360" w:lineRule="auto"/>
        <w:ind w:firstLine="709"/>
        <w:jc w:val="both"/>
        <w:rPr>
          <w:rFonts w:ascii="Times New Roman" w:hAnsi="Times New Roman" w:cs="Arial"/>
        </w:rPr>
      </w:pPr>
    </w:p>
    <w:p w:rsidR="006E009B" w:rsidRPr="00F80AAE" w:rsidP="006E009B">
      <w:pPr>
        <w:spacing w:line="360" w:lineRule="auto"/>
        <w:ind w:firstLine="709"/>
        <w:jc w:val="both"/>
        <w:rPr>
          <w:rFonts w:ascii="Times New Roman" w:hAnsi="Times New Roman" w:cs="Arial"/>
          <w:sz w:val="20"/>
          <w:szCs w:val="20"/>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5in;height:175.4pt;margin-top:17.55pt;margin-left:9pt;position:absolute;z-index:251658240" stroked="f">
            <v:imagedata r:id="rId5" o:title=""/>
          </v:shape>
        </w:pict>
      </w:r>
      <w:r>
        <w:rPr>
          <w:rFonts w:ascii="Times New Roman" w:hAnsi="Times New Roman" w:cs="Arial"/>
        </w:rPr>
        <w:t xml:space="preserve"> </w:t>
      </w:r>
      <w:r w:rsidRPr="00F80AAE">
        <w:rPr>
          <w:rFonts w:ascii="Arial" w:hAnsi="Arial" w:cs="Arial"/>
          <w:b/>
          <w:sz w:val="20"/>
          <w:szCs w:val="20"/>
        </w:rPr>
        <w:t>Vývoj denného stavu štátneho rozpočtu v roku 2006</w:t>
      </w:r>
    </w:p>
    <w:p w:rsidR="006E009B" w:rsidP="006E009B">
      <w:pPr>
        <w:ind w:left="360"/>
        <w:rPr>
          <w:rFonts w:ascii="Times New Roman" w:hAnsi="Times New Roman" w:cs="Times New Roman"/>
        </w:rPr>
      </w:pPr>
    </w:p>
    <w:p w:rsidR="006E009B" w:rsidP="006E009B">
      <w:pPr>
        <w:ind w:left="360"/>
        <w:rPr>
          <w:rFonts w:ascii="Times New Roman" w:hAnsi="Times New Roman" w:cs="Times New Roman"/>
        </w:rPr>
      </w:pPr>
    </w:p>
    <w:p w:rsidR="006E009B" w:rsidP="006E009B">
      <w:pPr>
        <w:ind w:left="360"/>
        <w:rPr>
          <w:rFonts w:ascii="Times New Roman" w:hAnsi="Times New Roman" w:cs="Times New Roman"/>
        </w:rPr>
      </w:pPr>
    </w:p>
    <w:p w:rsidR="006E009B" w:rsidP="006E009B">
      <w:pPr>
        <w:ind w:left="360"/>
        <w:rPr>
          <w:rFonts w:ascii="Times New Roman" w:hAnsi="Times New Roman" w:cs="Times New Roman"/>
        </w:rPr>
      </w:pPr>
    </w:p>
    <w:p w:rsidR="006E009B" w:rsidP="006E009B">
      <w:pPr>
        <w:ind w:left="360"/>
        <w:rPr>
          <w:rFonts w:ascii="Times New Roman" w:hAnsi="Times New Roman" w:cs="Times New Roman"/>
        </w:rPr>
      </w:pPr>
    </w:p>
    <w:p w:rsidR="006E009B" w:rsidP="006E009B">
      <w:pPr>
        <w:ind w:left="360"/>
        <w:rPr>
          <w:rFonts w:ascii="Times New Roman" w:hAnsi="Times New Roman" w:cs="Times New Roman"/>
        </w:rPr>
      </w:pPr>
    </w:p>
    <w:p w:rsidR="006E009B" w:rsidP="006E009B">
      <w:pPr>
        <w:ind w:left="360"/>
        <w:rPr>
          <w:rFonts w:ascii="Times New Roman" w:hAnsi="Times New Roman" w:cs="Times New Roman"/>
        </w:rPr>
      </w:pPr>
    </w:p>
    <w:p w:rsidR="006E009B" w:rsidP="006E009B">
      <w:pPr>
        <w:ind w:left="360"/>
        <w:rPr>
          <w:rFonts w:ascii="Times New Roman" w:hAnsi="Times New Roman" w:cs="Times New Roman"/>
        </w:rPr>
      </w:pPr>
    </w:p>
    <w:p w:rsidR="006E009B" w:rsidP="006E009B">
      <w:pPr>
        <w:ind w:left="360"/>
        <w:rPr>
          <w:rFonts w:ascii="Times New Roman" w:hAnsi="Times New Roman" w:cs="Times New Roman"/>
        </w:rPr>
      </w:pPr>
    </w:p>
    <w:p w:rsidR="006E009B" w:rsidP="006E009B">
      <w:pPr>
        <w:ind w:left="360"/>
        <w:rPr>
          <w:rFonts w:ascii="Times New Roman" w:hAnsi="Times New Roman" w:cs="Times New Roman"/>
        </w:rPr>
      </w:pPr>
    </w:p>
    <w:p w:rsidR="006E009B" w:rsidP="006E009B">
      <w:pPr>
        <w:ind w:left="360"/>
        <w:rPr>
          <w:rFonts w:ascii="Times New Roman" w:hAnsi="Times New Roman" w:cs="Times New Roman"/>
        </w:rPr>
      </w:pPr>
    </w:p>
    <w:p w:rsidR="006E009B" w:rsidP="006E009B">
      <w:pPr>
        <w:ind w:left="360"/>
        <w:rPr>
          <w:rFonts w:ascii="Times New Roman" w:hAnsi="Times New Roman" w:cs="Times New Roman"/>
        </w:rPr>
      </w:pPr>
    </w:p>
    <w:p w:rsidR="006E009B" w:rsidP="006E009B">
      <w:pPr>
        <w:ind w:left="708"/>
        <w:rPr>
          <w:rFonts w:ascii="Arial" w:hAnsi="Arial" w:cs="Arial"/>
          <w:b/>
          <w:sz w:val="22"/>
          <w:szCs w:val="22"/>
        </w:rPr>
      </w:pPr>
    </w:p>
    <w:p w:rsidR="006E009B" w:rsidRPr="00B705AE" w:rsidP="006E009B">
      <w:pPr>
        <w:jc w:val="both"/>
        <w:rPr>
          <w:rFonts w:ascii="Times New Roman" w:hAnsi="Times New Roman" w:cs="Times New Roman"/>
          <w:sz w:val="20"/>
          <w:szCs w:val="20"/>
        </w:rPr>
      </w:pPr>
      <w:r>
        <w:rPr>
          <w:rFonts w:ascii="Arial" w:hAnsi="Arial" w:cs="Arial"/>
          <w:sz w:val="20"/>
          <w:szCs w:val="20"/>
        </w:rPr>
        <w:t xml:space="preserve">   </w:t>
      </w:r>
      <w:r w:rsidRPr="00B705AE">
        <w:rPr>
          <w:rFonts w:ascii="Times New Roman" w:hAnsi="Times New Roman" w:cs="Times New Roman"/>
          <w:sz w:val="20"/>
          <w:szCs w:val="20"/>
        </w:rPr>
        <w:t>Zdroj: ARDAL</w:t>
      </w:r>
    </w:p>
    <w:p w:rsidR="006E009B" w:rsidP="006E009B">
      <w:pPr>
        <w:pStyle w:val="BodyText2"/>
        <w:spacing w:line="360" w:lineRule="auto"/>
        <w:ind w:firstLine="708"/>
        <w:jc w:val="both"/>
        <w:rPr>
          <w:rFonts w:ascii="Times New Roman" w:hAnsi="Times New Roman" w:cs="Times New Roman"/>
          <w:b w:val="0"/>
          <w:color w:val="000000"/>
          <w:sz w:val="24"/>
        </w:rPr>
      </w:pPr>
    </w:p>
    <w:p w:rsidR="006E009B" w:rsidP="006E009B">
      <w:pPr>
        <w:pStyle w:val="BodyText2"/>
        <w:spacing w:line="360" w:lineRule="auto"/>
        <w:ind w:firstLine="708"/>
        <w:jc w:val="both"/>
        <w:rPr>
          <w:rFonts w:ascii="Times New Roman" w:hAnsi="Times New Roman" w:cs="Times New Roman"/>
          <w:b w:val="0"/>
          <w:color w:val="000000"/>
          <w:sz w:val="24"/>
        </w:rPr>
      </w:pPr>
      <w:r w:rsidRPr="001B49D2">
        <w:rPr>
          <w:rFonts w:ascii="Times New Roman" w:hAnsi="Times New Roman" w:cs="Times New Roman"/>
          <w:b w:val="0"/>
          <w:color w:val="000000"/>
          <w:sz w:val="24"/>
        </w:rPr>
        <w:t>V roku 2006 sa na domácom kapitálovom trhu neuskutočnili aukcie štátnych pokladničných poukážok, nakoľko na financovanie deficitu bol k dispozícii dostatok iných voľných zdrojov zo Štátnej pokladnice. Za účelom vykonávania REPO transakcií sa uskutočnili dve emisie štátnych pokladničných poukážok do vlastného portfólia</w:t>
      </w:r>
      <w:r>
        <w:rPr>
          <w:rFonts w:ascii="Times New Roman" w:hAnsi="Times New Roman" w:cs="Times New Roman"/>
          <w:b w:val="0"/>
          <w:color w:val="000000"/>
          <w:sz w:val="24"/>
        </w:rPr>
        <w:t xml:space="preserve">, ich prehľad je uvedený v nasledujúcej tabuľke (v mil. Sk). </w:t>
      </w:r>
    </w:p>
    <w:tbl>
      <w:tblPr>
        <w:tblpPr w:leftFromText="141" w:rightFromText="141" w:vertAnchor="text" w:horzAnchor="margin" w:tblpXSpec="center" w:tblpY="111"/>
        <w:tblW w:w="0" w:type="auto"/>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Pr>
      <w:tblGrid>
        <w:gridCol w:w="1512"/>
        <w:gridCol w:w="1259"/>
        <w:gridCol w:w="1259"/>
        <w:gridCol w:w="1288"/>
        <w:gridCol w:w="1203"/>
        <w:gridCol w:w="1443"/>
      </w:tblGrid>
      <w:tr>
        <w:tblPrEx>
          <w:tblW w:w="0" w:type="auto"/>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PrEx>
        <w:trPr>
          <w:trHeight w:val="578"/>
        </w:trPr>
        <w:tc>
          <w:tcPr>
            <w:tcW w:w="1512"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6E009B" w:rsidRPr="0031788E" w:rsidP="003F1E58">
            <w:pPr>
              <w:pStyle w:val="BodyText2"/>
              <w:jc w:val="center"/>
              <w:rPr>
                <w:rFonts w:ascii="Times New Roman" w:hAnsi="Times New Roman" w:cs="Times New Roman"/>
                <w:color w:val="000000"/>
                <w:sz w:val="20"/>
                <w:szCs w:val="20"/>
              </w:rPr>
            </w:pPr>
            <w:r w:rsidRPr="0031788E">
              <w:rPr>
                <w:rFonts w:ascii="Times New Roman" w:hAnsi="Times New Roman" w:cs="Times New Roman"/>
                <w:color w:val="000000"/>
                <w:sz w:val="20"/>
                <w:szCs w:val="20"/>
              </w:rPr>
              <w:t>Kód emisie</w:t>
            </w:r>
          </w:p>
        </w:tc>
        <w:tc>
          <w:tcPr>
            <w:tcW w:w="1259"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6E009B" w:rsidRPr="0031788E" w:rsidP="003F1E58">
            <w:pPr>
              <w:pStyle w:val="BodyText2"/>
              <w:jc w:val="center"/>
              <w:rPr>
                <w:rFonts w:ascii="Times New Roman" w:hAnsi="Times New Roman" w:cs="Times New Roman"/>
                <w:color w:val="000000"/>
                <w:sz w:val="20"/>
                <w:szCs w:val="20"/>
              </w:rPr>
            </w:pPr>
            <w:r w:rsidRPr="0031788E">
              <w:rPr>
                <w:rFonts w:ascii="Times New Roman" w:hAnsi="Times New Roman" w:cs="Times New Roman"/>
                <w:color w:val="000000"/>
                <w:sz w:val="20"/>
                <w:szCs w:val="20"/>
              </w:rPr>
              <w:t>Dátum aukcie</w:t>
            </w:r>
          </w:p>
        </w:tc>
        <w:tc>
          <w:tcPr>
            <w:tcW w:w="1259"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6E009B" w:rsidRPr="0031788E" w:rsidP="003F1E58">
            <w:pPr>
              <w:pStyle w:val="BodyText2"/>
              <w:jc w:val="center"/>
              <w:rPr>
                <w:rFonts w:ascii="Times New Roman" w:hAnsi="Times New Roman" w:cs="Times New Roman"/>
                <w:color w:val="000000"/>
                <w:sz w:val="20"/>
                <w:szCs w:val="20"/>
              </w:rPr>
            </w:pPr>
            <w:r w:rsidRPr="0031788E">
              <w:rPr>
                <w:rFonts w:ascii="Times New Roman" w:hAnsi="Times New Roman" w:cs="Times New Roman"/>
                <w:color w:val="000000"/>
                <w:sz w:val="20"/>
                <w:szCs w:val="20"/>
              </w:rPr>
              <w:t>Dátum emisie</w:t>
            </w:r>
          </w:p>
        </w:tc>
        <w:tc>
          <w:tcPr>
            <w:tcW w:w="1288"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6E009B" w:rsidRPr="0031788E" w:rsidP="003F1E58">
            <w:pPr>
              <w:pStyle w:val="BodyText2"/>
              <w:jc w:val="center"/>
              <w:rPr>
                <w:rFonts w:ascii="Times New Roman" w:hAnsi="Times New Roman" w:cs="Times New Roman"/>
                <w:color w:val="000000"/>
                <w:sz w:val="20"/>
                <w:szCs w:val="20"/>
              </w:rPr>
            </w:pPr>
            <w:r w:rsidRPr="0031788E">
              <w:rPr>
                <w:rFonts w:ascii="Times New Roman" w:hAnsi="Times New Roman" w:cs="Times New Roman"/>
                <w:color w:val="000000"/>
                <w:sz w:val="20"/>
                <w:szCs w:val="20"/>
              </w:rPr>
              <w:t>Dátum splatnosti</w:t>
            </w:r>
          </w:p>
        </w:tc>
        <w:tc>
          <w:tcPr>
            <w:tcW w:w="1203"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6E009B" w:rsidRPr="0031788E" w:rsidP="003F1E58">
            <w:pPr>
              <w:pStyle w:val="BodyText2"/>
              <w:jc w:val="center"/>
              <w:rPr>
                <w:rFonts w:ascii="Times New Roman" w:hAnsi="Times New Roman" w:cs="Times New Roman"/>
                <w:color w:val="000000"/>
                <w:sz w:val="20"/>
                <w:szCs w:val="20"/>
              </w:rPr>
            </w:pPr>
            <w:r w:rsidRPr="0031788E">
              <w:rPr>
                <w:rFonts w:ascii="Times New Roman" w:hAnsi="Times New Roman" w:cs="Times New Roman"/>
                <w:color w:val="000000"/>
                <w:sz w:val="20"/>
                <w:szCs w:val="20"/>
              </w:rPr>
              <w:t>DTM*</w:t>
            </w:r>
          </w:p>
        </w:tc>
        <w:tc>
          <w:tcPr>
            <w:tcW w:w="1443"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6E009B" w:rsidRPr="0031788E" w:rsidP="003F1E58">
            <w:pPr>
              <w:pStyle w:val="BodyText2"/>
              <w:jc w:val="center"/>
              <w:rPr>
                <w:rFonts w:ascii="Times New Roman" w:hAnsi="Times New Roman" w:cs="Times New Roman"/>
                <w:color w:val="000000"/>
                <w:sz w:val="20"/>
                <w:szCs w:val="20"/>
              </w:rPr>
            </w:pPr>
            <w:r w:rsidRPr="0031788E">
              <w:rPr>
                <w:rFonts w:ascii="Times New Roman" w:hAnsi="Times New Roman" w:cs="Times New Roman"/>
                <w:color w:val="000000"/>
                <w:sz w:val="20"/>
                <w:szCs w:val="20"/>
              </w:rPr>
              <w:t>Nominálna hodnota</w:t>
            </w:r>
          </w:p>
        </w:tc>
      </w:tr>
      <w:tr>
        <w:tblPrEx>
          <w:tblW w:w="0" w:type="auto"/>
        </w:tblPrEx>
        <w:trPr>
          <w:trHeight w:val="381"/>
        </w:trPr>
        <w:tc>
          <w:tcPr>
            <w:tcW w:w="151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6E009B" w:rsidRPr="0031788E" w:rsidP="006E009B">
            <w:pPr>
              <w:pStyle w:val="BodyText2"/>
              <w:jc w:val="center"/>
              <w:rPr>
                <w:rFonts w:ascii="Times New Roman" w:hAnsi="Times New Roman" w:cs="Times New Roman"/>
                <w:b w:val="0"/>
                <w:color w:val="000000"/>
                <w:sz w:val="20"/>
                <w:szCs w:val="20"/>
              </w:rPr>
            </w:pPr>
            <w:r w:rsidRPr="0031788E">
              <w:rPr>
                <w:rFonts w:ascii="Times New Roman" w:hAnsi="Times New Roman" w:cs="Times New Roman"/>
                <w:b w:val="0"/>
                <w:color w:val="000000"/>
                <w:sz w:val="20"/>
                <w:szCs w:val="20"/>
              </w:rPr>
              <w:t>1630051201</w:t>
            </w:r>
          </w:p>
        </w:tc>
        <w:tc>
          <w:tcPr>
            <w:tcW w:w="12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E009B" w:rsidRPr="0031788E" w:rsidP="006E009B">
            <w:pPr>
              <w:pStyle w:val="BodyText2"/>
              <w:jc w:val="center"/>
              <w:rPr>
                <w:rFonts w:ascii="Times New Roman" w:hAnsi="Times New Roman" w:cs="Times New Roman"/>
                <w:b w:val="0"/>
                <w:color w:val="000000"/>
                <w:sz w:val="20"/>
                <w:szCs w:val="20"/>
              </w:rPr>
            </w:pPr>
            <w:r w:rsidRPr="0031788E">
              <w:rPr>
                <w:rFonts w:ascii="Times New Roman" w:hAnsi="Times New Roman" w:cs="Times New Roman"/>
                <w:b w:val="0"/>
                <w:color w:val="000000"/>
                <w:sz w:val="20"/>
                <w:szCs w:val="20"/>
              </w:rPr>
              <w:t>31.5.2006</w:t>
            </w:r>
          </w:p>
        </w:tc>
        <w:tc>
          <w:tcPr>
            <w:tcW w:w="12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E009B" w:rsidRPr="0031788E" w:rsidP="006E009B">
            <w:pPr>
              <w:pStyle w:val="BodyText2"/>
              <w:jc w:val="center"/>
              <w:rPr>
                <w:rFonts w:ascii="Times New Roman" w:hAnsi="Times New Roman" w:cs="Times New Roman"/>
                <w:b w:val="0"/>
                <w:color w:val="000000"/>
                <w:sz w:val="20"/>
                <w:szCs w:val="20"/>
              </w:rPr>
            </w:pPr>
            <w:r w:rsidRPr="0031788E">
              <w:rPr>
                <w:rFonts w:ascii="Times New Roman" w:hAnsi="Times New Roman" w:cs="Times New Roman"/>
                <w:b w:val="0"/>
                <w:color w:val="000000"/>
                <w:sz w:val="20"/>
                <w:szCs w:val="20"/>
              </w:rPr>
              <w:t>31.5.2006</w:t>
            </w:r>
          </w:p>
        </w:tc>
        <w:tc>
          <w:tcPr>
            <w:tcW w:w="128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E009B" w:rsidRPr="0031788E" w:rsidP="006E009B">
            <w:pPr>
              <w:pStyle w:val="BodyText2"/>
              <w:jc w:val="center"/>
              <w:rPr>
                <w:rFonts w:ascii="Times New Roman" w:hAnsi="Times New Roman" w:cs="Times New Roman"/>
                <w:b w:val="0"/>
                <w:color w:val="000000"/>
                <w:sz w:val="20"/>
                <w:szCs w:val="20"/>
              </w:rPr>
            </w:pPr>
            <w:r w:rsidRPr="0031788E">
              <w:rPr>
                <w:rFonts w:ascii="Times New Roman" w:hAnsi="Times New Roman" w:cs="Times New Roman"/>
                <w:b w:val="0"/>
                <w:color w:val="000000"/>
                <w:sz w:val="20"/>
                <w:szCs w:val="20"/>
              </w:rPr>
              <w:t>30.5.2007</w:t>
            </w:r>
          </w:p>
        </w:tc>
        <w:tc>
          <w:tcPr>
            <w:tcW w:w="12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E009B" w:rsidRPr="0031788E" w:rsidP="006E009B">
            <w:pPr>
              <w:pStyle w:val="BodyText2"/>
              <w:jc w:val="center"/>
              <w:rPr>
                <w:rFonts w:ascii="Times New Roman" w:hAnsi="Times New Roman" w:cs="Times New Roman"/>
                <w:b w:val="0"/>
                <w:color w:val="000000"/>
                <w:sz w:val="20"/>
                <w:szCs w:val="20"/>
              </w:rPr>
            </w:pPr>
            <w:r w:rsidRPr="0031788E">
              <w:rPr>
                <w:rFonts w:ascii="Times New Roman" w:hAnsi="Times New Roman" w:cs="Times New Roman"/>
                <w:b w:val="0"/>
                <w:color w:val="000000"/>
                <w:sz w:val="20"/>
                <w:szCs w:val="20"/>
              </w:rPr>
              <w:t>364</w:t>
            </w:r>
          </w:p>
        </w:tc>
        <w:tc>
          <w:tcPr>
            <w:tcW w:w="1443"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6E009B" w:rsidRPr="0031788E" w:rsidP="006E009B">
            <w:pPr>
              <w:pStyle w:val="BodyText2"/>
              <w:jc w:val="right"/>
              <w:rPr>
                <w:rFonts w:ascii="Times New Roman" w:hAnsi="Times New Roman" w:cs="Times New Roman"/>
                <w:b w:val="0"/>
                <w:color w:val="000000"/>
                <w:sz w:val="20"/>
                <w:szCs w:val="20"/>
              </w:rPr>
            </w:pPr>
            <w:r w:rsidRPr="0031788E">
              <w:rPr>
                <w:rFonts w:ascii="Times New Roman" w:hAnsi="Times New Roman" w:cs="Times New Roman"/>
                <w:b w:val="0"/>
                <w:color w:val="000000"/>
                <w:sz w:val="20"/>
                <w:szCs w:val="20"/>
              </w:rPr>
              <w:t>32 000,0</w:t>
            </w:r>
          </w:p>
        </w:tc>
      </w:tr>
      <w:tr>
        <w:tblPrEx>
          <w:tblW w:w="0" w:type="auto"/>
        </w:tblPrEx>
        <w:trPr>
          <w:trHeight w:val="395"/>
        </w:trPr>
        <w:tc>
          <w:tcPr>
            <w:tcW w:w="151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6E009B" w:rsidRPr="0031788E" w:rsidP="006E009B">
            <w:pPr>
              <w:pStyle w:val="BodyText2"/>
              <w:jc w:val="center"/>
              <w:rPr>
                <w:rFonts w:ascii="Times New Roman" w:hAnsi="Times New Roman" w:cs="Times New Roman"/>
                <w:b w:val="0"/>
                <w:color w:val="000000"/>
                <w:sz w:val="20"/>
                <w:szCs w:val="20"/>
              </w:rPr>
            </w:pPr>
            <w:r w:rsidRPr="0031788E">
              <w:rPr>
                <w:rFonts w:ascii="Times New Roman" w:hAnsi="Times New Roman" w:cs="Times New Roman"/>
                <w:b w:val="0"/>
                <w:color w:val="000000"/>
                <w:sz w:val="20"/>
                <w:szCs w:val="20"/>
              </w:rPr>
              <w:t>1615081202</w:t>
            </w:r>
          </w:p>
        </w:tc>
        <w:tc>
          <w:tcPr>
            <w:tcW w:w="12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E009B" w:rsidRPr="0031788E" w:rsidP="006E009B">
            <w:pPr>
              <w:pStyle w:val="BodyText2"/>
              <w:jc w:val="center"/>
              <w:rPr>
                <w:rFonts w:ascii="Times New Roman" w:hAnsi="Times New Roman" w:cs="Times New Roman"/>
                <w:b w:val="0"/>
                <w:color w:val="000000"/>
                <w:sz w:val="20"/>
                <w:szCs w:val="20"/>
              </w:rPr>
            </w:pPr>
            <w:r w:rsidRPr="0031788E">
              <w:rPr>
                <w:rFonts w:ascii="Times New Roman" w:hAnsi="Times New Roman" w:cs="Times New Roman"/>
                <w:b w:val="0"/>
                <w:color w:val="000000"/>
                <w:sz w:val="20"/>
                <w:szCs w:val="20"/>
              </w:rPr>
              <w:t>16.8.2006</w:t>
            </w:r>
          </w:p>
        </w:tc>
        <w:tc>
          <w:tcPr>
            <w:tcW w:w="12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E009B" w:rsidRPr="0031788E" w:rsidP="006E009B">
            <w:pPr>
              <w:pStyle w:val="BodyText2"/>
              <w:jc w:val="center"/>
              <w:rPr>
                <w:rFonts w:ascii="Times New Roman" w:hAnsi="Times New Roman" w:cs="Times New Roman"/>
                <w:b w:val="0"/>
                <w:color w:val="000000"/>
                <w:sz w:val="20"/>
                <w:szCs w:val="20"/>
              </w:rPr>
            </w:pPr>
            <w:r w:rsidRPr="0031788E">
              <w:rPr>
                <w:rFonts w:ascii="Times New Roman" w:hAnsi="Times New Roman" w:cs="Times New Roman"/>
                <w:b w:val="0"/>
                <w:color w:val="000000"/>
                <w:sz w:val="20"/>
                <w:szCs w:val="20"/>
              </w:rPr>
              <w:t>16.8.2006</w:t>
            </w:r>
          </w:p>
        </w:tc>
        <w:tc>
          <w:tcPr>
            <w:tcW w:w="128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E009B" w:rsidRPr="0031788E" w:rsidP="006E009B">
            <w:pPr>
              <w:pStyle w:val="BodyText2"/>
              <w:jc w:val="center"/>
              <w:rPr>
                <w:rFonts w:ascii="Times New Roman" w:hAnsi="Times New Roman" w:cs="Times New Roman"/>
                <w:b w:val="0"/>
                <w:color w:val="000000"/>
                <w:sz w:val="20"/>
                <w:szCs w:val="20"/>
              </w:rPr>
            </w:pPr>
            <w:r w:rsidRPr="0031788E">
              <w:rPr>
                <w:rFonts w:ascii="Times New Roman" w:hAnsi="Times New Roman" w:cs="Times New Roman"/>
                <w:b w:val="0"/>
                <w:color w:val="000000"/>
                <w:sz w:val="20"/>
                <w:szCs w:val="20"/>
              </w:rPr>
              <w:t>15.8.2007</w:t>
            </w:r>
          </w:p>
        </w:tc>
        <w:tc>
          <w:tcPr>
            <w:tcW w:w="12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E009B" w:rsidRPr="0031788E" w:rsidP="006E009B">
            <w:pPr>
              <w:pStyle w:val="BodyText2"/>
              <w:jc w:val="center"/>
              <w:rPr>
                <w:rFonts w:ascii="Times New Roman" w:hAnsi="Times New Roman" w:cs="Times New Roman"/>
                <w:b w:val="0"/>
                <w:color w:val="000000"/>
                <w:sz w:val="20"/>
                <w:szCs w:val="20"/>
              </w:rPr>
            </w:pPr>
            <w:r w:rsidRPr="0031788E">
              <w:rPr>
                <w:rFonts w:ascii="Times New Roman" w:hAnsi="Times New Roman" w:cs="Times New Roman"/>
                <w:b w:val="0"/>
                <w:color w:val="000000"/>
                <w:sz w:val="20"/>
                <w:szCs w:val="20"/>
              </w:rPr>
              <w:t>364</w:t>
            </w:r>
          </w:p>
        </w:tc>
        <w:tc>
          <w:tcPr>
            <w:tcW w:w="1443"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6E009B" w:rsidRPr="0031788E" w:rsidP="006E009B">
            <w:pPr>
              <w:pStyle w:val="BodyText2"/>
              <w:jc w:val="right"/>
              <w:rPr>
                <w:rFonts w:ascii="Times New Roman" w:hAnsi="Times New Roman" w:cs="Times New Roman"/>
                <w:b w:val="0"/>
                <w:color w:val="000000"/>
                <w:sz w:val="20"/>
                <w:szCs w:val="20"/>
              </w:rPr>
            </w:pPr>
            <w:r w:rsidRPr="0031788E">
              <w:rPr>
                <w:rFonts w:ascii="Times New Roman" w:hAnsi="Times New Roman" w:cs="Times New Roman"/>
                <w:b w:val="0"/>
                <w:color w:val="000000"/>
                <w:sz w:val="20"/>
                <w:szCs w:val="20"/>
              </w:rPr>
              <w:t>30 000,0</w:t>
            </w:r>
          </w:p>
        </w:tc>
      </w:tr>
      <w:tr>
        <w:tblPrEx>
          <w:tblW w:w="0" w:type="auto"/>
        </w:tblPrEx>
        <w:trPr>
          <w:trHeight w:val="225"/>
        </w:trPr>
        <w:tc>
          <w:tcPr>
            <w:tcW w:w="1512" w:type="dxa"/>
            <w:tcBorders>
              <w:top w:val="single" w:sz="4" w:space="0" w:color="auto"/>
              <w:left w:val="single" w:sz="8" w:space="0" w:color="auto"/>
              <w:bottom w:val="double" w:sz="6" w:space="0" w:color="auto"/>
              <w:right w:val="nil"/>
              <w:tl2br w:val="nil"/>
              <w:tr2bl w:val="nil"/>
            </w:tcBorders>
            <w:textDirection w:val="lrTb"/>
            <w:vAlign w:val="top"/>
          </w:tcPr>
          <w:p w:rsidR="006E009B" w:rsidRPr="00CE0802" w:rsidP="006E009B">
            <w:pPr>
              <w:pStyle w:val="BodyText2"/>
              <w:jc w:val="both"/>
              <w:rPr>
                <w:rFonts w:ascii="Times New Roman" w:hAnsi="Times New Roman" w:cs="Times New Roman"/>
                <w:color w:val="000000"/>
                <w:sz w:val="20"/>
                <w:szCs w:val="20"/>
              </w:rPr>
            </w:pPr>
            <w:r w:rsidRPr="00CE0802" w:rsidR="00CE0802">
              <w:rPr>
                <w:rFonts w:ascii="Times New Roman" w:hAnsi="Times New Roman" w:cs="Times New Roman"/>
                <w:color w:val="000000"/>
                <w:sz w:val="20"/>
                <w:szCs w:val="20"/>
              </w:rPr>
              <w:t>Spolu</w:t>
            </w:r>
          </w:p>
        </w:tc>
        <w:tc>
          <w:tcPr>
            <w:tcW w:w="1259" w:type="dxa"/>
            <w:tcBorders>
              <w:top w:val="single" w:sz="4" w:space="0" w:color="auto"/>
              <w:left w:val="nil"/>
              <w:bottom w:val="double" w:sz="6" w:space="0" w:color="auto"/>
              <w:right w:val="nil"/>
              <w:tl2br w:val="nil"/>
              <w:tr2bl w:val="nil"/>
            </w:tcBorders>
            <w:textDirection w:val="lrTb"/>
            <w:vAlign w:val="top"/>
          </w:tcPr>
          <w:p w:rsidR="006E009B" w:rsidRPr="0031788E" w:rsidP="006E009B">
            <w:pPr>
              <w:pStyle w:val="BodyText2"/>
              <w:jc w:val="both"/>
              <w:rPr>
                <w:rFonts w:ascii="Times New Roman" w:hAnsi="Times New Roman" w:cs="Times New Roman"/>
                <w:b w:val="0"/>
                <w:color w:val="000000"/>
                <w:sz w:val="20"/>
                <w:szCs w:val="20"/>
              </w:rPr>
            </w:pPr>
          </w:p>
        </w:tc>
        <w:tc>
          <w:tcPr>
            <w:tcW w:w="1259" w:type="dxa"/>
            <w:tcBorders>
              <w:top w:val="single" w:sz="4" w:space="0" w:color="auto"/>
              <w:left w:val="nil"/>
              <w:bottom w:val="double" w:sz="6" w:space="0" w:color="auto"/>
              <w:right w:val="nil"/>
              <w:tl2br w:val="nil"/>
              <w:tr2bl w:val="nil"/>
            </w:tcBorders>
            <w:textDirection w:val="lrTb"/>
            <w:vAlign w:val="top"/>
          </w:tcPr>
          <w:p w:rsidR="006E009B" w:rsidRPr="0031788E" w:rsidP="006E009B">
            <w:pPr>
              <w:pStyle w:val="BodyText2"/>
              <w:jc w:val="both"/>
              <w:rPr>
                <w:rFonts w:ascii="Times New Roman" w:hAnsi="Times New Roman" w:cs="Times New Roman"/>
                <w:b w:val="0"/>
                <w:color w:val="000000"/>
                <w:sz w:val="20"/>
                <w:szCs w:val="20"/>
              </w:rPr>
            </w:pPr>
          </w:p>
        </w:tc>
        <w:tc>
          <w:tcPr>
            <w:tcW w:w="1288" w:type="dxa"/>
            <w:tcBorders>
              <w:top w:val="single" w:sz="4" w:space="0" w:color="auto"/>
              <w:left w:val="nil"/>
              <w:bottom w:val="double" w:sz="6" w:space="0" w:color="auto"/>
              <w:right w:val="nil"/>
              <w:tl2br w:val="nil"/>
              <w:tr2bl w:val="nil"/>
            </w:tcBorders>
            <w:textDirection w:val="lrTb"/>
            <w:vAlign w:val="top"/>
          </w:tcPr>
          <w:p w:rsidR="006E009B" w:rsidRPr="0031788E" w:rsidP="006E009B">
            <w:pPr>
              <w:pStyle w:val="BodyText2"/>
              <w:jc w:val="both"/>
              <w:rPr>
                <w:rFonts w:ascii="Times New Roman" w:hAnsi="Times New Roman" w:cs="Times New Roman"/>
                <w:b w:val="0"/>
                <w:color w:val="000000"/>
                <w:sz w:val="20"/>
                <w:szCs w:val="20"/>
              </w:rPr>
            </w:pPr>
          </w:p>
        </w:tc>
        <w:tc>
          <w:tcPr>
            <w:tcW w:w="1203" w:type="dxa"/>
            <w:tcBorders>
              <w:top w:val="single" w:sz="4" w:space="0" w:color="auto"/>
              <w:left w:val="nil"/>
              <w:bottom w:val="double" w:sz="6" w:space="0" w:color="auto"/>
              <w:right w:val="single" w:sz="4" w:space="0" w:color="auto"/>
              <w:tl2br w:val="nil"/>
              <w:tr2bl w:val="nil"/>
            </w:tcBorders>
            <w:textDirection w:val="lrTb"/>
            <w:vAlign w:val="top"/>
          </w:tcPr>
          <w:p w:rsidR="006E009B" w:rsidRPr="0031788E" w:rsidP="006E009B">
            <w:pPr>
              <w:pStyle w:val="BodyText2"/>
              <w:jc w:val="both"/>
              <w:rPr>
                <w:rFonts w:ascii="Times New Roman" w:hAnsi="Times New Roman" w:cs="Times New Roman"/>
                <w:b w:val="0"/>
                <w:color w:val="000000"/>
                <w:sz w:val="20"/>
                <w:szCs w:val="20"/>
              </w:rPr>
            </w:pPr>
          </w:p>
        </w:tc>
        <w:tc>
          <w:tcPr>
            <w:tcW w:w="1443" w:type="dxa"/>
            <w:tcBorders>
              <w:top w:val="single" w:sz="4" w:space="0" w:color="auto"/>
              <w:left w:val="single" w:sz="4" w:space="0" w:color="auto"/>
              <w:bottom w:val="double" w:sz="6" w:space="0" w:color="auto"/>
              <w:right w:val="single" w:sz="8" w:space="0" w:color="auto"/>
              <w:tl2br w:val="nil"/>
              <w:tr2bl w:val="nil"/>
            </w:tcBorders>
            <w:textDirection w:val="lrTb"/>
            <w:vAlign w:val="top"/>
          </w:tcPr>
          <w:p w:rsidR="006E009B" w:rsidRPr="0031788E" w:rsidP="006E009B">
            <w:pPr>
              <w:pStyle w:val="BodyText2"/>
              <w:jc w:val="right"/>
              <w:rPr>
                <w:rFonts w:ascii="Times New Roman" w:hAnsi="Times New Roman" w:cs="Times New Roman"/>
                <w:color w:val="000000"/>
                <w:sz w:val="20"/>
                <w:szCs w:val="20"/>
              </w:rPr>
            </w:pPr>
            <w:r w:rsidRPr="0031788E">
              <w:rPr>
                <w:rFonts w:ascii="Times New Roman" w:hAnsi="Times New Roman" w:cs="Times New Roman"/>
                <w:color w:val="000000"/>
                <w:sz w:val="20"/>
                <w:szCs w:val="20"/>
              </w:rPr>
              <w:t>62 00</w:t>
            </w:r>
            <w:r w:rsidRPr="0031788E">
              <w:rPr>
                <w:rFonts w:ascii="Times New Roman" w:hAnsi="Times New Roman" w:cs="Times New Roman"/>
                <w:color w:val="000000"/>
                <w:sz w:val="20"/>
                <w:szCs w:val="20"/>
              </w:rPr>
              <w:t>0,0</w:t>
            </w:r>
          </w:p>
        </w:tc>
      </w:tr>
    </w:tbl>
    <w:p w:rsidR="006E009B" w:rsidP="006E009B">
      <w:pPr>
        <w:pStyle w:val="BodyText2"/>
        <w:spacing w:line="360" w:lineRule="auto"/>
        <w:ind w:firstLine="708"/>
        <w:jc w:val="both"/>
        <w:rPr>
          <w:rFonts w:ascii="Times New Roman" w:hAnsi="Times New Roman" w:cs="Times New Roman"/>
          <w:b w:val="0"/>
          <w:color w:val="000000"/>
          <w:sz w:val="24"/>
        </w:rPr>
      </w:pPr>
    </w:p>
    <w:p w:rsidR="006E009B" w:rsidP="006E009B">
      <w:pPr>
        <w:pStyle w:val="BodyText2"/>
        <w:spacing w:line="360" w:lineRule="auto"/>
        <w:ind w:firstLine="708"/>
        <w:jc w:val="both"/>
        <w:rPr>
          <w:rFonts w:ascii="Times New Roman" w:hAnsi="Times New Roman" w:cs="Times New Roman"/>
          <w:b w:val="0"/>
          <w:color w:val="000000"/>
          <w:sz w:val="24"/>
        </w:rPr>
      </w:pPr>
    </w:p>
    <w:p w:rsidR="006E009B" w:rsidP="006E009B">
      <w:pPr>
        <w:pStyle w:val="BodyText2"/>
        <w:spacing w:line="360" w:lineRule="auto"/>
        <w:ind w:firstLine="708"/>
        <w:jc w:val="both"/>
        <w:rPr>
          <w:rFonts w:ascii="Times New Roman" w:hAnsi="Times New Roman" w:cs="Times New Roman"/>
          <w:b w:val="0"/>
          <w:color w:val="000000"/>
          <w:sz w:val="24"/>
        </w:rPr>
      </w:pPr>
    </w:p>
    <w:p w:rsidR="006E009B" w:rsidP="006E009B">
      <w:pPr>
        <w:pStyle w:val="BodyText2"/>
        <w:spacing w:line="360" w:lineRule="auto"/>
        <w:ind w:firstLine="708"/>
        <w:jc w:val="both"/>
        <w:rPr>
          <w:rFonts w:ascii="Times New Roman" w:hAnsi="Times New Roman" w:cs="Times New Roman"/>
          <w:b w:val="0"/>
          <w:color w:val="000000"/>
          <w:sz w:val="24"/>
        </w:rPr>
      </w:pPr>
    </w:p>
    <w:p w:rsidR="006E009B" w:rsidP="006E009B">
      <w:pPr>
        <w:pStyle w:val="BodyText2"/>
        <w:spacing w:line="360" w:lineRule="auto"/>
        <w:jc w:val="both"/>
        <w:rPr>
          <w:rFonts w:ascii="Times New Roman" w:hAnsi="Times New Roman" w:cs="Times New Roman"/>
          <w:b w:val="0"/>
          <w:color w:val="000000"/>
          <w:sz w:val="24"/>
        </w:rPr>
      </w:pPr>
    </w:p>
    <w:p w:rsidR="006E009B" w:rsidRPr="0031788E" w:rsidP="006E009B">
      <w:pPr>
        <w:pStyle w:val="BodyText2"/>
        <w:spacing w:line="360" w:lineRule="auto"/>
        <w:ind w:firstLine="708"/>
        <w:jc w:val="both"/>
        <w:rPr>
          <w:rFonts w:ascii="Times New Roman" w:hAnsi="Times New Roman" w:cs="Times New Roman"/>
          <w:b w:val="0"/>
          <w:color w:val="000000"/>
          <w:sz w:val="20"/>
          <w:szCs w:val="20"/>
        </w:rPr>
      </w:pPr>
      <w:r w:rsidRPr="0031788E" w:rsidR="00A2736B">
        <w:rPr>
          <w:rFonts w:ascii="Times New Roman" w:hAnsi="Times New Roman" w:cs="Times New Roman"/>
          <w:b w:val="0"/>
          <w:color w:val="000000"/>
          <w:sz w:val="20"/>
          <w:szCs w:val="20"/>
        </w:rPr>
        <w:t xml:space="preserve"> </w:t>
      </w:r>
      <w:r w:rsidRPr="0031788E">
        <w:rPr>
          <w:rFonts w:ascii="Times New Roman" w:hAnsi="Times New Roman" w:cs="Times New Roman"/>
          <w:b w:val="0"/>
          <w:color w:val="000000"/>
          <w:sz w:val="20"/>
          <w:szCs w:val="20"/>
        </w:rPr>
        <w:t xml:space="preserve"> * doba splatnosti emisie v dňoch</w:t>
      </w:r>
    </w:p>
    <w:p w:rsidR="006E009B" w:rsidRPr="007C62F2" w:rsidP="006E009B">
      <w:pPr>
        <w:pStyle w:val="BodyText2"/>
        <w:spacing w:line="360" w:lineRule="auto"/>
        <w:ind w:firstLine="708"/>
        <w:jc w:val="both"/>
        <w:rPr>
          <w:rFonts w:ascii="Times New Roman" w:hAnsi="Times New Roman" w:cs="Times New Roman"/>
          <w:b w:val="0"/>
          <w:color w:val="000000"/>
          <w:sz w:val="20"/>
          <w:szCs w:val="20"/>
        </w:rPr>
      </w:pPr>
      <w:r w:rsidR="00A2736B">
        <w:rPr>
          <w:rFonts w:ascii="Times New Roman" w:hAnsi="Times New Roman" w:cs="Times New Roman"/>
          <w:b w:val="0"/>
          <w:color w:val="000000"/>
          <w:sz w:val="20"/>
          <w:szCs w:val="20"/>
        </w:rPr>
        <w:t xml:space="preserve"> </w:t>
      </w:r>
      <w:r w:rsidR="003F1E58">
        <w:rPr>
          <w:rFonts w:ascii="Times New Roman" w:hAnsi="Times New Roman" w:cs="Times New Roman"/>
          <w:b w:val="0"/>
          <w:color w:val="000000"/>
          <w:sz w:val="20"/>
          <w:szCs w:val="20"/>
        </w:rPr>
        <w:t xml:space="preserve">    </w:t>
      </w:r>
      <w:r>
        <w:rPr>
          <w:rFonts w:ascii="Times New Roman" w:hAnsi="Times New Roman" w:cs="Times New Roman"/>
          <w:b w:val="0"/>
          <w:color w:val="000000"/>
          <w:sz w:val="20"/>
          <w:szCs w:val="20"/>
        </w:rPr>
        <w:t xml:space="preserve"> Zdroj: ARDAL</w:t>
      </w:r>
    </w:p>
    <w:p w:rsidR="006E009B" w:rsidP="006E009B">
      <w:pPr>
        <w:rPr>
          <w:rFonts w:ascii="Times New Roman" w:hAnsi="Times New Roman" w:cs="Times New Roman"/>
          <w:b/>
        </w:rPr>
      </w:pPr>
      <w:r>
        <w:rPr>
          <w:rFonts w:ascii="Times New Roman" w:hAnsi="Times New Roman" w:cs="Times New Roman"/>
          <w:b/>
        </w:rPr>
        <w:t xml:space="preserve">                </w:t>
      </w:r>
    </w:p>
    <w:p w:rsidR="006E009B" w:rsidP="006E009B">
      <w:pPr>
        <w:spacing w:line="360" w:lineRule="auto"/>
        <w:ind w:firstLine="709"/>
        <w:jc w:val="both"/>
        <w:rPr>
          <w:rFonts w:ascii="Times New Roman" w:hAnsi="Times New Roman" w:cs="Arial"/>
        </w:rPr>
      </w:pPr>
      <w:r>
        <w:rPr>
          <w:rFonts w:ascii="Times New Roman" w:hAnsi="Times New Roman" w:cs="Arial"/>
        </w:rPr>
        <w:t xml:space="preserve">Štátne pokladnične poukážky vydané v roku 2005 na financovanie schodku štátneho rozpočtu boli splatené v roku 2006 v účtovnej hodnote 5 724,1 mil. Sk.  </w:t>
      </w:r>
    </w:p>
    <w:p w:rsidR="006E009B" w:rsidP="006E009B">
      <w:pPr>
        <w:spacing w:line="360" w:lineRule="auto"/>
        <w:ind w:firstLine="709"/>
        <w:jc w:val="both"/>
        <w:rPr>
          <w:rFonts w:ascii="Times New Roman" w:hAnsi="Times New Roman" w:cs="Times New Roman"/>
        </w:rPr>
      </w:pPr>
      <w:r w:rsidRPr="00A1677A">
        <w:rPr>
          <w:rFonts w:ascii="Times New Roman" w:hAnsi="Times New Roman" w:cs="Times New Roman"/>
        </w:rPr>
        <w:t>Počas roka bol dočasný</w:t>
      </w:r>
      <w:r w:rsidRPr="00A1677A">
        <w:rPr>
          <w:rFonts w:ascii="Times New Roman" w:hAnsi="Times New Roman" w:cs="Times New Roman"/>
        </w:rPr>
        <w:t xml:space="preserve"> nesúlad medzi</w:t>
      </w:r>
      <w:r>
        <w:rPr>
          <w:rFonts w:ascii="Times New Roman" w:hAnsi="Times New Roman" w:cs="Times New Roman"/>
        </w:rPr>
        <w:t xml:space="preserve"> príjmami a výdavkami</w:t>
      </w:r>
      <w:r w:rsidRPr="00A1677A">
        <w:rPr>
          <w:rFonts w:ascii="Times New Roman" w:hAnsi="Times New Roman" w:cs="Times New Roman"/>
        </w:rPr>
        <w:t xml:space="preserve"> krytý zdrojmi kumulovanými</w:t>
      </w:r>
      <w:r w:rsidRPr="00A1677A">
        <w:rPr>
          <w:rFonts w:ascii="Times New Roman" w:hAnsi="Times New Roman" w:cs="Times New Roman"/>
          <w:color w:val="FF0000"/>
        </w:rPr>
        <w:t xml:space="preserve"> </w:t>
      </w:r>
      <w:r w:rsidRPr="00A1677A">
        <w:rPr>
          <w:rFonts w:ascii="Times New Roman" w:hAnsi="Times New Roman" w:cs="Times New Roman"/>
        </w:rPr>
        <w:t>na splácanie dlhu</w:t>
      </w:r>
      <w:r w:rsidRPr="00A1677A">
        <w:rPr>
          <w:rFonts w:ascii="Times New Roman" w:hAnsi="Times New Roman" w:cs="Times New Roman"/>
          <w:color w:val="FF0000"/>
        </w:rPr>
        <w:t xml:space="preserve"> </w:t>
      </w:r>
      <w:r w:rsidRPr="00A1677A">
        <w:rPr>
          <w:rFonts w:ascii="Times New Roman" w:hAnsi="Times New Roman" w:cs="Times New Roman"/>
        </w:rPr>
        <w:t xml:space="preserve">a voľnými zdrojmi zo </w:t>
      </w:r>
      <w:r>
        <w:rPr>
          <w:rFonts w:ascii="Times New Roman" w:hAnsi="Times New Roman" w:cs="Times New Roman"/>
        </w:rPr>
        <w:t>Š</w:t>
      </w:r>
      <w:r w:rsidRPr="00A1677A">
        <w:rPr>
          <w:rFonts w:ascii="Times New Roman" w:hAnsi="Times New Roman" w:cs="Times New Roman"/>
        </w:rPr>
        <w:t>tátnej pokladnice.</w:t>
      </w:r>
      <w:r w:rsidRPr="00A1677A">
        <w:rPr>
          <w:rFonts w:ascii="Times New Roman" w:hAnsi="Times New Roman" w:cs="Times New Roman"/>
          <w:color w:val="FF0000"/>
        </w:rPr>
        <w:t xml:space="preserve"> </w:t>
      </w:r>
      <w:r w:rsidRPr="00A1677A">
        <w:rPr>
          <w:rFonts w:ascii="Times New Roman" w:hAnsi="Times New Roman" w:cs="Times New Roman"/>
        </w:rPr>
        <w:t>Zo Štátnej pokladnice bolo ku koncu roka prostredníctvom refinančného systému využitých  102 906 mil. Sk dočasne voľných finančných pr</w:t>
      </w:r>
      <w:r w:rsidRPr="00A1677A">
        <w:rPr>
          <w:rFonts w:ascii="Times New Roman" w:hAnsi="Times New Roman" w:cs="Times New Roman"/>
        </w:rPr>
        <w:t>ostriedkov (refinancovanie na O/N báze),</w:t>
      </w:r>
      <w:r w:rsidRPr="00A1677A">
        <w:rPr>
          <w:rFonts w:ascii="Times New Roman" w:hAnsi="Times New Roman" w:cs="Times New Roman"/>
          <w:color w:val="FF0000"/>
        </w:rPr>
        <w:t xml:space="preserve"> </w:t>
      </w:r>
      <w:r w:rsidRPr="00A1677A">
        <w:rPr>
          <w:rFonts w:ascii="Times New Roman" w:hAnsi="Times New Roman" w:cs="Times New Roman"/>
        </w:rPr>
        <w:t>a 48 975 mil. Sk so splatnosťou do 2 mesiacov. Zároveň malo Ministerstvo financií SR k 31.12.2006 na medzibankovom trhu uložených 32 502 mil. Sk prevažne v dvojtýždňových depozitách a  576 mil. EUR s dobou splatnost</w:t>
      </w:r>
      <w:r w:rsidRPr="00A1677A">
        <w:rPr>
          <w:rFonts w:ascii="Times New Roman" w:hAnsi="Times New Roman" w:cs="Times New Roman"/>
        </w:rPr>
        <w:t>i do 1 roka.</w:t>
      </w:r>
    </w:p>
    <w:p w:rsidR="006E009B" w:rsidRPr="00DD36B3" w:rsidP="006E009B">
      <w:pPr>
        <w:spacing w:line="360" w:lineRule="auto"/>
        <w:ind w:firstLine="709"/>
        <w:jc w:val="both"/>
        <w:rPr>
          <w:rFonts w:ascii="Times New Roman" w:hAnsi="Times New Roman" w:cs="Times New Roman"/>
          <w:color w:val="000000"/>
          <w:sz w:val="22"/>
          <w:szCs w:val="22"/>
        </w:rPr>
      </w:pPr>
      <w:r>
        <w:rPr>
          <w:rFonts w:ascii="Times New Roman" w:hAnsi="Times New Roman" w:cs="Times New Roman"/>
          <w:color w:val="000000"/>
        </w:rPr>
        <w:t xml:space="preserve">V priebehu roku 2006 boli na krytie schodku čerpané úvery zo zahraničia v celkovej sume 1 414,5 mil. Sk, čo je o 982,9 mil. Sk menej ako v roku 2005. Úvery od Svetovej banky sa prijali na projekt technickej podpory rozvoja ľudského kapitálu, projekt reformy riadenia sociálnych dávok, projekt reformy riadenia verejných financií a modernizácie zdravotníckeho sektora v úhrnnej sume 246,4 mil. Sk. Úvery od Európskej investičnej banky sa prijali hlavne na národný rozvojový plán regiónov a na projekt „Európske cesty“ v sume 856,5 mil. Sk. Ďalšie úvery od Rozvojovej banky Rady Európy a Japonskej banky pre medzinárodnú spoluprácu boli čerpané na transformáciu existujúcich zariadení sociálnych služieb a na výstavbu diaľnic v celkovej sume 311,6 mil. Sk. </w:t>
      </w:r>
      <w:r>
        <w:rPr>
          <w:rFonts w:ascii="Times New Roman" w:hAnsi="Times New Roman" w:cs="Times New Roman"/>
          <w:color w:val="000000"/>
        </w:rPr>
        <w:t xml:space="preserve">     </w:t>
      </w:r>
    </w:p>
    <w:p w:rsidR="006E009B" w:rsidP="006E009B">
      <w:pPr>
        <w:spacing w:line="360" w:lineRule="auto"/>
        <w:jc w:val="both"/>
        <w:rPr>
          <w:rFonts w:ascii="Times New Roman" w:hAnsi="Times New Roman" w:cs="Arial"/>
        </w:rPr>
      </w:pPr>
    </w:p>
    <w:p w:rsidR="00976CDF" w:rsidRPr="00C96D96" w:rsidP="006E009B">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center"/>
        <w:rPr>
          <w:rFonts w:ascii="Times New Roman" w:hAnsi="Times New Roman" w:cs="Times New Roman"/>
          <w:b/>
          <w:bCs/>
          <w:szCs w:val="24"/>
          <w:lang w:val="sk-SK"/>
        </w:rPr>
      </w:pPr>
      <w:r w:rsidR="00766559">
        <w:rPr>
          <w:rFonts w:ascii="Times New Roman" w:hAnsi="Times New Roman" w:cs="Times New Roman"/>
          <w:b/>
          <w:bCs/>
          <w:lang w:val="sk-SK"/>
        </w:rPr>
        <w:t>3</w:t>
      </w:r>
      <w:r w:rsidRPr="00C96D96">
        <w:rPr>
          <w:rFonts w:ascii="Times New Roman" w:hAnsi="Times New Roman" w:cs="Times New Roman"/>
          <w:b/>
          <w:bCs/>
          <w:lang w:val="sk-SK"/>
        </w:rPr>
        <w:t>. Hospodárenie s rozpočtovými rezervami</w:t>
      </w:r>
    </w:p>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Times New Roman" w:hAnsi="Times New Roman" w:cs="Times New Roman"/>
          <w:szCs w:val="24"/>
          <w:lang w:val="sk-SK"/>
        </w:rPr>
      </w:pPr>
      <w:r w:rsidRPr="00C96D96">
        <w:rPr>
          <w:rFonts w:ascii="Times New Roman" w:hAnsi="Times New Roman" w:cs="Times New Roman"/>
          <w:szCs w:val="24"/>
          <w:lang w:val="sk-SK"/>
        </w:rPr>
        <w:t xml:space="preserve">                         </w:t>
      </w:r>
    </w:p>
    <w:p w:rsidR="00976CDF" w:rsidRPr="00C96D96" w:rsidP="00976CD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Times New Roman" w:hAnsi="Times New Roman" w:cs="Times New Roman"/>
          <w:szCs w:val="24"/>
          <w:lang w:val="sk-SK"/>
        </w:rPr>
      </w:pPr>
      <w:r w:rsidRPr="00C96D96">
        <w:rPr>
          <w:rFonts w:ascii="Times New Roman" w:hAnsi="Times New Roman" w:cs="Times New Roman"/>
          <w:szCs w:val="24"/>
          <w:lang w:val="sk-SK"/>
        </w:rPr>
        <w:tab/>
        <w:t xml:space="preserve">V zmysle § 10 zákona č. 523/2004 Z. z. o rozpočtových pravidlách verejnej správy a o zmene a doplnení niektorých zákonov v znení neskorších predpisov sa na krytie nepredvídaných výdavkov nevyhnutných na zabezpečenie rozpočtového hospodárenia alebo na krytie zníženia rozpočtovaných príjmov vytvárajú v štátnom rozpočte rozpočtové rezervy. </w:t>
      </w:r>
    </w:p>
    <w:p w:rsidR="00976CDF" w:rsidRPr="00C96D96"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Times New Roman" w:hAnsi="Times New Roman" w:cs="Times New Roman"/>
          <w:color w:val="000000"/>
        </w:rPr>
      </w:pPr>
    </w:p>
    <w:p w:rsidR="00976CDF" w:rsidRPr="00C96D96" w:rsidP="00976CD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Times New Roman" w:hAnsi="Times New Roman" w:cs="Times New Roman"/>
          <w:szCs w:val="24"/>
          <w:lang w:val="sk-SK"/>
        </w:rPr>
      </w:pPr>
      <w:r w:rsidRPr="00C96D96">
        <w:rPr>
          <w:rFonts w:ascii="Times New Roman" w:hAnsi="Times New Roman" w:cs="Times New Roman"/>
          <w:szCs w:val="24"/>
          <w:lang w:val="sk-SK"/>
        </w:rPr>
        <w:tab/>
        <w:t>Národná rada SR zákonom č. 655 zo dňa 13. decembra 2005 o štátnom rozpočte na rok 2006 schválil</w:t>
      </w:r>
      <w:r w:rsidRPr="00C96D96">
        <w:rPr>
          <w:rFonts w:ascii="Times New Roman" w:hAnsi="Times New Roman" w:cs="Times New Roman"/>
          <w:szCs w:val="24"/>
          <w:lang w:val="sk-SK"/>
        </w:rPr>
        <w:t>a výšku zákonných rezerv nasledovne (v tis. Sk):</w:t>
      </w:r>
    </w:p>
    <w:p w:rsidR="00976CDF" w:rsidRPr="004618B7"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Narrow" w:hAnsi="Arial Narrow" w:cs="Times New Roman"/>
          <w:color w:val="000000"/>
        </w:rPr>
      </w:pPr>
    </w:p>
    <w:tbl>
      <w:tblPr>
        <w:tblW w:w="9408" w:type="dxa"/>
        <w:tblInd w:w="43" w:type="dxa"/>
        <w:tblLayout w:type="fixed"/>
        <w:tblCellMar>
          <w:top w:w="0" w:type="dxa"/>
          <w:left w:w="43" w:type="dxa"/>
          <w:bottom w:w="0" w:type="dxa"/>
          <w:right w:w="43" w:type="dxa"/>
        </w:tblCellMar>
      </w:tblPr>
      <w:tblGrid>
        <w:gridCol w:w="3970"/>
        <w:gridCol w:w="1910"/>
        <w:gridCol w:w="1764"/>
        <w:gridCol w:w="1764"/>
      </w:tblGrid>
      <w:tr>
        <w:tblPrEx>
          <w:tblW w:w="9408" w:type="dxa"/>
          <w:tblInd w:w="43" w:type="dxa"/>
          <w:tblLayout w:type="fixed"/>
          <w:tblCellMar>
            <w:top w:w="0" w:type="dxa"/>
            <w:left w:w="43" w:type="dxa"/>
            <w:bottom w:w="0" w:type="dxa"/>
            <w:right w:w="43" w:type="dxa"/>
          </w:tblCellMar>
        </w:tblPrEx>
        <w:trPr>
          <w:cantSplit/>
          <w:trHeight w:val="1426"/>
        </w:trPr>
        <w:tc>
          <w:tcPr>
            <w:tcW w:w="3970" w:type="dxa"/>
            <w:tcBorders>
              <w:top w:val="nil"/>
              <w:left w:val="nil"/>
              <w:bottom w:val="nil"/>
              <w:right w:val="nil"/>
              <w:tl2br w:val="nil"/>
              <w:tr2bl w:val="nil"/>
            </w:tcBorders>
            <w:textDirection w:val="lrTb"/>
            <w:vAlign w:val="top"/>
          </w:tcPr>
          <w:p w:rsidR="00976CDF" w:rsidRPr="00C96D96" w:rsidP="00976CD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p>
        </w:tc>
        <w:tc>
          <w:tcPr>
            <w:tcW w:w="1910" w:type="dxa"/>
            <w:tcBorders>
              <w:top w:val="nil"/>
              <w:left w:val="nil"/>
              <w:bottom w:val="single" w:sz="4" w:space="0" w:color="auto"/>
              <w:right w:val="nil"/>
              <w:tl2br w:val="nil"/>
              <w:tr2bl w:val="nil"/>
            </w:tcBorders>
            <w:textDirection w:val="lrTb"/>
            <w:vAlign w:val="top"/>
          </w:tcPr>
          <w:p w:rsidR="00976CDF" w:rsidRPr="00C96D96" w:rsidP="00976CDF">
            <w:pPr>
              <w:autoSpaceDE/>
              <w:autoSpaceDN/>
              <w:jc w:val="center"/>
              <w:rPr>
                <w:rFonts w:ascii="Times New Roman" w:hAnsi="Times New Roman" w:cs="Arial Narrow"/>
                <w:color w:val="000000"/>
                <w:szCs w:val="22"/>
                <w:lang w:val="cs-CZ" w:eastAsia="cs-CZ"/>
              </w:rPr>
            </w:pPr>
            <w:r w:rsidRPr="00C96D96">
              <w:rPr>
                <w:rFonts w:ascii="Times New Roman" w:hAnsi="Times New Roman" w:cs="Arial Narrow"/>
                <w:color w:val="000000"/>
                <w:szCs w:val="22"/>
                <w:lang w:val="cs-CZ" w:eastAsia="cs-CZ"/>
              </w:rPr>
              <w:t>Schválený rozpočet na rok 2006</w:t>
            </w:r>
          </w:p>
          <w:p w:rsidR="00976CDF" w:rsidRPr="00C96D96" w:rsidP="00976CDF">
            <w:pPr>
              <w:autoSpaceDE/>
              <w:autoSpaceDN/>
              <w:jc w:val="center"/>
              <w:rPr>
                <w:rFonts w:ascii="Times New Roman" w:hAnsi="Times New Roman" w:cs="Arial Narrow"/>
                <w:color w:val="000000"/>
                <w:szCs w:val="22"/>
                <w:lang w:val="cs-CZ" w:eastAsia="cs-CZ"/>
              </w:rPr>
            </w:pPr>
            <w:r w:rsidRPr="00C96D96">
              <w:rPr>
                <w:rFonts w:ascii="Times New Roman" w:hAnsi="Times New Roman" w:cs="Arial Narrow"/>
                <w:color w:val="000000"/>
                <w:szCs w:val="22"/>
                <w:lang w:val="cs-CZ" w:eastAsia="cs-CZ"/>
              </w:rPr>
              <w:t xml:space="preserve"> (zdroj 111)</w:t>
            </w:r>
          </w:p>
        </w:tc>
        <w:tc>
          <w:tcPr>
            <w:tcW w:w="1764" w:type="dxa"/>
            <w:tcBorders>
              <w:top w:val="nil"/>
              <w:left w:val="nil"/>
              <w:bottom w:val="single" w:sz="6" w:space="0" w:color="auto"/>
              <w:right w:val="nil"/>
              <w:tl2br w:val="nil"/>
              <w:tr2bl w:val="nil"/>
            </w:tcBorders>
            <w:textDirection w:val="lrTb"/>
            <w:vAlign w:val="top"/>
          </w:tcPr>
          <w:p w:rsidR="00976CDF" w:rsidRPr="00C96D96" w:rsidP="00976CDF">
            <w:pPr>
              <w:autoSpaceDE/>
              <w:autoSpaceDN/>
              <w:jc w:val="center"/>
              <w:rPr>
                <w:rFonts w:ascii="Times New Roman" w:hAnsi="Times New Roman" w:cs="Arial Narrow"/>
                <w:color w:val="000000"/>
                <w:szCs w:val="22"/>
                <w:lang w:val="cs-CZ" w:eastAsia="cs-CZ"/>
              </w:rPr>
            </w:pPr>
            <w:r w:rsidRPr="00C96D96">
              <w:rPr>
                <w:rFonts w:ascii="Times New Roman" w:hAnsi="Times New Roman" w:cs="Arial Narrow"/>
                <w:color w:val="000000"/>
                <w:szCs w:val="22"/>
                <w:lang w:val="cs-CZ" w:eastAsia="cs-CZ"/>
              </w:rPr>
              <w:t xml:space="preserve">Upravený rozpočet k  31.12.2006 </w:t>
            </w:r>
          </w:p>
          <w:p w:rsidR="00976CDF" w:rsidRPr="00C96D96" w:rsidP="00976CDF">
            <w:pPr>
              <w:autoSpaceDE/>
              <w:autoSpaceDN/>
              <w:jc w:val="center"/>
              <w:rPr>
                <w:rFonts w:ascii="Times New Roman" w:hAnsi="Times New Roman" w:cs="Arial Narrow"/>
                <w:color w:val="000000"/>
                <w:szCs w:val="22"/>
                <w:lang w:val="cs-CZ" w:eastAsia="cs-CZ"/>
              </w:rPr>
            </w:pPr>
            <w:r w:rsidRPr="00C96D96">
              <w:rPr>
                <w:rFonts w:ascii="Times New Roman" w:hAnsi="Times New Roman" w:cs="Arial Narrow"/>
                <w:color w:val="000000"/>
                <w:szCs w:val="22"/>
                <w:lang w:val="cs-CZ" w:eastAsia="cs-CZ"/>
              </w:rPr>
              <w:t>(zdroj 111 a 131)</w:t>
            </w:r>
          </w:p>
        </w:tc>
        <w:tc>
          <w:tcPr>
            <w:tcW w:w="1764" w:type="dxa"/>
            <w:tcBorders>
              <w:top w:val="nil"/>
              <w:left w:val="nil"/>
              <w:bottom w:val="single" w:sz="6" w:space="0" w:color="auto"/>
              <w:right w:val="nil"/>
              <w:tl2br w:val="nil"/>
              <w:tr2bl w:val="nil"/>
            </w:tcBorders>
            <w:textDirection w:val="lrTb"/>
            <w:vAlign w:val="top"/>
          </w:tcPr>
          <w:p w:rsidR="00976CDF" w:rsidRPr="00C96D96" w:rsidP="00976CDF">
            <w:pPr>
              <w:autoSpaceDE/>
              <w:autoSpaceDN/>
              <w:jc w:val="center"/>
              <w:rPr>
                <w:rFonts w:ascii="Times New Roman" w:hAnsi="Times New Roman" w:cs="Arial Narrow"/>
                <w:color w:val="000000"/>
                <w:szCs w:val="22"/>
                <w:lang w:val="cs-CZ" w:eastAsia="cs-CZ"/>
              </w:rPr>
            </w:pPr>
            <w:r w:rsidRPr="00C96D96">
              <w:rPr>
                <w:rFonts w:ascii="Times New Roman" w:hAnsi="Times New Roman" w:cs="Arial Narrow"/>
                <w:color w:val="000000"/>
                <w:szCs w:val="22"/>
                <w:lang w:val="cs-CZ" w:eastAsia="cs-CZ"/>
              </w:rPr>
              <w:t xml:space="preserve">Čerpanie </w:t>
            </w:r>
          </w:p>
          <w:p w:rsidR="00976CDF" w:rsidRPr="00C96D96" w:rsidP="00976CDF">
            <w:pPr>
              <w:autoSpaceDE/>
              <w:autoSpaceDN/>
              <w:jc w:val="center"/>
              <w:rPr>
                <w:rFonts w:ascii="Times New Roman" w:hAnsi="Times New Roman" w:cs="Arial Narrow"/>
                <w:color w:val="000000"/>
                <w:szCs w:val="22"/>
                <w:lang w:val="cs-CZ" w:eastAsia="cs-CZ"/>
              </w:rPr>
            </w:pPr>
            <w:r w:rsidRPr="00C96D96">
              <w:rPr>
                <w:rFonts w:ascii="Times New Roman" w:hAnsi="Times New Roman" w:cs="Arial Narrow"/>
                <w:color w:val="000000"/>
                <w:szCs w:val="22"/>
                <w:lang w:val="cs-CZ" w:eastAsia="cs-CZ"/>
              </w:rPr>
              <w:t>k  31.12.2006</w:t>
            </w:r>
          </w:p>
        </w:tc>
      </w:tr>
      <w:tr>
        <w:tblPrEx>
          <w:tblW w:w="9408" w:type="dxa"/>
          <w:tblInd w:w="43" w:type="dxa"/>
          <w:tblLayout w:type="fixed"/>
          <w:tblCellMar>
            <w:top w:w="0" w:type="dxa"/>
            <w:left w:w="43" w:type="dxa"/>
            <w:bottom w:w="0" w:type="dxa"/>
            <w:right w:w="43" w:type="dxa"/>
          </w:tblCellMar>
        </w:tblPrEx>
        <w:trPr>
          <w:cantSplit/>
          <w:trHeight w:val="285"/>
        </w:trPr>
        <w:tc>
          <w:tcPr>
            <w:tcW w:w="397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r w:rsidRPr="00C96D96">
              <w:rPr>
                <w:rFonts w:ascii="Times New Roman" w:hAnsi="Times New Roman" w:cs="Times New Roman"/>
                <w:szCs w:val="24"/>
                <w:lang w:val="sk-SK"/>
              </w:rPr>
              <w:t>Rezervy spolu</w:t>
            </w:r>
          </w:p>
        </w:tc>
        <w:tc>
          <w:tcPr>
            <w:tcW w:w="1910" w:type="dxa"/>
            <w:tcBorders>
              <w:top w:val="single" w:sz="4" w:space="0" w:color="auto"/>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lang w:val="sk-SK"/>
              </w:rPr>
              <w:t>1 445 510</w:t>
            </w: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lang w:val="sk-SK"/>
              </w:rPr>
              <w:t>1</w:t>
            </w:r>
            <w:r>
              <w:rPr>
                <w:rFonts w:ascii="Times New Roman" w:hAnsi="Times New Roman" w:cs="Times New Roman"/>
                <w:szCs w:val="24"/>
                <w:lang w:val="sk-SK"/>
              </w:rPr>
              <w:t> </w:t>
            </w:r>
            <w:r w:rsidRPr="00C96D96">
              <w:rPr>
                <w:rFonts w:ascii="Times New Roman" w:hAnsi="Times New Roman" w:cs="Times New Roman"/>
                <w:szCs w:val="24"/>
                <w:lang w:val="sk-SK"/>
              </w:rPr>
              <w:t>391</w:t>
            </w:r>
            <w:r>
              <w:rPr>
                <w:rFonts w:ascii="Times New Roman" w:hAnsi="Times New Roman" w:cs="Times New Roman"/>
                <w:szCs w:val="24"/>
                <w:lang w:val="sk-SK"/>
              </w:rPr>
              <w:t xml:space="preserve"> 898   </w:t>
            </w:r>
            <w:r w:rsidRPr="00C96D96">
              <w:rPr>
                <w:rFonts w:ascii="Times New Roman" w:hAnsi="Times New Roman" w:cs="Times New Roman"/>
                <w:szCs w:val="24"/>
                <w:lang w:val="sk-SK"/>
              </w:rPr>
              <w:t xml:space="preserve"> </w:t>
            </w: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lang w:val="sk-SK"/>
              </w:rPr>
              <w:t xml:space="preserve">         1 186 288</w:t>
            </w:r>
          </w:p>
        </w:tc>
      </w:tr>
      <w:tr>
        <w:tblPrEx>
          <w:tblW w:w="9408" w:type="dxa"/>
          <w:tblInd w:w="43" w:type="dxa"/>
          <w:tblLayout w:type="fixed"/>
          <w:tblCellMar>
            <w:top w:w="0" w:type="dxa"/>
            <w:left w:w="43" w:type="dxa"/>
            <w:bottom w:w="0" w:type="dxa"/>
            <w:right w:w="43" w:type="dxa"/>
          </w:tblCellMar>
        </w:tblPrEx>
        <w:trPr>
          <w:cantSplit/>
          <w:trHeight w:val="270"/>
        </w:trPr>
        <w:tc>
          <w:tcPr>
            <w:tcW w:w="397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p>
        </w:tc>
        <w:tc>
          <w:tcPr>
            <w:tcW w:w="191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p>
        </w:tc>
      </w:tr>
      <w:tr>
        <w:tblPrEx>
          <w:tblW w:w="9408" w:type="dxa"/>
          <w:tblInd w:w="43" w:type="dxa"/>
          <w:tblLayout w:type="fixed"/>
          <w:tblCellMar>
            <w:top w:w="0" w:type="dxa"/>
            <w:left w:w="43" w:type="dxa"/>
            <w:bottom w:w="0" w:type="dxa"/>
            <w:right w:w="43" w:type="dxa"/>
          </w:tblCellMar>
        </w:tblPrEx>
        <w:trPr>
          <w:cantSplit/>
          <w:trHeight w:val="285"/>
        </w:trPr>
        <w:tc>
          <w:tcPr>
            <w:tcW w:w="397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r w:rsidRPr="00C96D96">
              <w:rPr>
                <w:rFonts w:ascii="Times New Roman" w:hAnsi="Times New Roman" w:cs="Times New Roman"/>
                <w:szCs w:val="24"/>
                <w:lang w:val="sk-SK"/>
              </w:rPr>
              <w:t>v tom:</w:t>
            </w:r>
          </w:p>
        </w:tc>
        <w:tc>
          <w:tcPr>
            <w:tcW w:w="191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p>
        </w:tc>
      </w:tr>
      <w:tr>
        <w:tblPrEx>
          <w:tblW w:w="9408" w:type="dxa"/>
          <w:tblInd w:w="43" w:type="dxa"/>
          <w:tblLayout w:type="fixed"/>
          <w:tblCellMar>
            <w:top w:w="0" w:type="dxa"/>
            <w:left w:w="43" w:type="dxa"/>
            <w:bottom w:w="0" w:type="dxa"/>
            <w:right w:w="43" w:type="dxa"/>
          </w:tblCellMar>
        </w:tblPrEx>
        <w:trPr>
          <w:cantSplit/>
          <w:trHeight w:val="285"/>
        </w:trPr>
        <w:tc>
          <w:tcPr>
            <w:tcW w:w="397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r w:rsidRPr="00C96D96">
              <w:rPr>
                <w:rFonts w:ascii="Times New Roman" w:hAnsi="Times New Roman" w:cs="Times New Roman"/>
                <w:szCs w:val="24"/>
                <w:lang w:val="sk-SK"/>
              </w:rPr>
              <w:t>- rezerva v</w:t>
            </w:r>
            <w:r w:rsidRPr="00C96D96">
              <w:rPr>
                <w:rFonts w:ascii="Times New Roman" w:hAnsi="Times New Roman" w:cs="Times New Roman"/>
                <w:szCs w:val="24"/>
                <w:lang w:val="sk-SK"/>
              </w:rPr>
              <w:t xml:space="preserve">lády SR </w:t>
            </w:r>
          </w:p>
        </w:tc>
        <w:tc>
          <w:tcPr>
            <w:tcW w:w="191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lang w:val="sk-SK"/>
              </w:rPr>
              <w:t xml:space="preserve"> 150 505 </w:t>
            </w: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lang w:val="sk-SK"/>
              </w:rPr>
              <w:t xml:space="preserve"> 72 935 </w:t>
            </w: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vertAlign w:val="superscript"/>
                <w:lang w:val="sk-SK"/>
              </w:rPr>
              <w:t>x/</w:t>
            </w:r>
            <w:r w:rsidRPr="00C96D96">
              <w:rPr>
                <w:rFonts w:ascii="Times New Roman" w:hAnsi="Times New Roman" w:cs="Times New Roman"/>
                <w:szCs w:val="24"/>
                <w:lang w:val="sk-SK"/>
              </w:rPr>
              <w:t>77 570</w:t>
            </w:r>
          </w:p>
        </w:tc>
      </w:tr>
      <w:tr>
        <w:tblPrEx>
          <w:tblW w:w="9408" w:type="dxa"/>
          <w:tblInd w:w="43" w:type="dxa"/>
          <w:tblLayout w:type="fixed"/>
          <w:tblCellMar>
            <w:top w:w="0" w:type="dxa"/>
            <w:left w:w="43" w:type="dxa"/>
            <w:bottom w:w="0" w:type="dxa"/>
            <w:right w:w="43" w:type="dxa"/>
          </w:tblCellMar>
        </w:tblPrEx>
        <w:trPr>
          <w:cantSplit/>
          <w:trHeight w:val="285"/>
        </w:trPr>
        <w:tc>
          <w:tcPr>
            <w:tcW w:w="397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p>
        </w:tc>
        <w:tc>
          <w:tcPr>
            <w:tcW w:w="191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p>
        </w:tc>
      </w:tr>
      <w:tr>
        <w:tblPrEx>
          <w:tblW w:w="9408" w:type="dxa"/>
          <w:tblInd w:w="43" w:type="dxa"/>
          <w:tblLayout w:type="fixed"/>
          <w:tblCellMar>
            <w:top w:w="0" w:type="dxa"/>
            <w:left w:w="43" w:type="dxa"/>
            <w:bottom w:w="0" w:type="dxa"/>
            <w:right w:w="43" w:type="dxa"/>
          </w:tblCellMar>
        </w:tblPrEx>
        <w:trPr>
          <w:cantSplit/>
          <w:trHeight w:val="285"/>
        </w:trPr>
        <w:tc>
          <w:tcPr>
            <w:tcW w:w="397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r w:rsidRPr="00C96D96">
              <w:rPr>
                <w:rFonts w:ascii="Times New Roman" w:hAnsi="Times New Roman" w:cs="Times New Roman"/>
                <w:szCs w:val="24"/>
                <w:lang w:val="sk-SK"/>
              </w:rPr>
              <w:t xml:space="preserve">- rezerva predsedu vlády SR </w:t>
            </w:r>
          </w:p>
        </w:tc>
        <w:tc>
          <w:tcPr>
            <w:tcW w:w="191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lang w:val="sk-SK"/>
              </w:rPr>
              <w:t xml:space="preserve"> 50 000</w:t>
            </w: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lang w:val="sk-SK"/>
              </w:rPr>
              <w:t>50 000</w:t>
            </w: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lang w:val="sk-SK"/>
              </w:rPr>
              <w:t xml:space="preserve">         45 917             </w:t>
            </w:r>
            <w:r w:rsidRPr="00C96D96">
              <w:rPr>
                <w:rFonts w:ascii="Times New Roman" w:hAnsi="Times New Roman" w:cs="Times New Roman"/>
                <w:szCs w:val="24"/>
                <w:vertAlign w:val="superscript"/>
                <w:lang w:val="sk-SK"/>
              </w:rPr>
              <w:t xml:space="preserve">     </w:t>
            </w:r>
          </w:p>
        </w:tc>
      </w:tr>
      <w:tr>
        <w:tblPrEx>
          <w:tblW w:w="9408" w:type="dxa"/>
          <w:tblInd w:w="43" w:type="dxa"/>
          <w:tblLayout w:type="fixed"/>
          <w:tblCellMar>
            <w:top w:w="0" w:type="dxa"/>
            <w:left w:w="43" w:type="dxa"/>
            <w:bottom w:w="0" w:type="dxa"/>
            <w:right w:w="43" w:type="dxa"/>
          </w:tblCellMar>
        </w:tblPrEx>
        <w:trPr>
          <w:cantSplit/>
          <w:trHeight w:val="285"/>
        </w:trPr>
        <w:tc>
          <w:tcPr>
            <w:tcW w:w="397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p>
        </w:tc>
        <w:tc>
          <w:tcPr>
            <w:tcW w:w="191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p>
        </w:tc>
      </w:tr>
      <w:tr>
        <w:tblPrEx>
          <w:tblW w:w="9408" w:type="dxa"/>
          <w:tblInd w:w="43" w:type="dxa"/>
          <w:tblLayout w:type="fixed"/>
          <w:tblCellMar>
            <w:top w:w="0" w:type="dxa"/>
            <w:left w:w="43" w:type="dxa"/>
            <w:bottom w:w="0" w:type="dxa"/>
            <w:right w:w="43" w:type="dxa"/>
          </w:tblCellMar>
        </w:tblPrEx>
        <w:trPr>
          <w:cantSplit/>
          <w:trHeight w:val="570"/>
        </w:trPr>
        <w:tc>
          <w:tcPr>
            <w:tcW w:w="397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r w:rsidRPr="00C96D96">
              <w:rPr>
                <w:rFonts w:ascii="Times New Roman" w:hAnsi="Times New Roman" w:cs="Times New Roman"/>
                <w:szCs w:val="24"/>
                <w:lang w:val="sk-SK"/>
              </w:rPr>
              <w:t>- rezerva na prostriedky Európskej únie</w:t>
            </w:r>
          </w:p>
        </w:tc>
        <w:tc>
          <w:tcPr>
            <w:tcW w:w="191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p>
        </w:tc>
      </w:tr>
      <w:tr>
        <w:tblPrEx>
          <w:tblW w:w="9408" w:type="dxa"/>
          <w:tblInd w:w="43" w:type="dxa"/>
          <w:tblLayout w:type="fixed"/>
          <w:tblCellMar>
            <w:top w:w="0" w:type="dxa"/>
            <w:left w:w="43" w:type="dxa"/>
            <w:bottom w:w="0" w:type="dxa"/>
            <w:right w:w="43" w:type="dxa"/>
          </w:tblCellMar>
        </w:tblPrEx>
        <w:trPr>
          <w:cantSplit/>
          <w:trHeight w:val="270"/>
        </w:trPr>
        <w:tc>
          <w:tcPr>
            <w:tcW w:w="397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r w:rsidRPr="00C96D96">
              <w:rPr>
                <w:rFonts w:ascii="Times New Roman" w:hAnsi="Times New Roman" w:cs="Times New Roman"/>
                <w:szCs w:val="24"/>
                <w:lang w:val="sk-SK"/>
              </w:rPr>
              <w:t xml:space="preserve">  a odvody Európskej únii</w:t>
            </w:r>
          </w:p>
        </w:tc>
        <w:tc>
          <w:tcPr>
            <w:tcW w:w="191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lang w:val="sk-SK"/>
              </w:rPr>
              <w:t>1 245 005</w:t>
            </w: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lang w:val="sk-SK"/>
              </w:rPr>
              <w:t>1 268 963</w:t>
            </w: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lang w:val="sk-SK"/>
              </w:rPr>
              <w:t>1 062 801</w:t>
            </w:r>
          </w:p>
        </w:tc>
      </w:tr>
      <w:tr>
        <w:tblPrEx>
          <w:tblW w:w="9408" w:type="dxa"/>
          <w:tblInd w:w="43" w:type="dxa"/>
          <w:tblLayout w:type="fixed"/>
          <w:tblCellMar>
            <w:top w:w="0" w:type="dxa"/>
            <w:left w:w="43" w:type="dxa"/>
            <w:bottom w:w="0" w:type="dxa"/>
            <w:right w:w="43" w:type="dxa"/>
          </w:tblCellMar>
        </w:tblPrEx>
        <w:trPr>
          <w:cantSplit/>
          <w:trHeight w:val="285"/>
        </w:trPr>
        <w:tc>
          <w:tcPr>
            <w:tcW w:w="397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r w:rsidRPr="00C96D96">
              <w:rPr>
                <w:rFonts w:ascii="Times New Roman" w:hAnsi="Times New Roman" w:cs="Times New Roman"/>
                <w:szCs w:val="24"/>
                <w:lang w:val="sk-SK"/>
              </w:rPr>
              <w:t xml:space="preserve">  v tom:</w:t>
            </w:r>
          </w:p>
        </w:tc>
        <w:tc>
          <w:tcPr>
            <w:tcW w:w="191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r>
      <w:tr>
        <w:tblPrEx>
          <w:tblW w:w="9408" w:type="dxa"/>
          <w:tblInd w:w="43" w:type="dxa"/>
          <w:tblLayout w:type="fixed"/>
          <w:tblCellMar>
            <w:top w:w="0" w:type="dxa"/>
            <w:left w:w="43" w:type="dxa"/>
            <w:bottom w:w="0" w:type="dxa"/>
            <w:right w:w="43" w:type="dxa"/>
          </w:tblCellMar>
        </w:tblPrEx>
        <w:trPr>
          <w:cantSplit/>
          <w:trHeight w:val="285"/>
        </w:trPr>
        <w:tc>
          <w:tcPr>
            <w:tcW w:w="397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r w:rsidRPr="00C96D96">
              <w:rPr>
                <w:rFonts w:ascii="Times New Roman" w:hAnsi="Times New Roman" w:cs="Times New Roman"/>
                <w:szCs w:val="24"/>
                <w:lang w:val="sk-SK"/>
              </w:rPr>
              <w:t xml:space="preserve">  - kód zdroja 11</w:t>
            </w:r>
          </w:p>
        </w:tc>
        <w:tc>
          <w:tcPr>
            <w:tcW w:w="191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lang w:val="sk-SK"/>
              </w:rPr>
              <w:t>1 245 005</w:t>
            </w: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lang w:val="sk-SK"/>
              </w:rPr>
              <w:t>659 992</w:t>
            </w: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lang w:val="sk-SK"/>
              </w:rPr>
              <w:t>653 957</w:t>
            </w:r>
          </w:p>
        </w:tc>
      </w:tr>
      <w:tr>
        <w:tblPrEx>
          <w:tblW w:w="9408" w:type="dxa"/>
          <w:tblInd w:w="43" w:type="dxa"/>
          <w:tblLayout w:type="fixed"/>
          <w:tblCellMar>
            <w:top w:w="0" w:type="dxa"/>
            <w:left w:w="43" w:type="dxa"/>
            <w:bottom w:w="0" w:type="dxa"/>
            <w:right w:w="43" w:type="dxa"/>
          </w:tblCellMar>
        </w:tblPrEx>
        <w:trPr>
          <w:cantSplit/>
          <w:trHeight w:val="285"/>
        </w:trPr>
        <w:tc>
          <w:tcPr>
            <w:tcW w:w="397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r w:rsidRPr="00C96D96">
              <w:rPr>
                <w:rFonts w:ascii="Times New Roman" w:hAnsi="Times New Roman" w:cs="Times New Roman"/>
                <w:szCs w:val="24"/>
                <w:lang w:val="sk-SK"/>
              </w:rPr>
              <w:t xml:space="preserve">  - kód zdroja 13</w:t>
            </w:r>
          </w:p>
        </w:tc>
        <w:tc>
          <w:tcPr>
            <w:tcW w:w="1910"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lang w:val="sk-SK"/>
              </w:rPr>
              <w:t>0</w:t>
            </w: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lang w:val="sk-SK"/>
              </w:rPr>
              <w:t>608 971</w:t>
            </w:r>
          </w:p>
        </w:tc>
        <w:tc>
          <w:tcPr>
            <w:tcW w:w="1764" w:type="dxa"/>
            <w:tcBorders>
              <w:top w:val="nil"/>
              <w:left w:val="nil"/>
              <w:bottom w:val="nil"/>
              <w:right w:val="nil"/>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lang w:val="sk-SK"/>
              </w:rPr>
              <w:t>408 844</w:t>
            </w:r>
          </w:p>
        </w:tc>
      </w:tr>
    </w:tbl>
    <w:p w:rsidR="00E77B8A"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color w:val="000000"/>
          <w:sz w:val="20"/>
          <w:szCs w:val="20"/>
        </w:rPr>
      </w:pPr>
    </w:p>
    <w:p w:rsidR="00E77B8A" w:rsidP="00E77B8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color w:val="000000"/>
          <w:sz w:val="20"/>
          <w:szCs w:val="20"/>
        </w:rPr>
      </w:pPr>
    </w:p>
    <w:p w:rsidR="00E77B8A" w:rsidRPr="00E77B8A" w:rsidP="00E77B8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color w:val="000000"/>
          <w:sz w:val="20"/>
          <w:szCs w:val="20"/>
        </w:rPr>
      </w:pPr>
      <w:r w:rsidRPr="00E77B8A" w:rsidR="00976CDF">
        <w:rPr>
          <w:rFonts w:ascii="Times New Roman" w:hAnsi="Times New Roman" w:cs="Times New Roman"/>
          <w:color w:val="000000"/>
          <w:sz w:val="20"/>
          <w:szCs w:val="20"/>
        </w:rPr>
        <w:t>Zdroj údajov: MF SR</w:t>
      </w:r>
    </w:p>
    <w:p w:rsidR="00976CDF" w:rsidRPr="00E77B8A" w:rsidP="00E77B8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color w:val="000000"/>
          <w:sz w:val="20"/>
          <w:szCs w:val="20"/>
        </w:rPr>
      </w:pPr>
      <w:r w:rsidRPr="00E77B8A">
        <w:rPr>
          <w:rFonts w:ascii="Times New Roman" w:hAnsi="Times New Roman" w:cs="Times New Roman"/>
          <w:sz w:val="20"/>
          <w:szCs w:val="20"/>
        </w:rPr>
        <w:t>_____________________________</w:t>
      </w:r>
      <w:r w:rsidRPr="0031788E">
        <w:rPr>
          <w:rFonts w:ascii="Times New Roman" w:hAnsi="Times New Roman" w:cs="Times New Roman"/>
          <w:u w:val="single"/>
        </w:rPr>
        <w:t xml:space="preserve">      </w:t>
      </w:r>
      <w:r w:rsidRPr="0031788E">
        <w:rPr>
          <w:rFonts w:ascii="Times New Roman" w:hAnsi="Times New Roman" w:cs="Times New Roman"/>
        </w:rPr>
        <w:t xml:space="preserve"> </w:t>
      </w:r>
    </w:p>
    <w:p w:rsidR="00976CDF" w:rsidRPr="0031788E" w:rsidP="00976CD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 w:val="20"/>
          <w:lang w:val="sk-SK"/>
        </w:rPr>
      </w:pPr>
      <w:r w:rsidRPr="0031788E">
        <w:rPr>
          <w:rFonts w:ascii="Times New Roman" w:hAnsi="Times New Roman" w:cs="Times New Roman"/>
          <w:position w:val="6"/>
          <w:sz w:val="20"/>
          <w:lang w:val="sk-SK"/>
        </w:rPr>
        <w:t xml:space="preserve">x/  </w:t>
      </w:r>
      <w:r w:rsidRPr="0031788E">
        <w:rPr>
          <w:rFonts w:ascii="Times New Roman" w:hAnsi="Times New Roman" w:cs="Times New Roman"/>
          <w:sz w:val="20"/>
          <w:lang w:val="sk-SK"/>
        </w:rPr>
        <w:t>r</w:t>
      </w:r>
      <w:r w:rsidRPr="0031788E">
        <w:rPr>
          <w:rFonts w:ascii="Times New Roman" w:hAnsi="Times New Roman" w:cs="Times New Roman"/>
          <w:sz w:val="20"/>
          <w:lang w:val="sk-SK"/>
        </w:rPr>
        <w:t>iešené rozpočtovými opatreniami</w:t>
      </w:r>
    </w:p>
    <w:p w:rsidR="00976CDF" w:rsidP="00976CD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Narrow" w:hAnsi="Arial Narrow" w:cs="Times New Roman"/>
          <w:szCs w:val="24"/>
          <w:lang w:val="sk-SK"/>
        </w:rPr>
      </w:pPr>
    </w:p>
    <w:p w:rsidR="002F3286" w:rsidP="00976CD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Narrow" w:hAnsi="Arial Narrow" w:cs="Times New Roman"/>
          <w:szCs w:val="24"/>
          <w:lang w:val="sk-SK"/>
        </w:rPr>
      </w:pPr>
    </w:p>
    <w:p w:rsidR="00976CDF" w:rsidRPr="004618B7" w:rsidP="00976CD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Narrow" w:hAnsi="Arial Narrow" w:cs="Times New Roman"/>
          <w:szCs w:val="24"/>
          <w:lang w:val="sk-SK"/>
        </w:rPr>
      </w:pPr>
      <w:r w:rsidRPr="004618B7">
        <w:rPr>
          <w:rFonts w:ascii="Arial Narrow" w:hAnsi="Arial Narrow" w:cs="Times New Roman"/>
          <w:szCs w:val="24"/>
          <w:lang w:val="sk-SK"/>
        </w:rPr>
        <w:t xml:space="preserve">  </w:t>
      </w:r>
    </w:p>
    <w:p w:rsidR="00976CDF" w:rsidRPr="002E07F2" w:rsidP="00976CD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center"/>
        <w:rPr>
          <w:rFonts w:ascii="Times New Roman" w:hAnsi="Times New Roman" w:cs="Times New Roman"/>
          <w:b/>
          <w:szCs w:val="24"/>
          <w:lang w:val="sk-SK"/>
        </w:rPr>
      </w:pPr>
      <w:r w:rsidR="00766559">
        <w:rPr>
          <w:rFonts w:ascii="Times New Roman" w:hAnsi="Times New Roman" w:cs="Times New Roman"/>
          <w:b/>
          <w:szCs w:val="28"/>
          <w:lang w:val="sk-SK"/>
        </w:rPr>
        <w:t>3</w:t>
      </w:r>
      <w:r w:rsidRPr="002E07F2">
        <w:rPr>
          <w:rFonts w:ascii="Times New Roman" w:hAnsi="Times New Roman" w:cs="Times New Roman"/>
          <w:b/>
          <w:szCs w:val="28"/>
          <w:lang w:val="sk-SK"/>
        </w:rPr>
        <w:t>.1. Rezerva vlády SR</w:t>
      </w:r>
    </w:p>
    <w:p w:rsidR="00976CDF" w:rsidRPr="00C96D96"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Times New Roman" w:hAnsi="Times New Roman" w:cs="Times New Roman"/>
          <w:color w:val="000000"/>
        </w:rPr>
      </w:pPr>
    </w:p>
    <w:p w:rsidR="00976CDF" w:rsidRPr="00C96D96"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Times New Roman" w:hAnsi="Times New Roman" w:cs="Times New Roman"/>
          <w:color w:val="000000"/>
        </w:rPr>
      </w:pPr>
      <w:r w:rsidRPr="00C96D96">
        <w:rPr>
          <w:rFonts w:ascii="Times New Roman" w:hAnsi="Times New Roman" w:cs="Times New Roman"/>
          <w:color w:val="000000"/>
        </w:rPr>
        <w:tab/>
        <w:t>Na krytie nepredvídaných a mimoriadnych potrieb súvisiacich so zabezpečením plnenia vnútorných a zahraničných úloh Slovenskej republiky je rozpočtovaná rezerva vlády v súlade so  zákonom č. 523/2004 Z. z. o rozpočtových pravidlách verejnej správy a o zmene a doplnení niektorých zákonov v znení neskorších predpisov. O použití prostriedkov z rezervy vlády schválenej zákonom o štátnom rozpočte na príslušný rozpočtový rok v súlade s § 10 ods. 3 citova</w:t>
      </w:r>
      <w:r w:rsidRPr="00C96D96">
        <w:rPr>
          <w:rFonts w:ascii="Times New Roman" w:hAnsi="Times New Roman" w:cs="Times New Roman"/>
          <w:color w:val="000000"/>
        </w:rPr>
        <w:t xml:space="preserve">ného zákona rozhoduje vláda na návrh ministra financií. </w:t>
      </w:r>
    </w:p>
    <w:p w:rsidR="00976CDF" w:rsidRPr="004618B7"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Narrow" w:hAnsi="Arial Narrow" w:cs="Times New Roman"/>
          <w:color w:val="000000"/>
        </w:rPr>
      </w:pPr>
    </w:p>
    <w:p w:rsidR="00976CDF" w:rsidRPr="00C96D96" w:rsidP="00976CD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szCs w:val="24"/>
          <w:lang w:val="sk-SK"/>
        </w:rPr>
      </w:pPr>
      <w:r w:rsidRPr="004618B7">
        <w:rPr>
          <w:rFonts w:ascii="Arial Narrow" w:hAnsi="Arial Narrow" w:cs="Times New Roman"/>
          <w:szCs w:val="24"/>
          <w:lang w:val="sk-SK"/>
        </w:rPr>
        <w:tab/>
      </w:r>
      <w:r w:rsidRPr="00C96D96">
        <w:rPr>
          <w:rFonts w:ascii="Times New Roman" w:hAnsi="Times New Roman" w:cs="Times New Roman"/>
          <w:szCs w:val="24"/>
          <w:lang w:val="sk-SK"/>
        </w:rPr>
        <w:t xml:space="preserve">Rezerva vlády SR na rok 2006 </w:t>
      </w:r>
      <w:r>
        <w:rPr>
          <w:rFonts w:ascii="Times New Roman" w:hAnsi="Times New Roman" w:cs="Times New Roman"/>
          <w:szCs w:val="24"/>
          <w:lang w:val="sk-SK"/>
        </w:rPr>
        <w:t xml:space="preserve">bola </w:t>
      </w:r>
      <w:r w:rsidRPr="00C96D96">
        <w:rPr>
          <w:rFonts w:ascii="Times New Roman" w:hAnsi="Times New Roman" w:cs="Times New Roman"/>
          <w:szCs w:val="24"/>
          <w:lang w:val="sk-SK"/>
        </w:rPr>
        <w:t xml:space="preserve">rozpočtovaná sumou 150,5 mil. Sk. </w:t>
      </w:r>
    </w:p>
    <w:p w:rsidR="00976CDF" w:rsidRPr="00C96D96"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color w:val="000000"/>
        </w:rPr>
      </w:pPr>
    </w:p>
    <w:p w:rsidR="00976CDF" w:rsidRPr="00C96D96" w:rsidP="00976CD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szCs w:val="24"/>
          <w:lang w:val="sk-SK"/>
        </w:rPr>
      </w:pPr>
      <w:r w:rsidRPr="00C96D96">
        <w:rPr>
          <w:rFonts w:ascii="Times New Roman" w:hAnsi="Times New Roman" w:cs="Times New Roman"/>
          <w:szCs w:val="24"/>
          <w:lang w:val="sk-SK"/>
        </w:rPr>
        <w:tab/>
        <w:t>Z rezervy vlády SR sa v roku 2006 poskytlo, resp. vláda SR rozhodla o použití prostriedkov  (v tis. Sk):</w:t>
      </w:r>
    </w:p>
    <w:p w:rsidR="00976CDF" w:rsidP="00976CD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szCs w:val="24"/>
          <w:lang w:val="sk-SK"/>
        </w:rPr>
      </w:pPr>
    </w:p>
    <w:p w:rsidR="005E6D32" w:rsidP="00976CD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szCs w:val="24"/>
          <w:lang w:val="sk-SK"/>
        </w:rPr>
      </w:pPr>
    </w:p>
    <w:p w:rsidR="005E6D32" w:rsidP="00976CD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szCs w:val="24"/>
          <w:lang w:val="sk-SK"/>
        </w:rPr>
      </w:pPr>
    </w:p>
    <w:p w:rsidR="005E6D32" w:rsidRPr="00C96D96" w:rsidP="00976CD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szCs w:val="24"/>
          <w:lang w:val="sk-SK"/>
        </w:rPr>
      </w:pPr>
    </w:p>
    <w:p w:rsidR="00976CDF" w:rsidRPr="004618B7" w:rsidP="00976CD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cs="Times New Roman"/>
          <w:szCs w:val="24"/>
          <w:lang w:val="sk-SK"/>
        </w:rPr>
      </w:pPr>
    </w:p>
    <w:tbl>
      <w:tblPr>
        <w:tblW w:w="0" w:type="auto"/>
        <w:tblInd w:w="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70" w:type="dxa"/>
          <w:bottom w:w="0" w:type="dxa"/>
          <w:right w:w="70" w:type="dxa"/>
        </w:tblCellMar>
      </w:tblPr>
      <w:tblGrid>
        <w:gridCol w:w="5937"/>
        <w:gridCol w:w="17"/>
        <w:gridCol w:w="1417"/>
        <w:gridCol w:w="1701"/>
        <w:gridCol w:w="25"/>
      </w:tblGrid>
      <w:tr>
        <w:tblPrEx>
          <w:tblW w:w="0" w:type="auto"/>
          <w:tblInd w:w="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70" w:type="dxa"/>
            <w:bottom w:w="0" w:type="dxa"/>
            <w:right w:w="70" w:type="dxa"/>
          </w:tblCellMar>
        </w:tblPrEx>
        <w:trPr>
          <w:gridBefore w:val="2"/>
          <w:wBefore w:w="5954" w:type="dxa"/>
          <w:trHeight w:hRule="auto" w:val="0"/>
        </w:trPr>
        <w:tc>
          <w:tcPr>
            <w:tcW w:w="1417" w:type="dxa"/>
            <w:tcBorders>
              <w:top w:val="single" w:sz="4" w:space="0" w:color="auto"/>
              <w:left w:val="single" w:sz="4" w:space="0" w:color="auto"/>
              <w:bottom w:val="nil"/>
              <w:right w:val="single" w:sz="4" w:space="0" w:color="auto"/>
              <w:tl2br w:val="nil"/>
              <w:tr2bl w:val="nil"/>
            </w:tcBorders>
            <w:textDirection w:val="lrTb"/>
            <w:vAlign w:val="top"/>
          </w:tcPr>
          <w:p w:rsidR="00976CDF" w:rsidRPr="00E77B8A" w:rsidP="00976CDF">
            <w:pPr>
              <w:pStyle w:val="Heading1"/>
              <w:rPr>
                <w:rFonts w:ascii="Times New Roman" w:hAnsi="Times New Roman" w:cs="Times New Roman"/>
                <w:b w:val="0"/>
                <w:color w:val="000000"/>
              </w:rPr>
            </w:pPr>
            <w:r w:rsidRPr="00E77B8A">
              <w:rPr>
                <w:rFonts w:ascii="Times New Roman" w:hAnsi="Times New Roman" w:cs="Times New Roman"/>
                <w:b w:val="0"/>
              </w:rPr>
              <w:t>Prostriedky</w:t>
            </w:r>
          </w:p>
        </w:tc>
        <w:tc>
          <w:tcPr>
            <w:tcW w:w="1726" w:type="dxa"/>
            <w:gridSpan w:val="2"/>
            <w:tcBorders>
              <w:top w:val="single" w:sz="4" w:space="0" w:color="auto"/>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r w:rsidRPr="00C96D96">
              <w:rPr>
                <w:rFonts w:ascii="Times New Roman" w:hAnsi="Times New Roman" w:cs="Times New Roman"/>
                <w:szCs w:val="24"/>
                <w:lang w:val="sk-SK"/>
              </w:rPr>
              <w:t>z  t</w:t>
            </w:r>
            <w:r w:rsidRPr="00C96D96">
              <w:rPr>
                <w:rFonts w:ascii="Times New Roman" w:hAnsi="Times New Roman" w:cs="Times New Roman"/>
                <w:szCs w:val="24"/>
                <w:lang w:val="sk-SK"/>
              </w:rPr>
              <w:t>oho:</w:t>
            </w:r>
          </w:p>
        </w:tc>
      </w:tr>
      <w:tr>
        <w:tblPrEx>
          <w:tblW w:w="0" w:type="auto"/>
          <w:tblInd w:w="70" w:type="dxa"/>
          <w:tblCellMar>
            <w:top w:w="0" w:type="dxa"/>
            <w:left w:w="70" w:type="dxa"/>
            <w:bottom w:w="0" w:type="dxa"/>
            <w:right w:w="70" w:type="dxa"/>
          </w:tblCellMar>
        </w:tblPrEx>
        <w:trPr>
          <w:gridBefore w:val="2"/>
          <w:wBefore w:w="5954" w:type="dxa"/>
          <w:trHeight w:hRule="auto" w:val="0"/>
        </w:trPr>
        <w:tc>
          <w:tcPr>
            <w:tcW w:w="1417" w:type="dxa"/>
            <w:tcBorders>
              <w:top w:val="nil"/>
              <w:left w:val="single" w:sz="4" w:space="0" w:color="auto"/>
              <w:bottom w:val="nil"/>
              <w:right w:val="single" w:sz="4" w:space="0" w:color="auto"/>
              <w:tl2br w:val="nil"/>
              <w:tr2bl w:val="nil"/>
            </w:tcBorders>
            <w:textDirection w:val="lrTb"/>
            <w:vAlign w:val="top"/>
          </w:tcPr>
          <w:p w:rsidR="00976CDF" w:rsidRPr="00C96D96"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color w:val="000000"/>
              </w:rPr>
            </w:pPr>
            <w:r w:rsidRPr="00C96D96">
              <w:rPr>
                <w:rFonts w:ascii="Times New Roman" w:hAnsi="Times New Roman" w:cs="Times New Roman"/>
              </w:rPr>
              <w:t>schválené</w:t>
            </w:r>
          </w:p>
        </w:tc>
        <w:tc>
          <w:tcPr>
            <w:tcW w:w="1726"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lang w:val="sk-SK"/>
              </w:rPr>
            </w:pPr>
            <w:r w:rsidRPr="00C96D96">
              <w:rPr>
                <w:rFonts w:ascii="Times New Roman" w:hAnsi="Times New Roman" w:cs="Times New Roman"/>
                <w:lang w:val="sk-SK"/>
              </w:rPr>
              <w:t>finančné</w:t>
            </w:r>
          </w:p>
        </w:tc>
      </w:tr>
      <w:tr>
        <w:tblPrEx>
          <w:tblW w:w="0" w:type="auto"/>
          <w:tblInd w:w="70" w:type="dxa"/>
          <w:tblCellMar>
            <w:top w:w="0" w:type="dxa"/>
            <w:left w:w="70" w:type="dxa"/>
            <w:bottom w:w="0" w:type="dxa"/>
            <w:right w:w="70" w:type="dxa"/>
          </w:tblCellMar>
        </w:tblPrEx>
        <w:trPr>
          <w:gridBefore w:val="2"/>
          <w:wBefore w:w="5954" w:type="dxa"/>
          <w:trHeight w:hRule="auto" w:val="0"/>
        </w:trPr>
        <w:tc>
          <w:tcPr>
            <w:tcW w:w="1417" w:type="dxa"/>
            <w:tcBorders>
              <w:top w:val="nil"/>
              <w:left w:val="single" w:sz="4" w:space="0" w:color="auto"/>
              <w:bottom w:val="nil"/>
              <w:right w:val="single" w:sz="4" w:space="0" w:color="auto"/>
              <w:tl2br w:val="nil"/>
              <w:tr2bl w:val="nil"/>
            </w:tcBorders>
            <w:textDirection w:val="lrTb"/>
            <w:vAlign w:val="top"/>
          </w:tcPr>
          <w:p w:rsidR="00976CDF" w:rsidRPr="00C96D96"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color w:val="000000"/>
              </w:rPr>
            </w:pPr>
            <w:r w:rsidRPr="00C96D96">
              <w:rPr>
                <w:rFonts w:ascii="Times New Roman" w:hAnsi="Times New Roman" w:cs="Times New Roman"/>
              </w:rPr>
              <w:t>uznesením</w:t>
            </w:r>
          </w:p>
        </w:tc>
        <w:tc>
          <w:tcPr>
            <w:tcW w:w="1726"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color w:val="000000"/>
              </w:rPr>
            </w:pPr>
            <w:r w:rsidRPr="00C96D96">
              <w:rPr>
                <w:rFonts w:ascii="Times New Roman" w:hAnsi="Times New Roman" w:cs="Times New Roman"/>
              </w:rPr>
              <w:t>prostriedky</w:t>
            </w:r>
          </w:p>
        </w:tc>
      </w:tr>
      <w:tr>
        <w:tblPrEx>
          <w:tblW w:w="0" w:type="auto"/>
          <w:tblInd w:w="70" w:type="dxa"/>
          <w:tblCellMar>
            <w:top w:w="0" w:type="dxa"/>
            <w:left w:w="70" w:type="dxa"/>
            <w:bottom w:w="0" w:type="dxa"/>
            <w:right w:w="70" w:type="dxa"/>
          </w:tblCellMar>
        </w:tblPrEx>
        <w:trPr>
          <w:gridBefore w:val="2"/>
          <w:wBefore w:w="5954" w:type="dxa"/>
          <w:trHeight w:hRule="auto" w:val="0"/>
        </w:trPr>
        <w:tc>
          <w:tcPr>
            <w:tcW w:w="1417" w:type="dxa"/>
            <w:tcBorders>
              <w:top w:val="nil"/>
              <w:left w:val="single" w:sz="4" w:space="0" w:color="auto"/>
              <w:bottom w:val="nil"/>
              <w:right w:val="single" w:sz="4" w:space="0" w:color="auto"/>
              <w:tl2br w:val="nil"/>
              <w:tr2bl w:val="nil"/>
            </w:tcBorders>
            <w:textDirection w:val="lrTb"/>
            <w:vAlign w:val="top"/>
          </w:tcPr>
          <w:p w:rsidR="00976CDF" w:rsidRPr="00C96D96"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color w:val="000000"/>
              </w:rPr>
            </w:pPr>
            <w:r w:rsidRPr="00C96D96">
              <w:rPr>
                <w:rFonts w:ascii="Times New Roman" w:hAnsi="Times New Roman" w:cs="Times New Roman"/>
              </w:rPr>
              <w:t>vlády</w:t>
            </w:r>
          </w:p>
        </w:tc>
        <w:tc>
          <w:tcPr>
            <w:tcW w:w="1726"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color w:val="000000"/>
              </w:rPr>
            </w:pPr>
            <w:r w:rsidRPr="00C96D96">
              <w:rPr>
                <w:rFonts w:ascii="Times New Roman" w:hAnsi="Times New Roman" w:cs="Times New Roman"/>
              </w:rPr>
              <w:t>uvoľnené</w:t>
            </w:r>
          </w:p>
        </w:tc>
      </w:tr>
      <w:tr>
        <w:tblPrEx>
          <w:tblW w:w="0" w:type="auto"/>
          <w:tblInd w:w="70" w:type="dxa"/>
          <w:tblCellMar>
            <w:top w:w="0" w:type="dxa"/>
            <w:left w:w="70" w:type="dxa"/>
            <w:bottom w:w="0" w:type="dxa"/>
            <w:right w:w="70" w:type="dxa"/>
          </w:tblCellMar>
        </w:tblPrEx>
        <w:trPr>
          <w:gridBefore w:val="2"/>
          <w:wBefore w:w="5954" w:type="dxa"/>
          <w:trHeight w:hRule="auto" w:val="0"/>
        </w:trPr>
        <w:tc>
          <w:tcPr>
            <w:tcW w:w="1417" w:type="dxa"/>
            <w:tcBorders>
              <w:top w:val="nil"/>
              <w:left w:val="single" w:sz="4" w:space="0" w:color="auto"/>
              <w:bottom w:val="nil"/>
              <w:right w:val="single" w:sz="4" w:space="0" w:color="auto"/>
              <w:tl2br w:val="nil"/>
              <w:tr2bl w:val="nil"/>
            </w:tcBorders>
            <w:textDirection w:val="lrTb"/>
            <w:vAlign w:val="top"/>
          </w:tcPr>
          <w:p w:rsidR="00976CDF" w:rsidRPr="00C96D96"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color w:val="000000"/>
              </w:rPr>
            </w:pPr>
          </w:p>
        </w:tc>
        <w:tc>
          <w:tcPr>
            <w:tcW w:w="1726"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color w:val="000000"/>
              </w:rPr>
            </w:pPr>
            <w:r w:rsidRPr="00C96D96">
              <w:rPr>
                <w:rFonts w:ascii="Times New Roman" w:hAnsi="Times New Roman" w:cs="Times New Roman"/>
              </w:rPr>
              <w:t>z rezervy vlády</w:t>
            </w:r>
          </w:p>
        </w:tc>
      </w:tr>
      <w:tr>
        <w:tblPrEx>
          <w:tblW w:w="0" w:type="auto"/>
          <w:tblInd w:w="70" w:type="dxa"/>
          <w:tblCellMar>
            <w:top w:w="0" w:type="dxa"/>
            <w:left w:w="70" w:type="dxa"/>
            <w:bottom w:w="0" w:type="dxa"/>
            <w:right w:w="70" w:type="dxa"/>
          </w:tblCellMar>
        </w:tblPrEx>
        <w:trPr>
          <w:gridBefore w:val="2"/>
          <w:wBefore w:w="5954" w:type="dxa"/>
          <w:trHeight w:hRule="auto" w:val="0"/>
        </w:trPr>
        <w:tc>
          <w:tcPr>
            <w:tcW w:w="1417" w:type="dxa"/>
            <w:tcBorders>
              <w:top w:val="nil"/>
              <w:left w:val="single" w:sz="4" w:space="0" w:color="auto"/>
              <w:bottom w:val="nil"/>
              <w:right w:val="single" w:sz="4" w:space="0" w:color="auto"/>
              <w:tl2br w:val="nil"/>
              <w:tr2bl w:val="nil"/>
            </w:tcBorders>
            <w:textDirection w:val="lrTb"/>
            <w:vAlign w:val="top"/>
          </w:tcPr>
          <w:p w:rsidR="00976CDF" w:rsidRPr="00C96D96"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color w:val="000000"/>
              </w:rPr>
            </w:pPr>
          </w:p>
        </w:tc>
        <w:tc>
          <w:tcPr>
            <w:tcW w:w="1726"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color w:val="000000"/>
              </w:rPr>
            </w:pPr>
            <w:r w:rsidRPr="00C96D96">
              <w:rPr>
                <w:rFonts w:ascii="Times New Roman" w:hAnsi="Times New Roman" w:cs="Times New Roman"/>
              </w:rPr>
              <w:t>rozpočtovými</w:t>
            </w:r>
          </w:p>
        </w:tc>
      </w:tr>
      <w:tr>
        <w:tblPrEx>
          <w:tblW w:w="0" w:type="auto"/>
          <w:tblInd w:w="70" w:type="dxa"/>
          <w:tblCellMar>
            <w:top w:w="0" w:type="dxa"/>
            <w:left w:w="70" w:type="dxa"/>
            <w:bottom w:w="0" w:type="dxa"/>
            <w:right w:w="70" w:type="dxa"/>
          </w:tblCellMar>
        </w:tblPrEx>
        <w:trPr>
          <w:gridBefore w:val="2"/>
          <w:wBefore w:w="5954" w:type="dxa"/>
          <w:trHeight w:hRule="auto" w:val="0"/>
        </w:trPr>
        <w:tc>
          <w:tcPr>
            <w:tcW w:w="1417" w:type="dxa"/>
            <w:tcBorders>
              <w:top w:val="nil"/>
              <w:left w:val="single" w:sz="4" w:space="0" w:color="auto"/>
              <w:bottom w:val="nil"/>
              <w:right w:val="single" w:sz="4" w:space="0" w:color="auto"/>
              <w:tl2br w:val="nil"/>
              <w:tr2bl w:val="nil"/>
            </w:tcBorders>
            <w:textDirection w:val="lrTb"/>
            <w:vAlign w:val="top"/>
          </w:tcPr>
          <w:p w:rsidR="00976CDF" w:rsidRPr="00C96D96"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color w:val="000000"/>
              </w:rPr>
            </w:pPr>
          </w:p>
        </w:tc>
        <w:tc>
          <w:tcPr>
            <w:tcW w:w="1726"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lang w:val="sk-SK"/>
              </w:rPr>
            </w:pPr>
            <w:r w:rsidRPr="00C96D96">
              <w:rPr>
                <w:rFonts w:ascii="Times New Roman" w:hAnsi="Times New Roman" w:cs="Times New Roman"/>
                <w:lang w:val="sk-SK"/>
              </w:rPr>
              <w:t>opatreniami a</w:t>
            </w:r>
          </w:p>
        </w:tc>
      </w:tr>
      <w:tr>
        <w:tblPrEx>
          <w:tblW w:w="0" w:type="auto"/>
          <w:tblInd w:w="70" w:type="dxa"/>
          <w:tblCellMar>
            <w:top w:w="0" w:type="dxa"/>
            <w:left w:w="70" w:type="dxa"/>
            <w:bottom w:w="0" w:type="dxa"/>
            <w:right w:w="70" w:type="dxa"/>
          </w:tblCellMar>
        </w:tblPrEx>
        <w:trPr>
          <w:gridBefore w:val="2"/>
          <w:wBefore w:w="5954" w:type="dxa"/>
          <w:trHeight w:hRule="auto" w:val="0"/>
        </w:trPr>
        <w:tc>
          <w:tcPr>
            <w:tcW w:w="1417" w:type="dxa"/>
            <w:tcBorders>
              <w:top w:val="nil"/>
              <w:left w:val="single" w:sz="4" w:space="0" w:color="auto"/>
              <w:bottom w:val="nil"/>
              <w:right w:val="single" w:sz="4" w:space="0" w:color="auto"/>
              <w:tl2br w:val="nil"/>
              <w:tr2bl w:val="nil"/>
            </w:tcBorders>
            <w:textDirection w:val="lrTb"/>
            <w:vAlign w:val="top"/>
          </w:tcPr>
          <w:p w:rsidR="00976CDF" w:rsidRPr="00C96D96"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color w:val="000000"/>
              </w:rPr>
            </w:pPr>
          </w:p>
        </w:tc>
        <w:tc>
          <w:tcPr>
            <w:tcW w:w="1726"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color w:val="000000"/>
              </w:rPr>
            </w:pPr>
            <w:r w:rsidRPr="00C96D96">
              <w:rPr>
                <w:rFonts w:ascii="Times New Roman" w:hAnsi="Times New Roman" w:cs="Times New Roman"/>
              </w:rPr>
              <w:t>platobnými</w:t>
            </w:r>
          </w:p>
        </w:tc>
      </w:tr>
      <w:tr>
        <w:tblPrEx>
          <w:tblW w:w="0" w:type="auto"/>
          <w:tblInd w:w="70" w:type="dxa"/>
          <w:tblCellMar>
            <w:top w:w="0" w:type="dxa"/>
            <w:left w:w="70" w:type="dxa"/>
            <w:bottom w:w="0" w:type="dxa"/>
            <w:right w:w="70" w:type="dxa"/>
          </w:tblCellMar>
        </w:tblPrEx>
        <w:trPr>
          <w:gridBefore w:val="2"/>
          <w:wBefore w:w="5954" w:type="dxa"/>
          <w:trHeight w:hRule="auto" w:val="0"/>
        </w:trPr>
        <w:tc>
          <w:tcPr>
            <w:tcW w:w="1417" w:type="dxa"/>
            <w:tcBorders>
              <w:top w:val="nil"/>
              <w:left w:val="single" w:sz="4" w:space="0" w:color="auto"/>
              <w:bottom w:val="single" w:sz="4" w:space="0" w:color="auto"/>
              <w:right w:val="single" w:sz="4" w:space="0" w:color="auto"/>
              <w:tl2br w:val="nil"/>
              <w:tr2bl w:val="nil"/>
            </w:tcBorders>
            <w:textDirection w:val="lrTb"/>
            <w:vAlign w:val="top"/>
          </w:tcPr>
          <w:p w:rsidR="00976CDF" w:rsidRPr="00C96D96"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color w:val="000000"/>
              </w:rPr>
            </w:pPr>
          </w:p>
        </w:tc>
        <w:tc>
          <w:tcPr>
            <w:tcW w:w="1726" w:type="dxa"/>
            <w:gridSpan w:val="2"/>
            <w:tcBorders>
              <w:top w:val="nil"/>
              <w:left w:val="single" w:sz="4" w:space="0" w:color="auto"/>
              <w:bottom w:val="single" w:sz="4" w:space="0" w:color="auto"/>
              <w:right w:val="single" w:sz="4" w:space="0" w:color="auto"/>
              <w:tl2br w:val="nil"/>
              <w:tr2bl w:val="nil"/>
            </w:tcBorders>
            <w:textDirection w:val="lrTb"/>
            <w:vAlign w:val="top"/>
          </w:tcPr>
          <w:p w:rsidR="00976CDF" w:rsidRPr="00C96D96"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color w:val="000000"/>
              </w:rPr>
            </w:pPr>
            <w:r w:rsidRPr="00C96D96">
              <w:rPr>
                <w:rFonts w:ascii="Times New Roman" w:hAnsi="Times New Roman" w:cs="Times New Roman"/>
              </w:rPr>
              <w:t>poukazmi</w:t>
            </w: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single" w:sz="4" w:space="0" w:color="auto"/>
              <w:left w:val="single" w:sz="4" w:space="0" w:color="auto"/>
              <w:bottom w:val="nil"/>
              <w:right w:val="single" w:sz="4" w:space="0" w:color="auto"/>
              <w:tl2br w:val="nil"/>
              <w:tr2bl w:val="nil"/>
            </w:tcBorders>
            <w:textDirection w:val="lrTb"/>
            <w:vAlign w:val="top"/>
          </w:tcPr>
          <w:p w:rsidR="00976CDF" w:rsidRPr="00C96D96" w:rsidP="00976CDF">
            <w:pPr>
              <w:pStyle w:val="Texttabulky"/>
              <w:rPr>
                <w:rFonts w:ascii="Times New Roman" w:hAnsi="Times New Roman" w:cs="Times New Roman"/>
                <w:lang w:val="sk-SK"/>
              </w:rPr>
            </w:pPr>
            <w:r w:rsidRPr="00C96D96">
              <w:rPr>
                <w:rFonts w:ascii="Times New Roman" w:hAnsi="Times New Roman" w:cs="Times New Roman"/>
                <w:lang w:val="sk-SK"/>
              </w:rPr>
              <w:t xml:space="preserve">1.  MO SR - na odškodnenie pozostalých po štátnom </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P="00976CDF">
            <w:pPr>
              <w:pStyle w:val="Texttabulky"/>
              <w:ind w:left="383" w:hanging="383"/>
              <w:rPr>
                <w:rFonts w:ascii="Times New Roman" w:hAnsi="Times New Roman" w:cs="Times New Roman"/>
                <w:lang w:val="sk-SK"/>
              </w:rPr>
            </w:pPr>
            <w:r w:rsidRPr="00C96D96">
              <w:rPr>
                <w:rFonts w:ascii="Times New Roman" w:hAnsi="Times New Roman" w:cs="Times New Roman"/>
                <w:lang w:val="sk-SK"/>
              </w:rPr>
              <w:t xml:space="preserve">     zamestnancovi, kto</w:t>
            </w:r>
            <w:r>
              <w:rPr>
                <w:rFonts w:ascii="Times New Roman" w:hAnsi="Times New Roman" w:cs="Times New Roman"/>
                <w:lang w:val="sk-SK"/>
              </w:rPr>
              <w:t>rý zahynul pri havárii lietadla</w:t>
            </w:r>
          </w:p>
          <w:p w:rsidR="00976CDF" w:rsidRPr="00C96D96" w:rsidP="00976CDF">
            <w:pPr>
              <w:pStyle w:val="Texttabulky"/>
              <w:ind w:left="241"/>
              <w:rPr>
                <w:rFonts w:ascii="Times New Roman" w:hAnsi="Times New Roman" w:cs="Times New Roman"/>
                <w:lang w:val="sk-SK"/>
              </w:rPr>
            </w:pPr>
            <w:r>
              <w:rPr>
                <w:rFonts w:ascii="Times New Roman" w:hAnsi="Times New Roman" w:cs="Times New Roman"/>
                <w:lang w:val="sk-SK"/>
              </w:rPr>
              <w:t xml:space="preserve"> </w:t>
            </w:r>
            <w:r w:rsidRPr="00C96D96">
              <w:rPr>
                <w:rFonts w:ascii="Times New Roman" w:hAnsi="Times New Roman" w:cs="Times New Roman"/>
                <w:lang w:val="sk-SK"/>
              </w:rPr>
              <w:t>ozbrojen</w:t>
            </w:r>
            <w:r w:rsidRPr="00C96D96">
              <w:rPr>
                <w:rFonts w:ascii="Times New Roman" w:hAnsi="Times New Roman" w:cs="Times New Roman"/>
                <w:lang w:val="sk-SK"/>
              </w:rPr>
              <w:t>ých</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Texttabulky"/>
              <w:rPr>
                <w:rFonts w:ascii="Times New Roman" w:hAnsi="Times New Roman" w:cs="Times New Roman"/>
                <w:lang w:val="sk-SK"/>
              </w:rPr>
            </w:pPr>
            <w:r w:rsidRPr="00C96D96">
              <w:rPr>
                <w:rFonts w:ascii="Times New Roman" w:hAnsi="Times New Roman" w:cs="Times New Roman"/>
                <w:lang w:val="sk-SK"/>
              </w:rPr>
              <w:t xml:space="preserve">     síl SR AN-24</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iCs/>
                <w:szCs w:val="24"/>
                <w:lang w:val="sk-SK"/>
              </w:rPr>
            </w:pPr>
            <w:r w:rsidRPr="00C96D96">
              <w:rPr>
                <w:rFonts w:ascii="Times New Roman" w:hAnsi="Times New Roman" w:cs="Times New Roman"/>
                <w:lang w:val="de-DE"/>
              </w:rPr>
              <w:t xml:space="preserve">     </w:t>
            </w:r>
            <w:r w:rsidRPr="00C96D96">
              <w:rPr>
                <w:rFonts w:ascii="Times New Roman" w:hAnsi="Times New Roman" w:cs="Times New Roman"/>
                <w:iCs/>
                <w:lang w:val="de-DE"/>
              </w:rPr>
              <w:t>(uzn. vl. SR č. 89 z 01.02.2006 a uzn. vl. SR</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r w:rsidRPr="00C96D96">
              <w:rPr>
                <w:rFonts w:ascii="Times New Roman" w:hAnsi="Times New Roman" w:cs="Times New Roman"/>
                <w:szCs w:val="24"/>
                <w:lang w:val="sk-SK"/>
              </w:rPr>
              <w:t xml:space="preserve">     č. 115 z 08. 02. 2006)</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bCs/>
                <w:szCs w:val="24"/>
                <w:lang w:val="sk-SK"/>
              </w:rPr>
            </w:pPr>
            <w:r w:rsidRPr="00C96D96">
              <w:rPr>
                <w:rFonts w:ascii="Times New Roman" w:hAnsi="Times New Roman" w:cs="Times New Roman"/>
                <w:szCs w:val="24"/>
                <w:lang w:val="sk-SK"/>
              </w:rPr>
              <w:t xml:space="preserve">     </w:t>
            </w:r>
            <w:r w:rsidRPr="00C96D96">
              <w:rPr>
                <w:rFonts w:ascii="Times New Roman" w:hAnsi="Times New Roman" w:cs="Times New Roman"/>
                <w:b/>
                <w:bCs/>
                <w:szCs w:val="24"/>
                <w:lang w:val="sk-SK"/>
              </w:rPr>
              <w:t xml:space="preserve">- riešené rozpočtovým opatrením      </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lang w:val="sk-SK"/>
              </w:rPr>
              <w:t>400</w:t>
            </w: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lang w:val="sk-SK"/>
              </w:rPr>
              <w:t>400</w:t>
            </w: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Texttabulky"/>
              <w:ind w:left="241" w:hanging="241"/>
              <w:rPr>
                <w:rFonts w:ascii="Times New Roman" w:hAnsi="Times New Roman" w:cs="Times New Roman"/>
                <w:lang w:val="sk-SK"/>
              </w:rPr>
            </w:pPr>
            <w:r w:rsidRPr="00C96D96">
              <w:rPr>
                <w:rFonts w:ascii="Times New Roman" w:hAnsi="Times New Roman" w:cs="Times New Roman"/>
                <w:lang w:val="sk-SK"/>
              </w:rPr>
              <w:t>2. MZV SR - na úhradu výdavkov súvisiacich s výkonom funkcie</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Texttabulky"/>
              <w:rPr>
                <w:rFonts w:ascii="Times New Roman" w:hAnsi="Times New Roman" w:cs="Times New Roman"/>
                <w:lang w:val="sk-SK"/>
              </w:rPr>
            </w:pPr>
            <w:r w:rsidRPr="00C96D96">
              <w:rPr>
                <w:rFonts w:ascii="Times New Roman" w:hAnsi="Times New Roman" w:cs="Times New Roman"/>
                <w:lang w:val="sk-SK"/>
              </w:rPr>
              <w:t xml:space="preserve">    </w:t>
            </w:r>
            <w:r w:rsidRPr="00C96D96">
              <w:rPr>
                <w:rFonts w:ascii="Times New Roman" w:hAnsi="Times New Roman" w:cs="Times New Roman"/>
                <w:lang w:val="de-DE"/>
              </w:rPr>
              <w:t>nestáleho člena Bezpečnostnej rady OSN v roku 2006</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r w:rsidRPr="00C96D96">
              <w:rPr>
                <w:rFonts w:ascii="Times New Roman" w:hAnsi="Times New Roman" w:cs="Times New Roman"/>
                <w:iCs/>
                <w:lang w:val="de-DE"/>
              </w:rPr>
              <w:t xml:space="preserve">    (uzn. vl. SR č. 255 z 22.03.2006)</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bCs/>
                <w:szCs w:val="24"/>
                <w:lang w:val="sk-SK"/>
              </w:rPr>
            </w:pPr>
            <w:r w:rsidRPr="00C96D96">
              <w:rPr>
                <w:rFonts w:ascii="Times New Roman" w:hAnsi="Times New Roman" w:cs="Times New Roman"/>
                <w:b/>
                <w:bCs/>
                <w:szCs w:val="24"/>
                <w:lang w:val="sk-SK"/>
              </w:rPr>
              <w:t xml:space="preserve">    - riešené rozpočtovým opatrením      </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lang w:val="sk-SK"/>
              </w:rPr>
              <w:t>35 996</w:t>
            </w: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lang w:val="sk-SK"/>
              </w:rPr>
              <w:t>35 996</w:t>
            </w: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r w:rsidRPr="00C96D96">
              <w:rPr>
                <w:rFonts w:ascii="Times New Roman" w:hAnsi="Times New Roman" w:cs="Times New Roman"/>
                <w:szCs w:val="24"/>
                <w:lang w:val="sk-SK"/>
              </w:rPr>
              <w:t xml:space="preserve">     viazanie nevyčerpaných prostriedkov</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bCs/>
                <w:szCs w:val="24"/>
                <w:lang w:val="sk-SK"/>
              </w:rPr>
            </w:pPr>
            <w:r w:rsidRPr="00C96D96">
              <w:rPr>
                <w:rFonts w:ascii="Times New Roman" w:hAnsi="Times New Roman" w:cs="Times New Roman"/>
                <w:b/>
                <w:bCs/>
                <w:szCs w:val="24"/>
                <w:lang w:val="sk-SK"/>
              </w:rPr>
              <w:t xml:space="preserve">    - riešené rozpočtovým opatrením</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r w:rsidRPr="00C96D96">
              <w:rPr>
                <w:rFonts w:ascii="Times New Roman" w:hAnsi="Times New Roman" w:cs="Times New Roman"/>
                <w:szCs w:val="24"/>
                <w:lang w:val="sk-SK"/>
              </w:rPr>
              <w:t>-9 363</w:t>
            </w: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Texttabulky"/>
              <w:ind w:left="241" w:hanging="241"/>
              <w:rPr>
                <w:rFonts w:ascii="Times New Roman" w:hAnsi="Times New Roman" w:cs="Times New Roman"/>
                <w:lang w:val="sk-SK"/>
              </w:rPr>
            </w:pPr>
            <w:r w:rsidRPr="00C96D96">
              <w:rPr>
                <w:rFonts w:ascii="Times New Roman" w:hAnsi="Times New Roman" w:cs="Times New Roman"/>
                <w:lang w:val="sk-SK"/>
              </w:rPr>
              <w:t>3. MZV SR - na financovanie či</w:t>
            </w:r>
            <w:r w:rsidRPr="00C96D96">
              <w:rPr>
                <w:rFonts w:ascii="Times New Roman" w:hAnsi="Times New Roman" w:cs="Times New Roman"/>
                <w:lang w:val="sk-SK"/>
              </w:rPr>
              <w:t>nnosti Národného konventu o</w:t>
            </w:r>
            <w:r w:rsidR="00437FA0">
              <w:rPr>
                <w:rFonts w:ascii="Times New Roman" w:hAnsi="Times New Roman" w:cs="Times New Roman"/>
                <w:lang w:val="sk-SK"/>
              </w:rPr>
              <w:t> </w:t>
            </w:r>
            <w:r w:rsidRPr="00C96D96">
              <w:rPr>
                <w:rFonts w:ascii="Times New Roman" w:hAnsi="Times New Roman" w:cs="Times New Roman"/>
                <w:lang w:val="sk-SK"/>
              </w:rPr>
              <w:t>EÚ</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Texttabulky"/>
              <w:rPr>
                <w:rFonts w:ascii="Times New Roman" w:hAnsi="Times New Roman" w:cs="Times New Roman"/>
                <w:lang w:val="sk-SK"/>
              </w:rPr>
            </w:pPr>
            <w:r w:rsidRPr="00C96D96">
              <w:rPr>
                <w:rFonts w:ascii="Times New Roman" w:hAnsi="Times New Roman" w:cs="Times New Roman"/>
                <w:lang w:val="sk-SK"/>
              </w:rPr>
              <w:t xml:space="preserve">    v roku 2006</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r w:rsidRPr="00C96D96">
              <w:rPr>
                <w:rFonts w:ascii="Times New Roman" w:hAnsi="Times New Roman" w:cs="Times New Roman"/>
                <w:sz w:val="24"/>
              </w:rPr>
              <w:t>3 000</w:t>
            </w: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r w:rsidRPr="00C96D96">
              <w:rPr>
                <w:rFonts w:ascii="Times New Roman" w:hAnsi="Times New Roman" w:cs="Times New Roman"/>
                <w:sz w:val="24"/>
              </w:rPr>
              <w:t>3 000</w:t>
            </w: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Texttabulky"/>
              <w:rPr>
                <w:rFonts w:ascii="Times New Roman" w:hAnsi="Times New Roman" w:cs="Times New Roman"/>
                <w:lang w:val="sk-SK"/>
              </w:rPr>
            </w:pPr>
            <w:r w:rsidRPr="00C96D96">
              <w:rPr>
                <w:rFonts w:ascii="Times New Roman" w:hAnsi="Times New Roman" w:cs="Times New Roman"/>
                <w:lang w:val="sk-SK"/>
              </w:rPr>
              <w:t xml:space="preserve">     - na aktivity zahrnuté do Akčného plánu predchádzania</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Texttabulky"/>
              <w:rPr>
                <w:rFonts w:ascii="Times New Roman" w:hAnsi="Times New Roman" w:cs="Times New Roman"/>
                <w:lang w:val="sk-SK"/>
              </w:rPr>
            </w:pPr>
            <w:r w:rsidRPr="00C96D96">
              <w:rPr>
                <w:rFonts w:ascii="Times New Roman" w:hAnsi="Times New Roman" w:cs="Times New Roman"/>
                <w:lang w:val="sk-SK"/>
              </w:rPr>
              <w:t xml:space="preserve">    všetkým formám diskriminácie, rasizmu, xenofóbie,</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Texttabulky"/>
              <w:ind w:left="241" w:hanging="241"/>
              <w:rPr>
                <w:rFonts w:ascii="Times New Roman" w:hAnsi="Times New Roman" w:cs="Times New Roman"/>
                <w:lang w:val="sk-SK"/>
              </w:rPr>
            </w:pPr>
            <w:r w:rsidRPr="00C96D96">
              <w:rPr>
                <w:rFonts w:ascii="Times New Roman" w:hAnsi="Times New Roman" w:cs="Times New Roman"/>
                <w:lang w:val="sk-SK"/>
              </w:rPr>
              <w:t xml:space="preserve">    antisemitizmu a ostatným prejavom intolerancie na rok 2006</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Texttabulky"/>
              <w:rPr>
                <w:rFonts w:ascii="Times New Roman" w:hAnsi="Times New Roman" w:cs="Times New Roman"/>
                <w:lang w:val="sk-SK"/>
              </w:rPr>
            </w:pPr>
            <w:r w:rsidRPr="00C96D96">
              <w:rPr>
                <w:rFonts w:ascii="Times New Roman" w:hAnsi="Times New Roman" w:cs="Times New Roman"/>
                <w:lang w:val="sk-SK"/>
              </w:rPr>
              <w:t xml:space="preserve">    (uzn. vl. SR č. 255 z 22.03.2006)</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r w:rsidRPr="00C96D96">
              <w:rPr>
                <w:rFonts w:ascii="Times New Roman" w:hAnsi="Times New Roman" w:cs="Times New Roman"/>
                <w:sz w:val="24"/>
              </w:rPr>
              <w:t>4 044</w:t>
            </w: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r w:rsidRPr="00C96D96">
              <w:rPr>
                <w:rFonts w:ascii="Times New Roman" w:hAnsi="Times New Roman" w:cs="Times New Roman"/>
                <w:sz w:val="24"/>
              </w:rPr>
              <w:t>4 044</w:t>
            </w: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Texttabulky"/>
              <w:rPr>
                <w:rFonts w:ascii="Times New Roman" w:hAnsi="Times New Roman" w:cs="Times New Roman"/>
                <w:b/>
                <w:bCs/>
                <w:lang w:val="sk-SK"/>
              </w:rPr>
            </w:pPr>
            <w:r w:rsidRPr="00C96D96">
              <w:rPr>
                <w:rFonts w:ascii="Times New Roman" w:hAnsi="Times New Roman" w:cs="Times New Roman"/>
                <w:b/>
                <w:bCs/>
                <w:lang w:val="sk-SK"/>
              </w:rPr>
              <w:t xml:space="preserve">    </w:t>
            </w:r>
            <w:r w:rsidRPr="00C96D96">
              <w:rPr>
                <w:rFonts w:ascii="Times New Roman" w:hAnsi="Times New Roman" w:cs="Times New Roman"/>
                <w:b/>
                <w:bCs/>
                <w:szCs w:val="24"/>
                <w:lang w:val="sk-SK"/>
              </w:rPr>
              <w:t>- riešené rozpočtovým opatrením</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 w:val="24"/>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 w:val="24"/>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Texttabulky"/>
              <w:rPr>
                <w:rFonts w:ascii="Times New Roman" w:hAnsi="Times New Roman" w:cs="Times New Roman"/>
                <w:lang w:val="sk-SK"/>
              </w:rPr>
            </w:pP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r w:rsidRPr="00C96D96">
              <w:rPr>
                <w:rFonts w:ascii="Times New Roman" w:hAnsi="Times New Roman" w:cs="Times New Roman"/>
                <w:szCs w:val="24"/>
                <w:lang w:val="sk-SK"/>
              </w:rPr>
              <w:t xml:space="preserve">4. MZ SR - na zabezpečenie pandemického plánu chrípky </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r w:rsidRPr="00C96D96">
              <w:rPr>
                <w:rFonts w:ascii="Times New Roman" w:hAnsi="Times New Roman" w:cs="Times New Roman"/>
                <w:szCs w:val="24"/>
                <w:lang w:val="sk-SK"/>
              </w:rPr>
              <w:t xml:space="preserve">    z očakávanej mutácie vírusu pre Kliniku infektológie</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Texttabulky"/>
              <w:ind w:left="241" w:hanging="241"/>
              <w:rPr>
                <w:rFonts w:ascii="Times New Roman" w:hAnsi="Times New Roman" w:cs="Times New Roman"/>
                <w:lang w:val="sk-SK"/>
              </w:rPr>
            </w:pPr>
            <w:r w:rsidRPr="00C96D96">
              <w:rPr>
                <w:rFonts w:ascii="Times New Roman" w:hAnsi="Times New Roman" w:cs="Times New Roman"/>
                <w:lang w:val="sk-SK"/>
              </w:rPr>
              <w:t xml:space="preserve">    a geografickej medicíny FNsP Bratislava, pracovi</w:t>
            </w:r>
            <w:r w:rsidRPr="00C96D96">
              <w:rPr>
                <w:rFonts w:ascii="Times New Roman" w:hAnsi="Times New Roman" w:cs="Times New Roman"/>
                <w:lang w:val="sk-SK"/>
              </w:rPr>
              <w:t xml:space="preserve">sko Kramáre </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rPr>
                <w:rFonts w:ascii="Times New Roman" w:hAnsi="Times New Roman" w:cs="Times New Roman"/>
              </w:rPr>
            </w:pPr>
            <w:r w:rsidRPr="00C96D96">
              <w:rPr>
                <w:rFonts w:ascii="Times New Roman" w:hAnsi="Times New Roman" w:cs="Times New Roman"/>
              </w:rPr>
              <w:t xml:space="preserve">    (uzn. vl. SR č. 420 z 10.05.2006)</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bCs/>
                <w:szCs w:val="24"/>
                <w:lang w:val="sk-SK"/>
              </w:rPr>
            </w:pPr>
            <w:r w:rsidRPr="00C96D96">
              <w:rPr>
                <w:rFonts w:ascii="Times New Roman" w:hAnsi="Times New Roman" w:cs="Times New Roman"/>
                <w:b/>
                <w:bCs/>
                <w:szCs w:val="24"/>
                <w:lang w:val="sk-SK"/>
              </w:rPr>
              <w:t xml:space="preserve">    - riešené rozpočtovým opatrením      </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r w:rsidRPr="00C96D96">
              <w:rPr>
                <w:rFonts w:ascii="Times New Roman" w:hAnsi="Times New Roman" w:cs="Times New Roman"/>
                <w:sz w:val="24"/>
              </w:rPr>
              <w:t>17 997</w:t>
            </w: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r w:rsidRPr="00C96D96">
              <w:rPr>
                <w:rFonts w:ascii="Times New Roman" w:hAnsi="Times New Roman" w:cs="Times New Roman"/>
                <w:sz w:val="24"/>
              </w:rPr>
              <w:t>17 997</w:t>
            </w: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rPr>
                <w:rFonts w:ascii="Times New Roman" w:hAnsi="Times New Roman" w:cs="Times New Roman"/>
                <w:sz w:val="24"/>
              </w:rPr>
            </w:pP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Texttabulky"/>
              <w:rPr>
                <w:rFonts w:ascii="Times New Roman" w:hAnsi="Times New Roman" w:cs="Times New Roman"/>
                <w:lang w:val="sk-SK"/>
              </w:rPr>
            </w:pPr>
            <w:r w:rsidRPr="00C96D96">
              <w:rPr>
                <w:rFonts w:ascii="Times New Roman" w:hAnsi="Times New Roman" w:cs="Times New Roman"/>
                <w:lang w:val="sk-SK"/>
              </w:rPr>
              <w:t>5. MZV SR - na vykonávanie Dohody medzi vládou SR</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Texttabulky"/>
              <w:rPr>
                <w:rFonts w:ascii="Times New Roman" w:hAnsi="Times New Roman" w:cs="Times New Roman"/>
                <w:lang w:val="sk-SK"/>
              </w:rPr>
            </w:pPr>
            <w:r w:rsidRPr="00C96D96">
              <w:rPr>
                <w:rFonts w:ascii="Times New Roman" w:hAnsi="Times New Roman" w:cs="Times New Roman"/>
                <w:lang w:val="sk-SK"/>
              </w:rPr>
              <w:t xml:space="preserve">    a vládou Maďarskej republiky o vzájomnej podpore </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 w:val="24"/>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rPr>
                <w:rFonts w:ascii="Times New Roman" w:hAnsi="Times New Roman" w:cs="Times New Roman"/>
              </w:rPr>
            </w:pPr>
            <w:r w:rsidRPr="00C96D96">
              <w:rPr>
                <w:rFonts w:ascii="Times New Roman" w:hAnsi="Times New Roman" w:cs="Times New Roman"/>
              </w:rPr>
              <w:t xml:space="preserve">    národnostných menšín v o</w:t>
            </w:r>
            <w:r w:rsidRPr="00C96D96">
              <w:rPr>
                <w:rFonts w:ascii="Times New Roman" w:hAnsi="Times New Roman" w:cs="Times New Roman"/>
              </w:rPr>
              <w:t>blasti  vzdelávania a kultúry</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r w:rsidRPr="00C96D96">
              <w:rPr>
                <w:rFonts w:ascii="Times New Roman" w:hAnsi="Times New Roman" w:cs="Times New Roman"/>
                <w:szCs w:val="24"/>
                <w:lang w:val="sk-SK"/>
              </w:rPr>
              <w:t xml:space="preserve">    z 12. decembra 2003</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szCs w:val="24"/>
                <w:lang w:val="sk-SK"/>
              </w:rPr>
            </w:pPr>
            <w:r w:rsidRPr="00C96D96">
              <w:rPr>
                <w:rFonts w:ascii="Times New Roman" w:hAnsi="Times New Roman" w:cs="Times New Roman"/>
                <w:lang w:val="sk-SK"/>
              </w:rPr>
              <w:t xml:space="preserve">    (uzn. vl. SR č. 420 z 10.05.2006)</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bCs/>
                <w:szCs w:val="24"/>
                <w:lang w:val="sk-SK"/>
              </w:rPr>
            </w:pPr>
            <w:r w:rsidRPr="00C96D96">
              <w:rPr>
                <w:rFonts w:ascii="Times New Roman" w:hAnsi="Times New Roman" w:cs="Times New Roman"/>
                <w:szCs w:val="24"/>
                <w:lang w:val="sk-SK"/>
              </w:rPr>
              <w:t xml:space="preserve">    </w:t>
            </w:r>
            <w:r w:rsidRPr="00C96D96">
              <w:rPr>
                <w:rFonts w:ascii="Times New Roman" w:hAnsi="Times New Roman" w:cs="Times New Roman"/>
                <w:b/>
                <w:bCs/>
                <w:szCs w:val="24"/>
                <w:lang w:val="sk-SK"/>
              </w:rPr>
              <w:t xml:space="preserve">- riešené rozpočtovým opatrením   </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r w:rsidRPr="00C96D96">
              <w:rPr>
                <w:rFonts w:ascii="Times New Roman" w:hAnsi="Times New Roman" w:cs="Times New Roman"/>
                <w:bCs/>
                <w:szCs w:val="24"/>
                <w:lang w:val="sk-SK"/>
              </w:rPr>
              <w:t>3 000</w:t>
            </w: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r w:rsidRPr="00C96D96">
              <w:rPr>
                <w:rFonts w:ascii="Times New Roman" w:hAnsi="Times New Roman" w:cs="Times New Roman"/>
                <w:szCs w:val="24"/>
                <w:lang w:val="sk-SK"/>
              </w:rPr>
              <w:t>3 000</w:t>
            </w: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rPr>
                <w:rFonts w:ascii="Times New Roman" w:hAnsi="Times New Roman" w:cs="Times New Roman"/>
                <w:sz w:val="24"/>
              </w:rPr>
            </w:pP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rPr>
                <w:rFonts w:ascii="Times New Roman" w:hAnsi="Times New Roman" w:cs="Times New Roman"/>
                <w:sz w:val="24"/>
              </w:rPr>
            </w:pPr>
            <w:r w:rsidRPr="00C96D96">
              <w:rPr>
                <w:rFonts w:ascii="Times New Roman" w:hAnsi="Times New Roman" w:cs="Times New Roman"/>
                <w:sz w:val="24"/>
              </w:rPr>
              <w:t>6. MZV SR - na zabezpečenie humanitárnej pomoci</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rPr>
                <w:rFonts w:ascii="Times New Roman" w:hAnsi="Times New Roman" w:cs="Times New Roman"/>
                <w:sz w:val="24"/>
              </w:rPr>
            </w:pPr>
            <w:r w:rsidRPr="00C96D96">
              <w:rPr>
                <w:rFonts w:ascii="Times New Roman" w:hAnsi="Times New Roman" w:cs="Times New Roman"/>
                <w:sz w:val="24"/>
              </w:rPr>
              <w:t xml:space="preserve">    pre Indonéziu</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rPr>
                <w:rFonts w:ascii="Times New Roman" w:hAnsi="Times New Roman" w:cs="Times New Roman"/>
                <w:lang w:val="sk-SK"/>
              </w:rPr>
            </w:pPr>
            <w:r w:rsidRPr="00C96D96">
              <w:rPr>
                <w:rFonts w:ascii="Times New Roman" w:hAnsi="Times New Roman" w:cs="Times New Roman"/>
                <w:lang w:val="sk-SK"/>
              </w:rPr>
              <w:t xml:space="preserve">    (uzn. vl. SR č. 534 zo </w:t>
            </w:r>
            <w:r w:rsidRPr="00C96D96">
              <w:rPr>
                <w:rFonts w:ascii="Times New Roman" w:hAnsi="Times New Roman" w:cs="Times New Roman"/>
                <w:lang w:val="sk-SK"/>
              </w:rPr>
              <w:t>07.06.2006)</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bCs/>
                <w:szCs w:val="24"/>
                <w:lang w:val="sk-SK"/>
              </w:rPr>
            </w:pPr>
            <w:r w:rsidRPr="00C96D96">
              <w:rPr>
                <w:rFonts w:ascii="Times New Roman" w:hAnsi="Times New Roman" w:cs="Times New Roman"/>
                <w:szCs w:val="24"/>
                <w:lang w:val="sk-SK"/>
              </w:rPr>
              <w:t xml:space="preserve">    </w:t>
            </w:r>
            <w:r w:rsidRPr="00C96D96">
              <w:rPr>
                <w:rFonts w:ascii="Times New Roman" w:hAnsi="Times New Roman" w:cs="Times New Roman"/>
                <w:b/>
                <w:bCs/>
                <w:szCs w:val="24"/>
                <w:lang w:val="sk-SK"/>
              </w:rPr>
              <w:t xml:space="preserve">- riešené rozpočtovým opatrením   </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r w:rsidRPr="00C96D96">
              <w:rPr>
                <w:rFonts w:ascii="Times New Roman" w:hAnsi="Times New Roman" w:cs="Times New Roman"/>
                <w:bCs/>
                <w:szCs w:val="24"/>
                <w:lang w:val="sk-SK"/>
              </w:rPr>
              <w:t>4 000</w:t>
            </w: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r w:rsidRPr="00C96D96">
              <w:rPr>
                <w:rFonts w:ascii="Times New Roman" w:hAnsi="Times New Roman" w:cs="Times New Roman"/>
                <w:szCs w:val="24"/>
                <w:lang w:val="sk-SK"/>
              </w:rPr>
              <w:t>4 000</w:t>
            </w: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rPr>
                <w:rFonts w:ascii="Times New Roman" w:hAnsi="Times New Roman" w:cs="Times New Roman"/>
                <w:sz w:val="24"/>
              </w:rPr>
            </w:pP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ind w:left="241" w:hanging="241"/>
              <w:rPr>
                <w:rFonts w:ascii="Times New Roman" w:hAnsi="Times New Roman" w:cs="Times New Roman"/>
                <w:sz w:val="24"/>
              </w:rPr>
            </w:pPr>
            <w:r w:rsidRPr="00C96D96">
              <w:rPr>
                <w:rFonts w:ascii="Times New Roman" w:hAnsi="Times New Roman" w:cs="Times New Roman"/>
                <w:sz w:val="24"/>
              </w:rPr>
              <w:t>7. MZV SR - na zabezpečenie humanitárnej pomoci Libanonu</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rPr>
                <w:rFonts w:ascii="Times New Roman" w:hAnsi="Times New Roman" w:cs="Times New Roman"/>
                <w:lang w:val="sk-SK"/>
              </w:rPr>
            </w:pPr>
            <w:r w:rsidRPr="00C96D96">
              <w:rPr>
                <w:rFonts w:ascii="Times New Roman" w:hAnsi="Times New Roman" w:cs="Times New Roman"/>
                <w:lang w:val="sk-SK"/>
              </w:rPr>
              <w:t xml:space="preserve">    (uzn. vl. SR č. 714 zo 30.08.2006)</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bCs/>
                <w:szCs w:val="24"/>
                <w:lang w:val="sk-SK"/>
              </w:rPr>
            </w:pPr>
            <w:r w:rsidRPr="00C96D96">
              <w:rPr>
                <w:rFonts w:ascii="Times New Roman" w:hAnsi="Times New Roman" w:cs="Times New Roman"/>
                <w:b/>
                <w:bCs/>
                <w:szCs w:val="24"/>
                <w:lang w:val="sk-SK"/>
              </w:rPr>
              <w:t xml:space="preserve">    - riešené rozpočtovým opatrením   </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r w:rsidRPr="00C96D96">
              <w:rPr>
                <w:rFonts w:ascii="Times New Roman" w:hAnsi="Times New Roman" w:cs="Times New Roman"/>
                <w:bCs/>
                <w:szCs w:val="24"/>
                <w:lang w:val="sk-SK"/>
              </w:rPr>
              <w:t>8 000</w:t>
            </w: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r w:rsidRPr="00C96D96">
              <w:rPr>
                <w:rFonts w:ascii="Times New Roman" w:hAnsi="Times New Roman" w:cs="Times New Roman"/>
                <w:szCs w:val="24"/>
                <w:lang w:val="sk-SK"/>
              </w:rPr>
              <w:t>8 000</w:t>
            </w: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rPr>
                <w:rFonts w:ascii="Times New Roman" w:hAnsi="Times New Roman" w:cs="Times New Roman"/>
                <w:sz w:val="24"/>
              </w:rPr>
            </w:pP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rPr>
                <w:rFonts w:ascii="Times New Roman" w:hAnsi="Times New Roman" w:cs="Times New Roman"/>
                <w:sz w:val="24"/>
              </w:rPr>
            </w:pPr>
            <w:r w:rsidRPr="00C96D96">
              <w:rPr>
                <w:rFonts w:ascii="Times New Roman" w:hAnsi="Times New Roman" w:cs="Times New Roman"/>
                <w:sz w:val="24"/>
              </w:rPr>
              <w:t>8. MO SR - na úhradu výdavk</w:t>
            </w:r>
            <w:r w:rsidRPr="00C96D96">
              <w:rPr>
                <w:rFonts w:ascii="Times New Roman" w:hAnsi="Times New Roman" w:cs="Times New Roman"/>
                <w:sz w:val="24"/>
              </w:rPr>
              <w:t>ov súvisiacich s vybudovaním</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rPr>
                <w:rFonts w:ascii="Times New Roman" w:hAnsi="Times New Roman" w:cs="Times New Roman"/>
                <w:sz w:val="24"/>
              </w:rPr>
            </w:pPr>
            <w:r w:rsidRPr="00C96D96">
              <w:rPr>
                <w:rFonts w:ascii="Times New Roman" w:hAnsi="Times New Roman" w:cs="Times New Roman"/>
                <w:sz w:val="24"/>
              </w:rPr>
              <w:t xml:space="preserve">    memoriálu obetiam leteckej katastrofy slovenského </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rPr>
                <w:rFonts w:ascii="Times New Roman" w:hAnsi="Times New Roman" w:cs="Times New Roman"/>
                <w:sz w:val="24"/>
              </w:rPr>
            </w:pPr>
            <w:r w:rsidRPr="00C96D96">
              <w:rPr>
                <w:rFonts w:ascii="Times New Roman" w:hAnsi="Times New Roman" w:cs="Times New Roman"/>
                <w:sz w:val="24"/>
              </w:rPr>
              <w:t xml:space="preserve">    vojenského lietadla v</w:t>
            </w:r>
            <w:r w:rsidR="00437FA0">
              <w:rPr>
                <w:rFonts w:ascii="Times New Roman" w:hAnsi="Times New Roman" w:cs="Times New Roman"/>
                <w:sz w:val="24"/>
              </w:rPr>
              <w:t> </w:t>
            </w:r>
            <w:r w:rsidRPr="00C96D96">
              <w:rPr>
                <w:rFonts w:ascii="Times New Roman" w:hAnsi="Times New Roman" w:cs="Times New Roman"/>
                <w:sz w:val="24"/>
              </w:rPr>
              <w:t>obci Hejce – Maďarsko</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rPr>
                <w:rFonts w:ascii="Times New Roman" w:hAnsi="Times New Roman" w:cs="Times New Roman"/>
                <w:lang w:val="sk-SK"/>
              </w:rPr>
            </w:pPr>
            <w:r w:rsidRPr="00C96D96">
              <w:rPr>
                <w:rFonts w:ascii="Times New Roman" w:hAnsi="Times New Roman" w:cs="Times New Roman"/>
                <w:lang w:val="sk-SK"/>
              </w:rPr>
              <w:t xml:space="preserve">    (uzn. vl. SR č. 744 zo 06.09.2006)</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bCs/>
                <w:szCs w:val="24"/>
                <w:lang w:val="sk-SK"/>
              </w:rPr>
            </w:pPr>
            <w:r w:rsidRPr="00C96D96">
              <w:rPr>
                <w:rFonts w:ascii="Times New Roman" w:hAnsi="Times New Roman" w:cs="Times New Roman"/>
                <w:b/>
                <w:bCs/>
                <w:szCs w:val="24"/>
                <w:lang w:val="sk-SK"/>
              </w:rPr>
              <w:t xml:space="preserve">    - riešené rozpočtovým opatrením   </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r w:rsidRPr="00C96D96">
              <w:rPr>
                <w:rFonts w:ascii="Times New Roman" w:hAnsi="Times New Roman" w:cs="Times New Roman"/>
                <w:bCs/>
                <w:szCs w:val="24"/>
                <w:lang w:val="sk-SK"/>
              </w:rPr>
              <w:t>1 496</w:t>
            </w: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r w:rsidRPr="00C96D96">
              <w:rPr>
                <w:rFonts w:ascii="Times New Roman" w:hAnsi="Times New Roman" w:cs="Times New Roman"/>
                <w:szCs w:val="24"/>
                <w:lang w:val="sk-SK"/>
              </w:rPr>
              <w:t>1 496</w:t>
            </w: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rPr>
                <w:rFonts w:ascii="Times New Roman" w:hAnsi="Times New Roman" w:cs="Times New Roman"/>
                <w:sz w:val="24"/>
              </w:rPr>
            </w:pP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ind w:left="241" w:hanging="241"/>
              <w:rPr>
                <w:rFonts w:ascii="Times New Roman" w:hAnsi="Times New Roman" w:cs="Times New Roman"/>
                <w:sz w:val="24"/>
              </w:rPr>
            </w:pPr>
            <w:r w:rsidRPr="00C96D96">
              <w:rPr>
                <w:rFonts w:ascii="Times New Roman" w:hAnsi="Times New Roman" w:cs="Times New Roman"/>
                <w:sz w:val="24"/>
              </w:rPr>
              <w:t>9. MH SR - na odš</w:t>
            </w:r>
            <w:r w:rsidRPr="00C96D96">
              <w:rPr>
                <w:rFonts w:ascii="Times New Roman" w:hAnsi="Times New Roman" w:cs="Times New Roman"/>
                <w:sz w:val="24"/>
              </w:rPr>
              <w:t>kodnenie pozostalých po obetiach banského</w:t>
            </w:r>
            <w:r>
              <w:rPr>
                <w:rFonts w:ascii="Times New Roman" w:hAnsi="Times New Roman" w:cs="Times New Roman"/>
                <w:sz w:val="24"/>
              </w:rPr>
              <w:t xml:space="preserve"> </w:t>
            </w:r>
            <w:r w:rsidRPr="00C96D96">
              <w:rPr>
                <w:rFonts w:ascii="Times New Roman" w:hAnsi="Times New Roman" w:cs="Times New Roman"/>
                <w:sz w:val="24"/>
              </w:rPr>
              <w:t>nešťastia v Hornonitrianskych baniach</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rPr>
                <w:rFonts w:ascii="Times New Roman" w:hAnsi="Times New Roman" w:cs="Times New Roman"/>
                <w:sz w:val="24"/>
              </w:rPr>
            </w:pPr>
            <w:r w:rsidRPr="00C96D96">
              <w:rPr>
                <w:rFonts w:ascii="Times New Roman" w:hAnsi="Times New Roman" w:cs="Times New Roman"/>
                <w:sz w:val="24"/>
              </w:rPr>
              <w:t xml:space="preserve">    Prievidza, a.s. o.z. Baňa Nováky</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rPr>
                <w:rFonts w:ascii="Times New Roman" w:hAnsi="Times New Roman" w:cs="Times New Roman"/>
                <w:lang w:val="sk-SK"/>
              </w:rPr>
            </w:pPr>
            <w:r w:rsidRPr="00C96D96">
              <w:rPr>
                <w:rFonts w:ascii="Times New Roman" w:hAnsi="Times New Roman" w:cs="Times New Roman"/>
                <w:lang w:val="sk-SK"/>
              </w:rPr>
              <w:t xml:space="preserve">    (uzn. vl. SR č. 1034 zo 13.12.2006)</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bCs/>
                <w:szCs w:val="24"/>
                <w:lang w:val="sk-SK"/>
              </w:rPr>
            </w:pPr>
            <w:r w:rsidRPr="00C96D96">
              <w:rPr>
                <w:rFonts w:ascii="Times New Roman" w:hAnsi="Times New Roman" w:cs="Times New Roman"/>
                <w:b/>
                <w:bCs/>
                <w:szCs w:val="24"/>
                <w:lang w:val="sk-SK"/>
              </w:rPr>
              <w:t xml:space="preserve">    - riešené rozpočtovým opatrením   </w:t>
            </w: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r w:rsidRPr="00C96D96">
              <w:rPr>
                <w:rFonts w:ascii="Times New Roman" w:hAnsi="Times New Roman" w:cs="Times New Roman"/>
                <w:bCs/>
                <w:szCs w:val="24"/>
                <w:lang w:val="sk-SK"/>
              </w:rPr>
              <w:t>9 000</w:t>
            </w: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r w:rsidRPr="00C96D96">
              <w:rPr>
                <w:rFonts w:ascii="Times New Roman" w:hAnsi="Times New Roman" w:cs="Times New Roman"/>
                <w:szCs w:val="24"/>
                <w:lang w:val="sk-SK"/>
              </w:rPr>
              <w:t>9 000</w:t>
            </w: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kladntext"/>
              <w:rPr>
                <w:rFonts w:ascii="Times New Roman" w:hAnsi="Times New Roman" w:cs="Times New Roman"/>
                <w:sz w:val="24"/>
              </w:rPr>
            </w:pPr>
          </w:p>
        </w:tc>
        <w:tc>
          <w:tcPr>
            <w:tcW w:w="1434" w:type="dxa"/>
            <w:gridSpan w:val="2"/>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Cs/>
                <w:szCs w:val="24"/>
                <w:lang w:val="sk-SK"/>
              </w:rPr>
            </w:pPr>
          </w:p>
        </w:tc>
        <w:tc>
          <w:tcPr>
            <w:tcW w:w="1701" w:type="dxa"/>
            <w:tcBorders>
              <w:top w:val="nil"/>
              <w:left w:val="single" w:sz="4" w:space="0" w:color="auto"/>
              <w:bottom w:val="nil"/>
              <w:right w:val="single" w:sz="4" w:space="0" w:color="auto"/>
              <w:tl2br w:val="nil"/>
              <w:tr2bl w:val="nil"/>
            </w:tcBorders>
            <w:textDirection w:val="lrTb"/>
            <w:vAlign w:val="top"/>
          </w:tcPr>
          <w:p w:rsidR="00976CDF" w:rsidRPr="00C96D96"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szCs w:val="24"/>
                <w:lang w:val="sk-SK"/>
              </w:rPr>
            </w:pPr>
          </w:p>
        </w:tc>
      </w:tr>
      <w:tr>
        <w:tblPrEx>
          <w:tblW w:w="0" w:type="auto"/>
          <w:tblInd w:w="43" w:type="dxa"/>
          <w:tblBorders>
            <w:insideV w:val="single" w:sz="4" w:space="0" w:color="auto"/>
          </w:tblBorders>
          <w:tblCellMar>
            <w:top w:w="0" w:type="dxa"/>
            <w:left w:w="43" w:type="dxa"/>
            <w:bottom w:w="0" w:type="dxa"/>
            <w:right w:w="43" w:type="dxa"/>
          </w:tblCellMar>
        </w:tblPrEx>
        <w:trPr>
          <w:gridAfter w:val="1"/>
          <w:wAfter w:w="25" w:type="dxa"/>
          <w:cantSplit/>
          <w:trHeight w:hRule="auto" w:val="0"/>
        </w:trPr>
        <w:tc>
          <w:tcPr>
            <w:tcW w:w="5937" w:type="dxa"/>
            <w:tcBorders>
              <w:top w:val="nil"/>
              <w:left w:val="single" w:sz="4" w:space="0" w:color="auto"/>
              <w:bottom w:val="double" w:sz="6" w:space="0" w:color="auto"/>
              <w:right w:val="single" w:sz="4" w:space="0" w:color="auto"/>
              <w:tl2br w:val="nil"/>
              <w:tr2bl w:val="nil"/>
            </w:tcBorders>
            <w:textDirection w:val="lrTb"/>
            <w:vAlign w:val="top"/>
          </w:tcPr>
          <w:p w:rsidR="00976CDF" w:rsidRPr="003F1E58"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rPr>
                <w:rFonts w:ascii="Times New Roman" w:hAnsi="Times New Roman" w:cs="Times New Roman"/>
                <w:b/>
                <w:szCs w:val="24"/>
                <w:lang w:val="sk-SK"/>
              </w:rPr>
            </w:pPr>
            <w:r w:rsidRPr="003F1E58">
              <w:rPr>
                <w:rFonts w:ascii="Times New Roman" w:hAnsi="Times New Roman" w:cs="Times New Roman"/>
                <w:b/>
                <w:szCs w:val="24"/>
                <w:lang w:val="sk-SK"/>
              </w:rPr>
              <w:t xml:space="preserve">   S p o l u </w:t>
            </w:r>
          </w:p>
        </w:tc>
        <w:tc>
          <w:tcPr>
            <w:tcW w:w="1434" w:type="dxa"/>
            <w:gridSpan w:val="2"/>
            <w:tcBorders>
              <w:top w:val="nil"/>
              <w:left w:val="single" w:sz="4" w:space="0" w:color="auto"/>
              <w:bottom w:val="double" w:sz="6" w:space="0" w:color="auto"/>
              <w:right w:val="single" w:sz="4" w:space="0" w:color="auto"/>
              <w:tl2br w:val="nil"/>
              <w:tr2bl w:val="nil"/>
            </w:tcBorders>
            <w:textDirection w:val="lrTb"/>
            <w:vAlign w:val="top"/>
          </w:tcPr>
          <w:p w:rsidR="00976CDF" w:rsidRPr="003F1E58"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
                <w:bCs/>
                <w:szCs w:val="24"/>
                <w:lang w:val="sk-SK"/>
              </w:rPr>
            </w:pPr>
            <w:r w:rsidRPr="003F1E58">
              <w:rPr>
                <w:rFonts w:ascii="Times New Roman" w:hAnsi="Times New Roman" w:cs="Times New Roman"/>
                <w:b/>
                <w:bCs/>
                <w:lang w:val="sk-SK"/>
              </w:rPr>
              <w:t xml:space="preserve">      86 933</w:t>
            </w:r>
          </w:p>
        </w:tc>
        <w:tc>
          <w:tcPr>
            <w:tcW w:w="1701" w:type="dxa"/>
            <w:tcBorders>
              <w:top w:val="nil"/>
              <w:left w:val="single" w:sz="4" w:space="0" w:color="auto"/>
              <w:bottom w:val="double" w:sz="6" w:space="0" w:color="auto"/>
              <w:right w:val="single" w:sz="4" w:space="0" w:color="auto"/>
              <w:tl2br w:val="nil"/>
              <w:tr2bl w:val="nil"/>
            </w:tcBorders>
            <w:textDirection w:val="lrTb"/>
            <w:vAlign w:val="top"/>
          </w:tcPr>
          <w:p w:rsidR="00976CDF" w:rsidRPr="003F1E58"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Times New Roman" w:hAnsi="Times New Roman" w:cs="Times New Roman"/>
                <w:b/>
                <w:szCs w:val="24"/>
                <w:lang w:val="sk-SK"/>
              </w:rPr>
            </w:pPr>
            <w:r w:rsidRPr="003F1E58">
              <w:rPr>
                <w:rFonts w:ascii="Times New Roman" w:hAnsi="Times New Roman" w:cs="Times New Roman"/>
                <w:b/>
                <w:bCs/>
                <w:lang w:val="sk-SK"/>
              </w:rPr>
              <w:t xml:space="preserve">       </w:t>
            </w:r>
            <w:r w:rsidRPr="003F1E58">
              <w:rPr>
                <w:rFonts w:ascii="Times New Roman" w:hAnsi="Times New Roman" w:cs="Times New Roman"/>
                <w:b/>
                <w:bCs/>
                <w:lang w:val="sk-SK"/>
              </w:rPr>
              <w:t xml:space="preserve">     77 570</w:t>
            </w:r>
          </w:p>
        </w:tc>
      </w:tr>
    </w:tbl>
    <w:p w:rsidR="00976CDF" w:rsidRPr="004618B7"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Arial Narrow" w:hAnsi="Arial Narrow" w:cs="Times New Roman"/>
          <w:szCs w:val="24"/>
          <w:lang w:val="sk-SK"/>
        </w:rPr>
      </w:pPr>
    </w:p>
    <w:p w:rsidR="00976CDF" w:rsidRPr="004618B7"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Arial Narrow" w:hAnsi="Arial Narrow" w:cs="Times New Roman"/>
          <w:szCs w:val="24"/>
          <w:lang w:val="sk-SK"/>
        </w:rPr>
      </w:pPr>
    </w:p>
    <w:p w:rsidR="00976CDF"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Arial Narrow" w:hAnsi="Arial Narrow" w:cs="Times New Roman"/>
          <w:szCs w:val="24"/>
          <w:lang w:val="sk-SK"/>
        </w:rPr>
      </w:pPr>
    </w:p>
    <w:p w:rsidR="00CE0802" w:rsidRPr="004618B7"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Arial Narrow" w:hAnsi="Arial Narrow" w:cs="Times New Roman"/>
          <w:szCs w:val="24"/>
          <w:lang w:val="sk-SK"/>
        </w:rPr>
      </w:pPr>
    </w:p>
    <w:p w:rsidR="00976CDF" w:rsidRPr="004618B7" w:rsidP="00976CDF">
      <w:pPr>
        <w:pStyle w:val="Zakladnm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right"/>
        <w:rPr>
          <w:rFonts w:ascii="Arial Narrow" w:hAnsi="Arial Narrow" w:cs="Times New Roman"/>
          <w:szCs w:val="24"/>
          <w:lang w:val="sk-SK"/>
        </w:rPr>
      </w:pPr>
    </w:p>
    <w:p w:rsidR="001B0C2D" w:rsidRPr="00C96D96" w:rsidP="001B0C2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center"/>
        <w:rPr>
          <w:rFonts w:ascii="Times New Roman" w:hAnsi="Times New Roman" w:cs="Times New Roman"/>
          <w:iCs/>
          <w:szCs w:val="24"/>
          <w:lang w:val="sk-SK"/>
        </w:rPr>
      </w:pPr>
      <w:r w:rsidR="00766559">
        <w:rPr>
          <w:rFonts w:ascii="Times New Roman" w:hAnsi="Times New Roman" w:cs="Times New Roman"/>
          <w:b/>
          <w:bCs/>
          <w:iCs/>
          <w:szCs w:val="28"/>
          <w:lang w:val="sk-SK"/>
        </w:rPr>
        <w:t>3</w:t>
      </w:r>
      <w:r w:rsidRPr="00C96D96">
        <w:rPr>
          <w:rFonts w:ascii="Times New Roman" w:hAnsi="Times New Roman" w:cs="Times New Roman"/>
          <w:b/>
          <w:bCs/>
          <w:iCs/>
          <w:szCs w:val="28"/>
          <w:lang w:val="sk-SK"/>
        </w:rPr>
        <w:t>.2.  Rezerva predsedu vlády Slovenskej republiky</w:t>
      </w:r>
    </w:p>
    <w:p w:rsidR="001B0C2D" w:rsidRPr="00C96D96" w:rsidP="001B0C2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Times New Roman" w:hAnsi="Times New Roman" w:cs="Times New Roman"/>
          <w:color w:val="000000"/>
        </w:rPr>
      </w:pPr>
    </w:p>
    <w:p w:rsidR="00976CDF" w:rsidRPr="00C96D96" w:rsidP="00976CD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Times New Roman" w:hAnsi="Times New Roman" w:cs="Times New Roman"/>
          <w:szCs w:val="24"/>
          <w:lang w:val="sk-SK"/>
        </w:rPr>
      </w:pPr>
      <w:r w:rsidRPr="00C96D96" w:rsidR="001B0C2D">
        <w:rPr>
          <w:rFonts w:ascii="Times New Roman" w:hAnsi="Times New Roman" w:cs="Times New Roman"/>
          <w:szCs w:val="24"/>
          <w:lang w:val="sk-SK"/>
        </w:rPr>
        <w:tab/>
        <w:t>Rezerva  predsedu vlády SR v sume 50 mil. Sk  sa v súlade s § 10 odsek 2 písmeno b)  zákona č. 523/2004 Z. z. o rozpočtových pravidlách verejnej správy a o zmene a doplnení niektorých zákonov v znení neskorších predpisov od 1.1.1996 rozpočtuje a vykazuje v rozpočtovej kapitole Úradu vlády SR. O použití prostriedkov rozhoduje predseda vlády. V roku 2006 sa prostried</w:t>
      </w:r>
      <w:r w:rsidR="001B0C2D">
        <w:rPr>
          <w:rFonts w:ascii="Times New Roman" w:hAnsi="Times New Roman" w:cs="Times New Roman"/>
          <w:szCs w:val="24"/>
          <w:lang w:val="sk-SK"/>
        </w:rPr>
        <w:t>ky čerpali na nasledovné účely:</w:t>
      </w:r>
    </w:p>
    <w:p w:rsidR="00976CDF" w:rsidP="00976CD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jc w:val="both"/>
        <w:rPr>
          <w:rFonts w:ascii="Arial Narrow" w:hAnsi="Arial Narrow" w:cs="Times New Roman"/>
          <w:szCs w:val="24"/>
          <w:lang w:val="sk-SK"/>
        </w:rPr>
      </w:pPr>
    </w:p>
    <w:p w:rsidR="00976CDF"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ind w:left="360"/>
        <w:rPr>
          <w:rFonts w:ascii="Arial Narrow" w:hAnsi="Arial Narrow" w:cs="Times New Roman"/>
          <w:color w:val="000000"/>
        </w:rPr>
        <w:sectPr>
          <w:footerReference w:type="even" r:id="rId6"/>
          <w:footerReference w:type="default" r:id="rId7"/>
          <w:footerReference w:type="first" r:id="rId8"/>
          <w:type w:val="continuous"/>
          <w:pgSz w:w="12242" w:h="15842" w:code="1"/>
          <w:pgMar w:top="1418" w:right="1775" w:bottom="1418" w:left="1440" w:header="0" w:footer="1440" w:gutter="0"/>
          <w:cols w:space="708"/>
          <w:titlePg/>
          <w:bidi w:val="0"/>
        </w:sectPr>
      </w:pPr>
    </w:p>
    <w:p w:rsidR="00976CDF"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ind w:left="360"/>
        <w:rPr>
          <w:rFonts w:ascii="Arial Narrow" w:hAnsi="Arial Narrow" w:cs="Times New Roman"/>
          <w:color w:val="000000"/>
        </w:rPr>
      </w:pPr>
    </w:p>
    <w:tbl>
      <w:tblPr>
        <w:tblW w:w="14951" w:type="dxa"/>
        <w:tblInd w:w="55" w:type="dxa"/>
        <w:tblCellMar>
          <w:left w:w="70" w:type="dxa"/>
          <w:right w:w="70" w:type="dxa"/>
        </w:tblCellMar>
      </w:tblPr>
      <w:tblGrid>
        <w:gridCol w:w="911"/>
        <w:gridCol w:w="4280"/>
        <w:gridCol w:w="7220"/>
        <w:gridCol w:w="1660"/>
        <w:gridCol w:w="880"/>
      </w:tblGrid>
      <w:tr>
        <w:tblPrEx>
          <w:tblW w:w="14951" w:type="dxa"/>
          <w:tblInd w:w="55" w:type="dxa"/>
          <w:tblCellMar>
            <w:left w:w="70" w:type="dxa"/>
            <w:right w:w="70" w:type="dxa"/>
          </w:tblCellMar>
        </w:tblPrEx>
        <w:trPr>
          <w:trHeight w:val="255"/>
        </w:trPr>
        <w:tc>
          <w:tcPr>
            <w:tcW w:w="911" w:type="dxa"/>
            <w:tcBorders>
              <w:top w:val="nil"/>
              <w:left w:val="nil"/>
              <w:bottom w:val="nil"/>
              <w:right w:val="nil"/>
              <w:tl2br w:val="nil"/>
              <w:tr2bl w:val="nil"/>
            </w:tcBorders>
            <w:noWrap/>
            <w:textDirection w:val="lrTb"/>
            <w:vAlign w:val="center"/>
          </w:tcPr>
          <w:p w:rsidR="00976CDF" w:rsidRPr="00543EB3" w:rsidP="00976CDF">
            <w:pPr>
              <w:rPr>
                <w:rFonts w:ascii="Arial" w:hAnsi="Arial" w:cs="Times New Roman"/>
                <w:lang w:bidi="bn-BD"/>
              </w:rPr>
            </w:pPr>
            <w:bookmarkStart w:id="3" w:name="RANGE!A1:E422"/>
            <w:bookmarkEnd w:id="3"/>
          </w:p>
        </w:tc>
        <w:tc>
          <w:tcPr>
            <w:tcW w:w="4280" w:type="dxa"/>
            <w:tcBorders>
              <w:top w:val="nil"/>
              <w:left w:val="nil"/>
              <w:bottom w:val="nil"/>
              <w:right w:val="nil"/>
              <w:tl2br w:val="nil"/>
              <w:tr2bl w:val="nil"/>
            </w:tcBorders>
            <w:noWrap/>
            <w:textDirection w:val="lrTb"/>
            <w:vAlign w:val="center"/>
          </w:tcPr>
          <w:p w:rsidR="00976CDF" w:rsidRPr="00543EB3" w:rsidP="00976CDF">
            <w:pPr>
              <w:rPr>
                <w:rFonts w:ascii="Arial" w:hAnsi="Arial" w:cs="Times New Roman"/>
                <w:lang w:bidi="bn-BD"/>
              </w:rPr>
            </w:pPr>
          </w:p>
        </w:tc>
        <w:tc>
          <w:tcPr>
            <w:tcW w:w="7220" w:type="dxa"/>
            <w:tcBorders>
              <w:top w:val="nil"/>
              <w:left w:val="nil"/>
              <w:bottom w:val="nil"/>
              <w:right w:val="nil"/>
              <w:tl2br w:val="nil"/>
              <w:tr2bl w:val="nil"/>
            </w:tcBorders>
            <w:noWrap/>
            <w:textDirection w:val="lrTb"/>
            <w:vAlign w:val="center"/>
          </w:tcPr>
          <w:p w:rsidR="00976CDF" w:rsidRPr="00543EB3" w:rsidP="00976CDF">
            <w:pPr>
              <w:rPr>
                <w:rFonts w:ascii="Arial" w:hAnsi="Arial" w:cs="Times New Roman"/>
                <w:lang w:bidi="bn-BD"/>
              </w:rPr>
            </w:pPr>
          </w:p>
        </w:tc>
        <w:tc>
          <w:tcPr>
            <w:tcW w:w="1660" w:type="dxa"/>
            <w:tcBorders>
              <w:top w:val="nil"/>
              <w:left w:val="nil"/>
              <w:bottom w:val="nil"/>
              <w:right w:val="nil"/>
              <w:tl2br w:val="nil"/>
              <w:tr2bl w:val="nil"/>
            </w:tcBorders>
            <w:noWrap/>
            <w:textDirection w:val="lrTb"/>
            <w:vAlign w:val="center"/>
          </w:tcPr>
          <w:p w:rsidR="00976CDF" w:rsidRPr="00543EB3" w:rsidP="00976CDF">
            <w:pPr>
              <w:rPr>
                <w:rFonts w:ascii="Arial" w:hAnsi="Arial" w:cs="Times New Roman"/>
                <w:lang w:bidi="bn-BD"/>
              </w:rPr>
            </w:pPr>
          </w:p>
        </w:tc>
        <w:tc>
          <w:tcPr>
            <w:tcW w:w="880" w:type="dxa"/>
            <w:tcBorders>
              <w:top w:val="nil"/>
              <w:left w:val="nil"/>
              <w:bottom w:val="nil"/>
              <w:right w:val="nil"/>
              <w:tl2br w:val="nil"/>
              <w:tr2bl w:val="nil"/>
            </w:tcBorders>
            <w:noWrap/>
            <w:textDirection w:val="lrTb"/>
            <w:vAlign w:val="center"/>
          </w:tcPr>
          <w:p w:rsidR="00976CDF" w:rsidRPr="00543EB3" w:rsidP="00976CDF">
            <w:pPr>
              <w:rPr>
                <w:rFonts w:ascii="Arial" w:hAnsi="Arial" w:cs="Times New Roman"/>
                <w:lang w:bidi="bn-BD"/>
              </w:rPr>
            </w:pPr>
          </w:p>
        </w:tc>
      </w:tr>
      <w:tr>
        <w:tblPrEx>
          <w:tblW w:w="14951" w:type="dxa"/>
          <w:tblInd w:w="55" w:type="dxa"/>
          <w:tblCellMar>
            <w:left w:w="70" w:type="dxa"/>
            <w:right w:w="70" w:type="dxa"/>
          </w:tblCellMar>
        </w:tblPrEx>
        <w:trPr>
          <w:trHeight w:val="315"/>
        </w:trPr>
        <w:tc>
          <w:tcPr>
            <w:tcW w:w="14071" w:type="dxa"/>
            <w:gridSpan w:val="4"/>
            <w:tcBorders>
              <w:top w:val="nil"/>
              <w:left w:val="nil"/>
              <w:bottom w:val="nil"/>
              <w:right w:val="nil"/>
              <w:tl2br w:val="nil"/>
              <w:tr2bl w:val="nil"/>
            </w:tcBorders>
            <w:noWrap/>
            <w:textDirection w:val="lrTb"/>
            <w:vAlign w:val="center"/>
          </w:tcPr>
          <w:p w:rsidR="00976CDF" w:rsidRPr="00543EB3" w:rsidP="00976CDF">
            <w:pPr>
              <w:jc w:val="center"/>
              <w:rPr>
                <w:rFonts w:ascii="Arial" w:hAnsi="Arial" w:cs="Times New Roman"/>
                <w:b/>
                <w:bCs/>
                <w:lang w:bidi="bn-BD"/>
              </w:rPr>
            </w:pPr>
            <w:r w:rsidRPr="00543EB3">
              <w:rPr>
                <w:rFonts w:ascii="Arial" w:hAnsi="Arial" w:cs="Times New Roman"/>
                <w:b/>
                <w:bCs/>
                <w:lang w:bidi="bn-BD"/>
              </w:rPr>
              <w:t>Čerpanie dotácií z rezervy predsed</w:t>
            </w:r>
            <w:r w:rsidRPr="00543EB3">
              <w:rPr>
                <w:rFonts w:ascii="Arial" w:hAnsi="Arial" w:cs="Times New Roman"/>
                <w:b/>
                <w:bCs/>
                <w:lang w:bidi="bn-BD"/>
              </w:rPr>
              <w:t>u vlády SR v roku 2006</w:t>
            </w:r>
          </w:p>
        </w:tc>
        <w:tc>
          <w:tcPr>
            <w:tcW w:w="880" w:type="dxa"/>
            <w:tcBorders>
              <w:top w:val="nil"/>
              <w:left w:val="nil"/>
              <w:bottom w:val="nil"/>
              <w:right w:val="nil"/>
              <w:tl2br w:val="nil"/>
              <w:tr2bl w:val="nil"/>
            </w:tcBorders>
            <w:noWrap/>
            <w:textDirection w:val="lrTb"/>
            <w:vAlign w:val="center"/>
          </w:tcPr>
          <w:p w:rsidR="00976CDF" w:rsidRPr="00543EB3" w:rsidP="00976CDF">
            <w:pPr>
              <w:rPr>
                <w:rFonts w:ascii="Arial" w:hAnsi="Arial" w:cs="Times New Roman"/>
                <w:lang w:bidi="bn-BD"/>
              </w:rPr>
            </w:pPr>
          </w:p>
        </w:tc>
      </w:tr>
      <w:tr>
        <w:tblPrEx>
          <w:tblW w:w="14951" w:type="dxa"/>
          <w:tblInd w:w="55" w:type="dxa"/>
          <w:tblCellMar>
            <w:left w:w="70" w:type="dxa"/>
            <w:right w:w="70" w:type="dxa"/>
          </w:tblCellMar>
        </w:tblPrEx>
        <w:trPr>
          <w:trHeight w:val="199"/>
        </w:trPr>
        <w:tc>
          <w:tcPr>
            <w:tcW w:w="911" w:type="dxa"/>
            <w:tcBorders>
              <w:top w:val="nil"/>
              <w:left w:val="nil"/>
              <w:bottom w:val="nil"/>
              <w:right w:val="nil"/>
              <w:tl2br w:val="nil"/>
              <w:tr2bl w:val="nil"/>
            </w:tcBorders>
            <w:noWrap/>
            <w:textDirection w:val="lrTb"/>
            <w:vAlign w:val="center"/>
          </w:tcPr>
          <w:p w:rsidR="00976CDF" w:rsidRPr="00543EB3" w:rsidP="00976CDF">
            <w:pPr>
              <w:jc w:val="center"/>
              <w:rPr>
                <w:rFonts w:ascii="Arial" w:hAnsi="Arial" w:cs="Times New Roman"/>
                <w:b/>
                <w:bCs/>
                <w:sz w:val="28"/>
                <w:szCs w:val="28"/>
                <w:lang w:bidi="bn-BD"/>
              </w:rPr>
            </w:pPr>
          </w:p>
        </w:tc>
        <w:tc>
          <w:tcPr>
            <w:tcW w:w="4280" w:type="dxa"/>
            <w:tcBorders>
              <w:top w:val="nil"/>
              <w:left w:val="nil"/>
              <w:bottom w:val="nil"/>
              <w:right w:val="nil"/>
              <w:tl2br w:val="nil"/>
              <w:tr2bl w:val="nil"/>
            </w:tcBorders>
            <w:noWrap/>
            <w:textDirection w:val="lrTb"/>
            <w:vAlign w:val="center"/>
          </w:tcPr>
          <w:p w:rsidR="00976CDF" w:rsidRPr="00543EB3" w:rsidP="00976CDF">
            <w:pPr>
              <w:jc w:val="center"/>
              <w:rPr>
                <w:rFonts w:ascii="Arial" w:hAnsi="Arial" w:cs="Times New Roman"/>
                <w:lang w:bidi="bn-BD"/>
              </w:rPr>
            </w:pPr>
          </w:p>
        </w:tc>
        <w:tc>
          <w:tcPr>
            <w:tcW w:w="7220" w:type="dxa"/>
            <w:tcBorders>
              <w:top w:val="nil"/>
              <w:left w:val="nil"/>
              <w:bottom w:val="nil"/>
              <w:right w:val="nil"/>
              <w:tl2br w:val="nil"/>
              <w:tr2bl w:val="nil"/>
            </w:tcBorders>
            <w:noWrap/>
            <w:textDirection w:val="lrTb"/>
            <w:vAlign w:val="center"/>
          </w:tcPr>
          <w:p w:rsidR="00976CDF" w:rsidRPr="00543EB3" w:rsidP="00976CDF">
            <w:pPr>
              <w:jc w:val="center"/>
              <w:rPr>
                <w:rFonts w:ascii="Arial" w:hAnsi="Arial" w:cs="Times New Roman"/>
                <w:lang w:bidi="bn-BD"/>
              </w:rPr>
            </w:pPr>
          </w:p>
        </w:tc>
        <w:tc>
          <w:tcPr>
            <w:tcW w:w="1660" w:type="dxa"/>
            <w:tcBorders>
              <w:top w:val="nil"/>
              <w:left w:val="nil"/>
              <w:bottom w:val="nil"/>
              <w:right w:val="nil"/>
              <w:tl2br w:val="nil"/>
              <w:tr2bl w:val="nil"/>
            </w:tcBorders>
            <w:noWrap/>
            <w:textDirection w:val="lrTb"/>
            <w:vAlign w:val="center"/>
          </w:tcPr>
          <w:p w:rsidR="00976CDF" w:rsidRPr="00543EB3" w:rsidP="00976CDF">
            <w:pPr>
              <w:jc w:val="center"/>
              <w:rPr>
                <w:rFonts w:ascii="Arial" w:hAnsi="Arial" w:cs="Times New Roman"/>
                <w:lang w:bidi="bn-BD"/>
              </w:rPr>
            </w:pPr>
          </w:p>
        </w:tc>
        <w:tc>
          <w:tcPr>
            <w:tcW w:w="880" w:type="dxa"/>
            <w:tcBorders>
              <w:top w:val="nil"/>
              <w:left w:val="nil"/>
              <w:bottom w:val="nil"/>
              <w:right w:val="nil"/>
              <w:tl2br w:val="nil"/>
              <w:tr2bl w:val="nil"/>
            </w:tcBorders>
            <w:noWrap/>
            <w:textDirection w:val="lrTb"/>
            <w:vAlign w:val="center"/>
          </w:tcPr>
          <w:p w:rsidR="00976CDF" w:rsidRPr="00543EB3" w:rsidP="00976CDF">
            <w:pPr>
              <w:rPr>
                <w:rFonts w:ascii="Arial" w:hAnsi="Arial" w:cs="Times New Roman"/>
                <w:lang w:bidi="bn-BD"/>
              </w:rPr>
            </w:pPr>
          </w:p>
        </w:tc>
      </w:tr>
      <w:tr>
        <w:tblPrEx>
          <w:tblW w:w="14951" w:type="dxa"/>
          <w:tblInd w:w="55" w:type="dxa"/>
          <w:tblCellMar>
            <w:left w:w="70" w:type="dxa"/>
            <w:right w:w="70" w:type="dxa"/>
          </w:tblCellMar>
        </w:tblPrEx>
        <w:trPr>
          <w:trHeight w:val="199"/>
        </w:trPr>
        <w:tc>
          <w:tcPr>
            <w:tcW w:w="911" w:type="dxa"/>
            <w:tcBorders>
              <w:top w:val="nil"/>
              <w:left w:val="nil"/>
              <w:bottom w:val="nil"/>
              <w:right w:val="nil"/>
              <w:tl2br w:val="nil"/>
              <w:tr2bl w:val="nil"/>
            </w:tcBorders>
            <w:noWrap/>
            <w:textDirection w:val="lrTb"/>
            <w:vAlign w:val="center"/>
          </w:tcPr>
          <w:p w:rsidR="00976CDF" w:rsidRPr="00543EB3" w:rsidP="00976CDF">
            <w:pPr>
              <w:jc w:val="center"/>
              <w:rPr>
                <w:rFonts w:ascii="Arial" w:hAnsi="Arial" w:cs="Times New Roman"/>
                <w:b/>
                <w:bCs/>
                <w:sz w:val="28"/>
                <w:szCs w:val="28"/>
                <w:lang w:bidi="bn-BD"/>
              </w:rPr>
            </w:pPr>
          </w:p>
        </w:tc>
        <w:tc>
          <w:tcPr>
            <w:tcW w:w="4280" w:type="dxa"/>
            <w:tcBorders>
              <w:top w:val="nil"/>
              <w:left w:val="nil"/>
              <w:bottom w:val="nil"/>
              <w:right w:val="nil"/>
              <w:tl2br w:val="nil"/>
              <w:tr2bl w:val="nil"/>
            </w:tcBorders>
            <w:noWrap/>
            <w:textDirection w:val="lrTb"/>
            <w:vAlign w:val="center"/>
          </w:tcPr>
          <w:p w:rsidR="00976CDF" w:rsidRPr="00543EB3" w:rsidP="00976CDF">
            <w:pPr>
              <w:jc w:val="center"/>
              <w:rPr>
                <w:rFonts w:ascii="Arial" w:hAnsi="Arial" w:cs="Times New Roman"/>
                <w:lang w:bidi="bn-BD"/>
              </w:rPr>
            </w:pPr>
          </w:p>
        </w:tc>
        <w:tc>
          <w:tcPr>
            <w:tcW w:w="7220" w:type="dxa"/>
            <w:tcBorders>
              <w:top w:val="nil"/>
              <w:left w:val="nil"/>
              <w:bottom w:val="nil"/>
              <w:right w:val="nil"/>
              <w:tl2br w:val="nil"/>
              <w:tr2bl w:val="nil"/>
            </w:tcBorders>
            <w:noWrap/>
            <w:textDirection w:val="lrTb"/>
            <w:vAlign w:val="center"/>
          </w:tcPr>
          <w:p w:rsidR="00976CDF" w:rsidRPr="00543EB3" w:rsidP="00976CDF">
            <w:pPr>
              <w:jc w:val="center"/>
              <w:rPr>
                <w:rFonts w:ascii="Arial" w:hAnsi="Arial" w:cs="Times New Roman"/>
                <w:lang w:bidi="bn-BD"/>
              </w:rPr>
            </w:pPr>
          </w:p>
        </w:tc>
        <w:tc>
          <w:tcPr>
            <w:tcW w:w="1660" w:type="dxa"/>
            <w:tcBorders>
              <w:top w:val="nil"/>
              <w:left w:val="nil"/>
              <w:bottom w:val="nil"/>
              <w:right w:val="nil"/>
              <w:tl2br w:val="nil"/>
              <w:tr2bl w:val="nil"/>
            </w:tcBorders>
            <w:noWrap/>
            <w:textDirection w:val="lrTb"/>
            <w:vAlign w:val="center"/>
          </w:tcPr>
          <w:p w:rsidR="00976CDF" w:rsidRPr="00543EB3" w:rsidP="00976CDF">
            <w:pPr>
              <w:jc w:val="center"/>
              <w:rPr>
                <w:rFonts w:ascii="Arial" w:hAnsi="Arial" w:cs="Times New Roman"/>
                <w:lang w:bidi="bn-BD"/>
              </w:rPr>
            </w:pPr>
          </w:p>
        </w:tc>
        <w:tc>
          <w:tcPr>
            <w:tcW w:w="880" w:type="dxa"/>
            <w:tcBorders>
              <w:top w:val="nil"/>
              <w:left w:val="nil"/>
              <w:bottom w:val="nil"/>
              <w:right w:val="nil"/>
              <w:tl2br w:val="nil"/>
              <w:tr2bl w:val="nil"/>
            </w:tcBorders>
            <w:noWrap/>
            <w:textDirection w:val="lrTb"/>
            <w:vAlign w:val="center"/>
          </w:tcPr>
          <w:p w:rsidR="00976CDF" w:rsidRPr="00543EB3" w:rsidP="00976CDF">
            <w:pPr>
              <w:rPr>
                <w:rFonts w:ascii="Arial" w:hAnsi="Arial" w:cs="Times New Roman"/>
                <w:lang w:bidi="bn-BD"/>
              </w:rPr>
            </w:pPr>
          </w:p>
        </w:tc>
      </w:tr>
      <w:tr>
        <w:tblPrEx>
          <w:tblW w:w="14951" w:type="dxa"/>
          <w:tblInd w:w="55" w:type="dxa"/>
          <w:tblCellMar>
            <w:left w:w="70" w:type="dxa"/>
            <w:right w:w="70" w:type="dxa"/>
          </w:tblCellMar>
        </w:tblPrEx>
        <w:trPr>
          <w:trHeight w:val="199"/>
        </w:trPr>
        <w:tc>
          <w:tcPr>
            <w:tcW w:w="911" w:type="dxa"/>
            <w:tcBorders>
              <w:top w:val="nil"/>
              <w:left w:val="nil"/>
              <w:bottom w:val="nil"/>
              <w:right w:val="nil"/>
              <w:tl2br w:val="nil"/>
              <w:tr2bl w:val="nil"/>
            </w:tcBorders>
            <w:noWrap/>
            <w:textDirection w:val="lrTb"/>
            <w:vAlign w:val="center"/>
          </w:tcPr>
          <w:p w:rsidR="00976CDF" w:rsidRPr="00543EB3" w:rsidP="00976CDF">
            <w:pPr>
              <w:rPr>
                <w:rFonts w:ascii="Arial" w:hAnsi="Arial" w:cs="Times New Roman"/>
                <w:lang w:bidi="bn-BD"/>
              </w:rPr>
            </w:pPr>
          </w:p>
        </w:tc>
        <w:tc>
          <w:tcPr>
            <w:tcW w:w="4280" w:type="dxa"/>
            <w:tcBorders>
              <w:top w:val="nil"/>
              <w:left w:val="nil"/>
              <w:bottom w:val="nil"/>
              <w:right w:val="nil"/>
              <w:tl2br w:val="nil"/>
              <w:tr2bl w:val="nil"/>
            </w:tcBorders>
            <w:noWrap/>
            <w:textDirection w:val="lrTb"/>
            <w:vAlign w:val="center"/>
          </w:tcPr>
          <w:p w:rsidR="00976CDF" w:rsidRPr="00543EB3" w:rsidP="00976CDF">
            <w:pPr>
              <w:rPr>
                <w:rFonts w:ascii="Arial" w:hAnsi="Arial" w:cs="Times New Roman"/>
                <w:lang w:bidi="bn-BD"/>
              </w:rPr>
            </w:pPr>
          </w:p>
        </w:tc>
        <w:tc>
          <w:tcPr>
            <w:tcW w:w="7220" w:type="dxa"/>
            <w:tcBorders>
              <w:top w:val="nil"/>
              <w:left w:val="nil"/>
              <w:bottom w:val="nil"/>
              <w:right w:val="nil"/>
              <w:tl2br w:val="nil"/>
              <w:tr2bl w:val="nil"/>
            </w:tcBorders>
            <w:noWrap/>
            <w:textDirection w:val="lrTb"/>
            <w:vAlign w:val="center"/>
          </w:tcPr>
          <w:p w:rsidR="00976CDF" w:rsidRPr="00543EB3" w:rsidP="00976CDF">
            <w:pPr>
              <w:rPr>
                <w:rFonts w:ascii="Arial" w:hAnsi="Arial" w:cs="Times New Roman"/>
                <w:lang w:bidi="bn-BD"/>
              </w:rPr>
            </w:pPr>
          </w:p>
        </w:tc>
        <w:tc>
          <w:tcPr>
            <w:tcW w:w="1660" w:type="dxa"/>
            <w:tcBorders>
              <w:top w:val="nil"/>
              <w:left w:val="nil"/>
              <w:bottom w:val="nil"/>
              <w:right w:val="nil"/>
              <w:tl2br w:val="nil"/>
              <w:tr2bl w:val="nil"/>
            </w:tcBorders>
            <w:noWrap/>
            <w:textDirection w:val="lrTb"/>
            <w:vAlign w:val="center"/>
          </w:tcPr>
          <w:p w:rsidR="00976CDF" w:rsidRPr="00543EB3" w:rsidP="00976CDF">
            <w:pPr>
              <w:rPr>
                <w:rFonts w:ascii="Arial" w:hAnsi="Arial" w:cs="Times New Roman"/>
                <w:lang w:bidi="bn-BD"/>
              </w:rPr>
            </w:pPr>
          </w:p>
        </w:tc>
        <w:tc>
          <w:tcPr>
            <w:tcW w:w="880" w:type="dxa"/>
            <w:tcBorders>
              <w:top w:val="nil"/>
              <w:left w:val="nil"/>
              <w:bottom w:val="nil"/>
              <w:right w:val="nil"/>
              <w:tl2br w:val="nil"/>
              <w:tr2bl w:val="nil"/>
            </w:tcBorders>
            <w:noWrap/>
            <w:textDirection w:val="lrTb"/>
            <w:vAlign w:val="center"/>
          </w:tcPr>
          <w:p w:rsidR="00976CDF" w:rsidRPr="00543EB3" w:rsidP="00976CDF">
            <w:pPr>
              <w:rPr>
                <w:rFonts w:ascii="Arial" w:hAnsi="Arial" w:cs="Times New Roman"/>
                <w:lang w:bidi="bn-BD"/>
              </w:rPr>
            </w:pPr>
          </w:p>
        </w:tc>
      </w:tr>
      <w:tr>
        <w:tblPrEx>
          <w:tblW w:w="14951" w:type="dxa"/>
          <w:tblInd w:w="55" w:type="dxa"/>
          <w:tblCellMar>
            <w:left w:w="70" w:type="dxa"/>
            <w:right w:w="70" w:type="dxa"/>
          </w:tblCellMar>
        </w:tblPrEx>
        <w:trPr>
          <w:trHeight w:val="300"/>
        </w:trPr>
        <w:tc>
          <w:tcPr>
            <w:tcW w:w="911" w:type="dxa"/>
            <w:vMerge w:val="restart"/>
            <w:tcBorders>
              <w:top w:val="single" w:sz="8" w:space="0" w:color="auto"/>
              <w:left w:val="single" w:sz="8" w:space="0" w:color="auto"/>
              <w:bottom w:val="single" w:sz="4" w:space="0" w:color="auto"/>
              <w:right w:val="single" w:sz="4" w:space="0" w:color="auto"/>
              <w:tl2br w:val="nil"/>
              <w:tr2bl w:val="nil"/>
            </w:tcBorders>
            <w:textDirection w:val="lrTb"/>
            <w:vAlign w:val="center"/>
          </w:tcPr>
          <w:p w:rsidR="00976CDF" w:rsidRPr="00D40CB2" w:rsidP="00976CDF">
            <w:pPr>
              <w:jc w:val="center"/>
              <w:rPr>
                <w:rFonts w:ascii="Arial" w:hAnsi="Arial" w:cs="Times New Roman"/>
                <w:b/>
                <w:bCs/>
                <w:sz w:val="22"/>
                <w:szCs w:val="22"/>
                <w:lang w:bidi="bn-BD"/>
              </w:rPr>
            </w:pPr>
            <w:r w:rsidRPr="00D40CB2">
              <w:rPr>
                <w:rFonts w:ascii="Arial" w:hAnsi="Arial" w:cs="Times New Roman"/>
                <w:b/>
                <w:bCs/>
                <w:sz w:val="22"/>
                <w:szCs w:val="22"/>
                <w:lang w:bidi="bn-BD"/>
              </w:rPr>
              <w:t>Por čís.pod</w:t>
            </w:r>
          </w:p>
        </w:tc>
        <w:tc>
          <w:tcPr>
            <w:tcW w:w="4280" w:type="dxa"/>
            <w:vMerge w:val="restart"/>
            <w:tcBorders>
              <w:top w:val="single" w:sz="8" w:space="0" w:color="auto"/>
              <w:left w:val="single" w:sz="4" w:space="0" w:color="auto"/>
              <w:bottom w:val="single" w:sz="4" w:space="0" w:color="auto"/>
              <w:right w:val="single" w:sz="4" w:space="0" w:color="auto"/>
              <w:tl2br w:val="nil"/>
              <w:tr2bl w:val="nil"/>
            </w:tcBorders>
            <w:textDirection w:val="lrTb"/>
            <w:vAlign w:val="center"/>
          </w:tcPr>
          <w:p w:rsidR="00976CDF" w:rsidRPr="00D40CB2" w:rsidP="00976CDF">
            <w:pPr>
              <w:jc w:val="center"/>
              <w:rPr>
                <w:rFonts w:ascii="Arial" w:hAnsi="Arial" w:cs="Times New Roman"/>
                <w:b/>
                <w:bCs/>
                <w:sz w:val="22"/>
                <w:szCs w:val="22"/>
                <w:lang w:bidi="bn-BD"/>
              </w:rPr>
            </w:pPr>
            <w:r w:rsidRPr="00D40CB2">
              <w:rPr>
                <w:rFonts w:ascii="Arial" w:hAnsi="Arial" w:cs="Times New Roman"/>
                <w:b/>
                <w:bCs/>
                <w:sz w:val="22"/>
                <w:szCs w:val="22"/>
                <w:lang w:bidi="bn-BD"/>
              </w:rPr>
              <w:t>Žiadateľ</w:t>
            </w:r>
          </w:p>
        </w:tc>
        <w:tc>
          <w:tcPr>
            <w:tcW w:w="7220" w:type="dxa"/>
            <w:vMerge w:val="restart"/>
            <w:tcBorders>
              <w:top w:val="single" w:sz="8" w:space="0" w:color="auto"/>
              <w:left w:val="single" w:sz="4" w:space="0" w:color="auto"/>
              <w:bottom w:val="single" w:sz="4" w:space="0" w:color="000000"/>
              <w:right w:val="single" w:sz="4" w:space="0" w:color="auto"/>
              <w:tl2br w:val="nil"/>
              <w:tr2bl w:val="nil"/>
            </w:tcBorders>
            <w:textDirection w:val="lrTb"/>
            <w:vAlign w:val="center"/>
          </w:tcPr>
          <w:p w:rsidR="00976CDF" w:rsidRPr="00D40CB2" w:rsidP="00976CDF">
            <w:pPr>
              <w:jc w:val="center"/>
              <w:rPr>
                <w:rFonts w:ascii="Arial" w:hAnsi="Arial" w:cs="Times New Roman"/>
                <w:b/>
                <w:bCs/>
                <w:sz w:val="22"/>
                <w:szCs w:val="22"/>
                <w:lang w:bidi="bn-BD"/>
              </w:rPr>
            </w:pPr>
            <w:r w:rsidRPr="00D40CB2">
              <w:rPr>
                <w:rFonts w:ascii="Arial" w:hAnsi="Arial" w:cs="Times New Roman"/>
                <w:b/>
                <w:bCs/>
                <w:sz w:val="22"/>
                <w:szCs w:val="22"/>
                <w:lang w:bidi="bn-BD"/>
              </w:rPr>
              <w:t>Účel použitia</w:t>
            </w:r>
          </w:p>
        </w:tc>
        <w:tc>
          <w:tcPr>
            <w:tcW w:w="1660" w:type="dxa"/>
            <w:vMerge w:val="restart"/>
            <w:tcBorders>
              <w:top w:val="single" w:sz="8" w:space="0" w:color="auto"/>
              <w:left w:val="single" w:sz="4" w:space="0" w:color="auto"/>
              <w:bottom w:val="single" w:sz="4" w:space="0" w:color="auto"/>
              <w:right w:val="single" w:sz="8" w:space="0" w:color="auto"/>
              <w:tl2br w:val="nil"/>
              <w:tr2bl w:val="nil"/>
            </w:tcBorders>
            <w:textDirection w:val="lrTb"/>
            <w:vAlign w:val="center"/>
          </w:tcPr>
          <w:p w:rsidR="00976CDF" w:rsidRPr="00D40CB2" w:rsidP="00976CDF">
            <w:pPr>
              <w:jc w:val="center"/>
              <w:rPr>
                <w:rFonts w:ascii="Arial" w:hAnsi="Arial" w:cs="Times New Roman"/>
                <w:b/>
                <w:bCs/>
                <w:sz w:val="22"/>
                <w:szCs w:val="22"/>
                <w:lang w:bidi="bn-BD"/>
              </w:rPr>
            </w:pPr>
            <w:r w:rsidRPr="00D40CB2">
              <w:rPr>
                <w:rFonts w:ascii="Arial" w:hAnsi="Arial" w:cs="Times New Roman"/>
                <w:b/>
                <w:bCs/>
                <w:sz w:val="22"/>
                <w:szCs w:val="22"/>
                <w:lang w:bidi="bn-BD"/>
              </w:rPr>
              <w:t xml:space="preserve"> Poukázaná suma v Sk </w:t>
            </w:r>
          </w:p>
        </w:tc>
        <w:tc>
          <w:tcPr>
            <w:tcW w:w="880" w:type="dxa"/>
            <w:tcBorders>
              <w:top w:val="nil"/>
              <w:left w:val="nil"/>
              <w:bottom w:val="nil"/>
              <w:right w:val="nil"/>
              <w:tl2br w:val="nil"/>
              <w:tr2bl w:val="nil"/>
            </w:tcBorders>
            <w:noWrap/>
            <w:textDirection w:val="lrTb"/>
            <w:vAlign w:val="center"/>
          </w:tcPr>
          <w:p w:rsidR="00976CDF" w:rsidRPr="00543EB3" w:rsidP="00976CDF">
            <w:pPr>
              <w:rPr>
                <w:rFonts w:ascii="Arial" w:hAnsi="Arial" w:cs="Times New Roman"/>
                <w:sz w:val="22"/>
                <w:szCs w:val="22"/>
                <w:lang w:bidi="bn-BD"/>
              </w:rPr>
            </w:pPr>
          </w:p>
        </w:tc>
      </w:tr>
      <w:tr>
        <w:tblPrEx>
          <w:tblW w:w="14951" w:type="dxa"/>
          <w:tblInd w:w="55" w:type="dxa"/>
          <w:tblCellMar>
            <w:left w:w="70" w:type="dxa"/>
            <w:right w:w="70" w:type="dxa"/>
          </w:tblCellMar>
        </w:tblPrEx>
        <w:trPr>
          <w:trHeight w:val="285"/>
        </w:trPr>
        <w:tc>
          <w:tcPr>
            <w:tcW w:w="911" w:type="dxa"/>
            <w:vMerge/>
            <w:tcBorders>
              <w:top w:val="single" w:sz="8" w:space="0" w:color="auto"/>
              <w:left w:val="single" w:sz="8" w:space="0" w:color="auto"/>
              <w:bottom w:val="single" w:sz="4" w:space="0" w:color="auto"/>
              <w:right w:val="single" w:sz="4" w:space="0" w:color="auto"/>
              <w:tl2br w:val="nil"/>
              <w:tr2bl w:val="nil"/>
            </w:tcBorders>
            <w:textDirection w:val="lrTb"/>
            <w:vAlign w:val="center"/>
          </w:tcPr>
          <w:p w:rsidR="00976CDF" w:rsidRPr="00543EB3" w:rsidP="00976CDF">
            <w:pPr>
              <w:rPr>
                <w:rFonts w:ascii="Arial" w:hAnsi="Arial" w:cs="Times New Roman"/>
                <w:b/>
                <w:bCs/>
                <w:sz w:val="22"/>
                <w:szCs w:val="22"/>
                <w:lang w:bidi="bn-BD"/>
              </w:rPr>
            </w:pPr>
          </w:p>
        </w:tc>
        <w:tc>
          <w:tcPr>
            <w:tcW w:w="4280" w:type="dxa"/>
            <w:vMerge/>
            <w:tcBorders>
              <w:top w:val="single" w:sz="8" w:space="0" w:color="auto"/>
              <w:left w:val="single" w:sz="4" w:space="0" w:color="auto"/>
              <w:bottom w:val="single" w:sz="4" w:space="0" w:color="auto"/>
              <w:right w:val="single" w:sz="4" w:space="0" w:color="auto"/>
              <w:tl2br w:val="nil"/>
              <w:tr2bl w:val="nil"/>
            </w:tcBorders>
            <w:textDirection w:val="lrTb"/>
            <w:vAlign w:val="center"/>
          </w:tcPr>
          <w:p w:rsidR="00976CDF" w:rsidRPr="00543EB3" w:rsidP="00976CDF">
            <w:pPr>
              <w:rPr>
                <w:rFonts w:ascii="Arial" w:hAnsi="Arial" w:cs="Times New Roman"/>
                <w:b/>
                <w:bCs/>
                <w:sz w:val="22"/>
                <w:szCs w:val="22"/>
                <w:lang w:bidi="bn-BD"/>
              </w:rPr>
            </w:pPr>
          </w:p>
        </w:tc>
        <w:tc>
          <w:tcPr>
            <w:tcW w:w="7220" w:type="dxa"/>
            <w:vMerge/>
            <w:tcBorders>
              <w:top w:val="single" w:sz="8" w:space="0" w:color="auto"/>
              <w:left w:val="single" w:sz="4" w:space="0" w:color="auto"/>
              <w:bottom w:val="single" w:sz="4" w:space="0" w:color="000000"/>
              <w:right w:val="single" w:sz="4" w:space="0" w:color="auto"/>
              <w:tl2br w:val="nil"/>
              <w:tr2bl w:val="nil"/>
            </w:tcBorders>
            <w:textDirection w:val="lrTb"/>
            <w:vAlign w:val="center"/>
          </w:tcPr>
          <w:p w:rsidR="00976CDF" w:rsidRPr="00543EB3" w:rsidP="00976CDF">
            <w:pPr>
              <w:rPr>
                <w:rFonts w:ascii="Arial" w:hAnsi="Arial" w:cs="Times New Roman"/>
                <w:b/>
                <w:bCs/>
                <w:sz w:val="22"/>
                <w:szCs w:val="22"/>
                <w:lang w:bidi="bn-BD"/>
              </w:rPr>
            </w:pPr>
          </w:p>
        </w:tc>
        <w:tc>
          <w:tcPr>
            <w:tcW w:w="1660" w:type="dxa"/>
            <w:vMerge/>
            <w:tcBorders>
              <w:top w:val="single" w:sz="8" w:space="0" w:color="auto"/>
              <w:left w:val="single" w:sz="4" w:space="0" w:color="auto"/>
              <w:bottom w:val="single" w:sz="4" w:space="0" w:color="auto"/>
              <w:right w:val="single" w:sz="8" w:space="0" w:color="auto"/>
              <w:tl2br w:val="nil"/>
              <w:tr2bl w:val="nil"/>
            </w:tcBorders>
            <w:textDirection w:val="lrTb"/>
            <w:vAlign w:val="center"/>
          </w:tcPr>
          <w:p w:rsidR="00976CDF" w:rsidRPr="00543EB3" w:rsidP="00976CDF">
            <w:pPr>
              <w:rPr>
                <w:rFonts w:ascii="Arial" w:hAnsi="Arial" w:cs="Times New Roman"/>
                <w:b/>
                <w:bCs/>
                <w:sz w:val="22"/>
                <w:szCs w:val="22"/>
                <w:lang w:bidi="bn-BD"/>
              </w:rPr>
            </w:pPr>
          </w:p>
        </w:tc>
        <w:tc>
          <w:tcPr>
            <w:tcW w:w="880" w:type="dxa"/>
            <w:tcBorders>
              <w:top w:val="nil"/>
              <w:left w:val="nil"/>
              <w:bottom w:val="nil"/>
              <w:right w:val="nil"/>
              <w:tl2br w:val="nil"/>
              <w:tr2bl w:val="nil"/>
            </w:tcBorders>
            <w:noWrap/>
            <w:textDirection w:val="lrTb"/>
            <w:vAlign w:val="center"/>
          </w:tcPr>
          <w:p w:rsidR="00976CDF" w:rsidRPr="00543EB3" w:rsidP="00976CDF">
            <w:pPr>
              <w:rPr>
                <w:rFonts w:ascii="Arial" w:hAnsi="Arial" w:cs="Times New Roman"/>
                <w:sz w:val="22"/>
                <w:szCs w:val="22"/>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D40CB2" w:rsidP="00D40CB2">
            <w:pPr>
              <w:rPr>
                <w:rFonts w:ascii="Arial" w:hAnsi="Arial" w:cs="Times New Roman"/>
                <w:sz w:val="22"/>
                <w:szCs w:val="22"/>
                <w:lang w:bidi="bn-BD"/>
              </w:rPr>
            </w:pPr>
            <w:r w:rsidRPr="00D40CB2">
              <w:rPr>
                <w:rFonts w:ascii="Arial" w:hAnsi="Arial" w:cs="Times New Roman"/>
                <w:sz w:val="22"/>
                <w:szCs w:val="22"/>
                <w:lang w:bidi="bn-BD"/>
              </w:rPr>
              <w:t>Peter Svätojánsky, Nová Lesná, okr. Poprad</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preteková príprava (v skialpinizme) - kúpa hypoxikátora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sz w:val="22"/>
                <w:szCs w:val="22"/>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D40CB2" w:rsidP="00D40CB2">
            <w:pPr>
              <w:rPr>
                <w:rFonts w:ascii="Arial" w:hAnsi="Arial" w:cs="Times New Roman"/>
                <w:sz w:val="22"/>
                <w:szCs w:val="22"/>
                <w:lang w:bidi="bn-BD"/>
              </w:rPr>
            </w:pPr>
            <w:r w:rsidRPr="00D40CB2">
              <w:rPr>
                <w:rFonts w:ascii="Arial" w:hAnsi="Arial" w:cs="Times New Roman"/>
                <w:sz w:val="22"/>
                <w:szCs w:val="22"/>
                <w:lang w:bidi="bn-BD"/>
              </w:rPr>
              <w:t>OZ Hans Christian Andersen, Bratisla</w:t>
            </w:r>
            <w:r w:rsidRPr="00D40CB2">
              <w:rPr>
                <w:rFonts w:ascii="Arial" w:hAnsi="Arial" w:cs="Times New Roman"/>
                <w:sz w:val="22"/>
                <w:szCs w:val="22"/>
                <w:lang w:bidi="bn-BD"/>
              </w:rPr>
              <w:t>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výroba sochy H.CH.Andersena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sz w:val="22"/>
                <w:szCs w:val="22"/>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D40CB2" w:rsidP="00D40CB2">
            <w:pPr>
              <w:rPr>
                <w:rFonts w:ascii="Arial" w:hAnsi="Arial" w:cs="Times New Roman"/>
                <w:sz w:val="22"/>
                <w:szCs w:val="22"/>
                <w:lang w:bidi="bn-BD"/>
              </w:rPr>
            </w:pPr>
            <w:r w:rsidRPr="00D40CB2">
              <w:rPr>
                <w:rFonts w:ascii="Arial" w:hAnsi="Arial" w:cs="Times New Roman"/>
                <w:sz w:val="22"/>
                <w:szCs w:val="22"/>
                <w:lang w:bidi="bn-BD"/>
              </w:rPr>
              <w:t>RKFÚ Sv. Martina Hankovce, okr. Bardejov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obnova kostola Sv. Martina v Hankovciach</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sz w:val="22"/>
                <w:szCs w:val="22"/>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D40CB2" w:rsidP="00D40CB2">
            <w:pPr>
              <w:rPr>
                <w:rFonts w:ascii="Arial" w:hAnsi="Arial" w:cs="Times New Roman"/>
                <w:sz w:val="22"/>
                <w:szCs w:val="22"/>
                <w:lang w:bidi="bn-BD"/>
              </w:rPr>
            </w:pPr>
            <w:r w:rsidRPr="00D40CB2">
              <w:rPr>
                <w:rFonts w:ascii="Arial" w:hAnsi="Arial" w:cs="Times New Roman"/>
                <w:sz w:val="22"/>
                <w:szCs w:val="22"/>
                <w:lang w:bidi="bn-BD"/>
              </w:rPr>
              <w:t>Obec Nižná, okr. Tvrdošín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riešenie havarijného stavu výmeníkovej stanice tepla v ZŠ s MŠ v obci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sz w:val="22"/>
                <w:szCs w:val="22"/>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D40CB2" w:rsidP="00D40CB2">
            <w:pPr>
              <w:rPr>
                <w:rFonts w:ascii="Arial" w:hAnsi="Arial" w:cs="Times New Roman"/>
                <w:sz w:val="22"/>
                <w:szCs w:val="22"/>
                <w:lang w:bidi="bn-BD"/>
              </w:rPr>
            </w:pPr>
            <w:r w:rsidRPr="00D40CB2">
              <w:rPr>
                <w:rFonts w:ascii="Arial" w:hAnsi="Arial" w:cs="Times New Roman"/>
                <w:sz w:val="22"/>
                <w:szCs w:val="22"/>
                <w:lang w:bidi="bn-BD"/>
              </w:rPr>
              <w:t>OZ Stop fajčeniu,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organizácia a zabezpečenie projektu "Súťaž nefajčiarskych tried 2005/2006"</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30 000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sz w:val="22"/>
                <w:szCs w:val="22"/>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D40CB2" w:rsidP="00D40CB2">
            <w:pPr>
              <w:rPr>
                <w:rFonts w:ascii="Arial" w:hAnsi="Arial" w:cs="Times New Roman"/>
                <w:sz w:val="22"/>
                <w:szCs w:val="22"/>
                <w:lang w:bidi="bn-BD"/>
              </w:rPr>
            </w:pPr>
            <w:r w:rsidRPr="00D40CB2">
              <w:rPr>
                <w:rFonts w:ascii="Arial" w:hAnsi="Arial" w:cs="Times New Roman"/>
                <w:sz w:val="22"/>
                <w:szCs w:val="22"/>
                <w:lang w:bidi="bn-BD"/>
              </w:rPr>
              <w:t>OZ Žitavská komunita Vráble, o.z.</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budovanie oddychovej zóny Park Žitava - stavebné úpravy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sz w:val="22"/>
                <w:szCs w:val="22"/>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D40CB2" w:rsidP="00D40CB2">
            <w:pPr>
              <w:rPr>
                <w:rFonts w:ascii="Arial" w:hAnsi="Arial" w:cs="Times New Roman"/>
                <w:sz w:val="22"/>
                <w:szCs w:val="22"/>
                <w:lang w:bidi="bn-BD"/>
              </w:rPr>
            </w:pPr>
            <w:r w:rsidRPr="00D40CB2">
              <w:rPr>
                <w:rFonts w:ascii="Arial" w:hAnsi="Arial" w:cs="Times New Roman"/>
                <w:sz w:val="22"/>
                <w:szCs w:val="22"/>
                <w:lang w:bidi="bn-BD"/>
              </w:rPr>
              <w:t>RKC farnosť Cífer, okr. Trnava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dokončenie suterénu prístavby fary - pastoračného centra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sz w:val="22"/>
                <w:szCs w:val="22"/>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D40CB2" w:rsidP="00D40CB2">
            <w:pPr>
              <w:rPr>
                <w:rFonts w:ascii="Arial" w:hAnsi="Arial" w:cs="Times New Roman"/>
                <w:sz w:val="22"/>
                <w:szCs w:val="22"/>
                <w:lang w:bidi="bn-BD"/>
              </w:rPr>
            </w:pPr>
            <w:r w:rsidRPr="00D40CB2">
              <w:rPr>
                <w:rFonts w:ascii="Arial" w:hAnsi="Arial" w:cs="Times New Roman"/>
                <w:sz w:val="22"/>
                <w:szCs w:val="22"/>
                <w:lang w:bidi="bn-BD"/>
              </w:rPr>
              <w:t>Obec Alekšince, okr. Nitra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kotolne ZŠ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sz w:val="22"/>
                <w:szCs w:val="22"/>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D40CB2" w:rsidP="00D40CB2">
            <w:pPr>
              <w:rPr>
                <w:rFonts w:ascii="Arial" w:hAnsi="Arial" w:cs="Times New Roman"/>
                <w:sz w:val="22"/>
                <w:szCs w:val="22"/>
                <w:lang w:bidi="bn-BD"/>
              </w:rPr>
            </w:pPr>
            <w:r w:rsidRPr="00D40CB2">
              <w:rPr>
                <w:rFonts w:ascii="Arial" w:hAnsi="Arial" w:cs="Times New Roman"/>
                <w:sz w:val="22"/>
                <w:szCs w:val="22"/>
                <w:lang w:bidi="bn-BD"/>
              </w:rPr>
              <w:t>Obec Nižný Žipov, okr. Trebišov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strechy MŠ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sz w:val="22"/>
                <w:szCs w:val="22"/>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D40CB2" w:rsidP="00D40CB2">
            <w:pPr>
              <w:rPr>
                <w:rFonts w:ascii="Arial" w:hAnsi="Arial" w:cs="Times New Roman"/>
                <w:sz w:val="22"/>
                <w:szCs w:val="22"/>
                <w:lang w:bidi="bn-BD"/>
              </w:rPr>
            </w:pPr>
            <w:r w:rsidRPr="00D40CB2">
              <w:rPr>
                <w:rFonts w:ascii="Arial" w:hAnsi="Arial" w:cs="Times New Roman"/>
                <w:sz w:val="22"/>
                <w:szCs w:val="22"/>
                <w:lang w:bidi="bn-BD"/>
              </w:rPr>
              <w:t>Peter Polák, Košice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dofinancovanie prípravy 12-hod. behu vo Fínsku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sz w:val="22"/>
                <w:szCs w:val="22"/>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D40CB2" w:rsidP="00D40CB2">
            <w:pPr>
              <w:rPr>
                <w:rFonts w:ascii="Arial" w:hAnsi="Arial" w:cs="Times New Roman"/>
                <w:sz w:val="22"/>
                <w:szCs w:val="22"/>
                <w:lang w:bidi="bn-BD"/>
              </w:rPr>
            </w:pPr>
            <w:r w:rsidRPr="00D40CB2">
              <w:rPr>
                <w:rFonts w:ascii="Arial" w:hAnsi="Arial" w:cs="Times New Roman"/>
                <w:sz w:val="22"/>
                <w:szCs w:val="22"/>
                <w:lang w:bidi="bn-BD"/>
              </w:rPr>
              <w:t>Obec Radošovce, okr. Skalica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zariadenie kultúrneho domu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sz w:val="22"/>
                <w:szCs w:val="22"/>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D40CB2" w:rsidP="00D40CB2">
            <w:pPr>
              <w:rPr>
                <w:rFonts w:ascii="Arial" w:hAnsi="Arial" w:cs="Times New Roman"/>
                <w:sz w:val="22"/>
                <w:szCs w:val="22"/>
                <w:lang w:bidi="bn-BD"/>
              </w:rPr>
            </w:pPr>
            <w:r w:rsidRPr="00D40CB2">
              <w:rPr>
                <w:rFonts w:ascii="Arial" w:hAnsi="Arial" w:cs="Times New Roman"/>
                <w:sz w:val="22"/>
                <w:szCs w:val="22"/>
                <w:lang w:bidi="bn-BD"/>
              </w:rPr>
              <w:t>Obec Slaská, okr. Žiar n/Hronom</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kúpa snehovej frézy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sz w:val="22"/>
                <w:szCs w:val="22"/>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D40CB2" w:rsidP="00D40CB2">
            <w:pPr>
              <w:rPr>
                <w:rFonts w:ascii="Arial" w:hAnsi="Arial" w:cs="Times New Roman"/>
                <w:sz w:val="22"/>
                <w:szCs w:val="22"/>
                <w:lang w:bidi="bn-BD"/>
              </w:rPr>
            </w:pPr>
            <w:r w:rsidRPr="00D40CB2">
              <w:rPr>
                <w:rFonts w:ascii="Arial" w:hAnsi="Arial" w:cs="Times New Roman"/>
                <w:sz w:val="22"/>
                <w:szCs w:val="22"/>
                <w:lang w:bidi="bn-BD"/>
              </w:rPr>
              <w:t>Obec Rudňany, okr. SNV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obnova kostola  </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sz w:val="22"/>
                <w:szCs w:val="22"/>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D40CB2" w:rsidP="00D40CB2">
            <w:pPr>
              <w:rPr>
                <w:rFonts w:ascii="Arial" w:hAnsi="Arial" w:cs="Times New Roman"/>
                <w:sz w:val="22"/>
                <w:szCs w:val="22"/>
                <w:lang w:bidi="bn-BD"/>
              </w:rPr>
            </w:pPr>
            <w:r w:rsidRPr="00D40CB2">
              <w:rPr>
                <w:rFonts w:ascii="Arial" w:hAnsi="Arial" w:cs="Times New Roman"/>
                <w:sz w:val="22"/>
                <w:szCs w:val="22"/>
                <w:lang w:bidi="bn-BD"/>
              </w:rPr>
              <w:t>Mesto Handlová, okr. Prievidza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vydanie pamätnej knihy mesta Hand</w:t>
            </w:r>
            <w:r w:rsidRPr="00543EB3">
              <w:rPr>
                <w:rFonts w:ascii="Arial" w:hAnsi="Arial" w:cs="Times New Roman"/>
                <w:sz w:val="22"/>
                <w:szCs w:val="22"/>
                <w:lang w:bidi="bn-BD"/>
              </w:rPr>
              <w:t>lová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sz w:val="22"/>
                <w:szCs w:val="22"/>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D40CB2" w:rsidP="00D40CB2">
            <w:pPr>
              <w:rPr>
                <w:rFonts w:ascii="Arial" w:hAnsi="Arial" w:cs="Times New Roman"/>
                <w:sz w:val="22"/>
                <w:szCs w:val="22"/>
                <w:lang w:bidi="bn-BD"/>
              </w:rPr>
            </w:pPr>
            <w:r w:rsidRPr="00D40CB2">
              <w:rPr>
                <w:rFonts w:ascii="Arial" w:hAnsi="Arial" w:cs="Times New Roman"/>
                <w:sz w:val="22"/>
                <w:szCs w:val="22"/>
                <w:lang w:bidi="bn-BD"/>
              </w:rPr>
              <w:t>Obec Častkovce, okr. Nové Mesto n/Váhom</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kultúrneho domu v obci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D40CB2" w:rsidP="00D40CB2">
            <w:pPr>
              <w:rPr>
                <w:rFonts w:ascii="Arial" w:hAnsi="Arial" w:cs="Times New Roman"/>
                <w:sz w:val="22"/>
                <w:szCs w:val="22"/>
                <w:lang w:bidi="bn-BD"/>
              </w:rPr>
            </w:pPr>
            <w:r w:rsidRPr="00D40CB2">
              <w:rPr>
                <w:rFonts w:ascii="Arial" w:hAnsi="Arial" w:cs="Times New Roman"/>
                <w:sz w:val="22"/>
                <w:szCs w:val="22"/>
                <w:lang w:bidi="bn-BD"/>
              </w:rPr>
              <w:t>Vydavateľstvo Verbum, s.r.o., Košice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vydávanie dvojmesačníka a kníh</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17</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D40CB2" w:rsidP="00D40CB2">
            <w:pPr>
              <w:rPr>
                <w:rFonts w:ascii="Arial" w:hAnsi="Arial" w:cs="Times New Roman"/>
                <w:sz w:val="22"/>
                <w:szCs w:val="22"/>
                <w:lang w:bidi="bn-BD"/>
              </w:rPr>
            </w:pPr>
            <w:r w:rsidRPr="00D40CB2">
              <w:rPr>
                <w:rFonts w:ascii="Arial" w:hAnsi="Arial" w:cs="Times New Roman"/>
                <w:sz w:val="22"/>
                <w:szCs w:val="22"/>
                <w:lang w:bidi="bn-BD"/>
              </w:rPr>
              <w:t>Mesto Michalovce</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materiálne zabezpečenie šport.tried - nákup športových potrieb a údržba šport.ihrísk ZŠ Okružná 17</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85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18</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OZ Zubačka, Tisovec</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železničného múzea - nákup stavebného materiálu, vybudovanie teplovzdušného kúrenia, nákup nábytku na zariadenie interiéru ŽM</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Žaškov, okr. Dolný</w:t>
            </w:r>
            <w:r w:rsidRPr="00543EB3">
              <w:rPr>
                <w:rFonts w:ascii="Arial" w:hAnsi="Arial" w:cs="Times New Roman"/>
                <w:sz w:val="22"/>
                <w:szCs w:val="22"/>
                <w:lang w:bidi="bn-BD"/>
              </w:rPr>
              <w:t xml:space="preserve"> Kubín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organizácia 35. ročníka Žaškovského minimaratónu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40 000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Podhájska, okr.Nové Zámky</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výstavba kultúrno-spoločenského centra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Tomáš Masaryk, Holíč</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na činnosť - tenis na vozíčku - materiálové vybavenie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25 000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Libor Turčiak, Mar</w:t>
            </w:r>
            <w:r w:rsidRPr="00543EB3">
              <w:rPr>
                <w:rFonts w:ascii="Arial" w:hAnsi="Arial" w:cs="Times New Roman"/>
                <w:sz w:val="22"/>
                <w:szCs w:val="22"/>
                <w:lang w:bidi="bn-BD"/>
              </w:rPr>
              <w:t>tin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vybavenie domácnosti, náklady spojené s bývaním, ošatenie, obuv, pomôcky pre deti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Marcel Spodník, Nižný Slavkov, okr. Sabinov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dovybavenie domácnosti, ošatenie a obuv pre deti, náklady spojené s cestovaním a liečbou syna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Tatiana </w:t>
            </w:r>
            <w:r w:rsidRPr="00543EB3">
              <w:rPr>
                <w:rFonts w:ascii="Arial" w:hAnsi="Arial" w:cs="Times New Roman"/>
                <w:sz w:val="22"/>
                <w:szCs w:val="22"/>
                <w:lang w:bidi="bn-BD"/>
              </w:rPr>
              <w:t>Strnátová, Galanta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náklady spojené s bývaním, ošatenie a obuv a pomôcky pre deti, lieky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15 000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Dubovce, okr. Skalica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schodov a Domu smútku na cintoríne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80 000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Košický samosprávny kraj  </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zakúpenie hygienickej zdvíhacej stoličky </w:t>
            </w:r>
            <w:r w:rsidRPr="00543EB3">
              <w:rPr>
                <w:rFonts w:ascii="Arial" w:hAnsi="Arial" w:cs="Times New Roman"/>
                <w:sz w:val="22"/>
                <w:szCs w:val="22"/>
                <w:lang w:bidi="bn-BD"/>
              </w:rPr>
              <w:t>pre DD a DSS Košice - Barca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153 745</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Studenec, okr. Levoča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kotolne kultúrneho domu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Krajné, okr. Myjava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výmena okien na budove ZŠ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Lieskovany</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vypracovanie PD a žiadosti, pre fin.mechanizmus EHP a Nórsky fin.mechanizmus na Projekt regionálne centrum mládeže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110 000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30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RKFÚ Kuchyňa, okr. Malacky</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strechy a fasády kostola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31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Mesto Veľké Kapušany</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nákup reproduktorov, zosilovačov, mikrofónov a techn.zariadenia pre Mestské kultúrne stredis</w:t>
            </w:r>
            <w:r w:rsidRPr="00543EB3">
              <w:rPr>
                <w:rFonts w:ascii="Arial" w:hAnsi="Arial" w:cs="Times New Roman"/>
                <w:sz w:val="22"/>
                <w:szCs w:val="22"/>
                <w:lang w:bidi="bn-BD"/>
              </w:rPr>
              <w:t>ko</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46 000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32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RKC farnosť Svidník</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skladu na chránené dielne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33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Matičný telocvičný klub Selce, okr. B.Bystrica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vybudovanie ochranného oplotenia, údržba a oprava strechy tribúny v športovom areáli ŠK Selce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34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Závadka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w:t>
            </w:r>
            <w:r w:rsidRPr="00543EB3">
              <w:rPr>
                <w:rFonts w:ascii="Arial" w:hAnsi="Arial" w:cs="Times New Roman"/>
                <w:sz w:val="22"/>
                <w:szCs w:val="22"/>
                <w:lang w:bidi="bn-BD"/>
              </w:rPr>
              <w:t>ýstavba budovy obecného úradu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35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Donovaly, okr. B.Bystrica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dofinancovanie I. Majstrovstiev stred. Európy pretekov psích záprahov</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450 000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36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RKC farnosť Nové Zámky</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prestavba pastoračného centra na kuchyňu a jedáleň pre bezdomovcov</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37</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TJ Družstevník, Hradište pod Vrátnom, okr. Senica</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vybavenie futbalového oddielu</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38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TJ Sokol, Zubrohlava, okr. Námestovo</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cesty a chodníky v športovom areáli TJ</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39</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SRRZ Poprad,Združenie rodičov pri ZUŠ Michala Vileca, Bardejov</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aparatúr</w:t>
            </w:r>
            <w:r w:rsidRPr="00543EB3">
              <w:rPr>
                <w:rFonts w:ascii="Arial" w:hAnsi="Arial" w:cs="Times New Roman"/>
                <w:sz w:val="22"/>
                <w:szCs w:val="22"/>
                <w:lang w:bidi="bn-BD"/>
              </w:rPr>
              <w:t>a pre kapelu VOX</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40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Gréckokatolícke biskupstvo Prešov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generálna oprava baziliky Minor v Ľutine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41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Futbalový klub Inter Roma Ostrovany</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zakúpenie dresov a futb.lôpt pre futbalový kolektív dospelých a žiakov</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42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Feeling s.r.o. Brati</w:t>
            </w:r>
            <w:r w:rsidRPr="00543EB3">
              <w:rPr>
                <w:rFonts w:ascii="Arial" w:hAnsi="Arial" w:cs="Times New Roman"/>
                <w:sz w:val="22"/>
                <w:szCs w:val="22"/>
                <w:lang w:bidi="bn-BD"/>
              </w:rPr>
              <w:t>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finančná podpora projektu "Zlaté husle-55najlepších muzikantov Slovenska"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43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OZ TGN Kútik umenia Báčsky Petrovec, Srbsko a ČH</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podpora činnosti - účasť na folklórnom festivale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80 000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44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Mesto Modra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výmena okien na MŠ, Sládkovičova ul. V Mo</w:t>
            </w:r>
            <w:r w:rsidRPr="00543EB3">
              <w:rPr>
                <w:rFonts w:ascii="Arial" w:hAnsi="Arial" w:cs="Times New Roman"/>
                <w:sz w:val="22"/>
                <w:szCs w:val="22"/>
                <w:lang w:bidi="bn-BD"/>
              </w:rPr>
              <w:t>dre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45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Slančík</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vybudovanie prístavby k spoločnej budove ObÚ a Kultúrneho domu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46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Cirkevný zbor evanj.cirkvi a.v. na Slovensku, Trnava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dokončenie diakonského domova dôchodcov</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300 000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47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RKC farnosť Prešov-Solivar, Filiálka Ruská N</w:t>
            </w:r>
            <w:r w:rsidRPr="00543EB3">
              <w:rPr>
                <w:rFonts w:ascii="Arial" w:hAnsi="Arial" w:cs="Times New Roman"/>
                <w:sz w:val="22"/>
                <w:szCs w:val="22"/>
                <w:lang w:bidi="bn-BD"/>
              </w:rPr>
              <w:t>ová Ves</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výstavba kostola v obci Ruská Nová Ves</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48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Horná Strehová, okr. Veľký Krtíš</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a údržba barokovo-klasicistického kostola v obci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80 000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49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Mesto Nemšová, okr. Trenčín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rekonštrukcia kultúrneho domu  </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Kňazský domov Koš</w:t>
            </w:r>
            <w:r w:rsidRPr="00543EB3">
              <w:rPr>
                <w:rFonts w:ascii="Arial" w:hAnsi="Arial" w:cs="Times New Roman"/>
                <w:sz w:val="22"/>
                <w:szCs w:val="22"/>
                <w:lang w:bidi="bn-BD"/>
              </w:rPr>
              <w:t>ickej arcidiecézy Augustineum Bardejovské Kúpele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lieč.domu Augustineum</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300 000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Mesto Spišská Belá, okr. Kežmarok</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dokončenie výstavby športového ihriska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Mesto Dubnica n/Váhom, okr.Ilava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renesančno-barokového kaštieľa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OZ Family Cup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organizácia 1. ročníka amatérskych šport. 2-3 generačných rodinných tímov Family Cup</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ISTROART, n.o.,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organizácia koncertu Hommage a Lucia Popp 2006</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RKC farnosť Rohov, okr. Sen</w:t>
            </w:r>
            <w:r w:rsidRPr="00543EB3">
              <w:rPr>
                <w:rFonts w:ascii="Arial" w:hAnsi="Arial" w:cs="Times New Roman"/>
                <w:sz w:val="22"/>
                <w:szCs w:val="22"/>
                <w:lang w:bidi="bn-BD"/>
              </w:rPr>
              <w:t>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kostola v obci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Evanjelický a.v. cirkevný zbor v Sobotišti, okr. Senica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zakúpenie organu do kostola vo filiálke Rovensko</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Radošovce, okr. Skalica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vnútorné vybavenie kultúrneho domu v obci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58</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TJ Družs</w:t>
            </w:r>
            <w:r w:rsidRPr="00543EB3">
              <w:rPr>
                <w:rFonts w:ascii="Arial" w:hAnsi="Arial" w:cs="Times New Roman"/>
                <w:sz w:val="22"/>
                <w:szCs w:val="22"/>
                <w:lang w:bidi="bn-BD"/>
              </w:rPr>
              <w:t>tevník Cerová, okr. Senica</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osvetlenia ihriska a obnovu kabín</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80 000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TJ Sokol Borský Mikuláš, okr. Senica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oplotenie štadióna a prístupovej cesty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90 000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60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Koválov, okr. Senica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strechy budovy ObÚ</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61</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Hradište pod Vrátnom okr. Senica</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kúpa zariadenia do kultúrneho domu</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62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Dychová hudba Hradišťanka Hradište pod Vrátnom, okr. Senica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nákup technického vybavenia kapely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40 000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63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TJ Družstevník, Rovensko, okr. Senica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dokončenie opráv športového areálu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64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Mesto Dolný Kubín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organizácia 10. ročníka Medzinár. súťaže B.Warchala "Talenty pre Európu" pre ZUŠ P.M.Bohúňa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65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Bziny, okr. Dolný Kubín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kostola v obci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66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Chlebnice, okr. Dolný Kubín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výstavba viacúčelového ihriska, kúpa výzbroje pre skupinu histor.šermu DRACCO</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230 000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67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RKC farnosť Nová Dubnica, okr. Ilava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vybudovanie saleziánskeho centra pri kostole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68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Tanečné centrum Fortuna, Poprad</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príspevok na Majstrovstvá Slovenska v tancoch</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69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Tušice, okr. Michalovce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kultúrneho domu - výmena okie</w:t>
            </w:r>
            <w:r w:rsidRPr="00543EB3">
              <w:rPr>
                <w:rFonts w:ascii="Arial" w:hAnsi="Arial" w:cs="Times New Roman"/>
                <w:sz w:val="22"/>
                <w:szCs w:val="22"/>
                <w:lang w:bidi="bn-BD"/>
              </w:rPr>
              <w:t>n a dverí</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70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Atletický klub Martin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organizácia 41. ročníka Medzinárodných cestných pretekov - "Beh k srdcu SNP"</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71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DOMKA, Združenie saleziánskej mládeže, Dubnica n/Váhom, okr. Ilava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dostavba viacúčelového ihriska pri stredisku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72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TJ Družstevník Oravská Poruba, okr. Dolný Kubín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bežná oprava a údržba lyžiarskeho vleku a areálu vleku v obci"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15 000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73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RKC farnosť Pucov, okr. Dolný Kubín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kostola v Pucove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74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Arnutovce, okr. SNV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plynofikácia kostola v obci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75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Pravoslávna cirkevná obec Kojšov, okr. Gelnica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dokončenie pravoslávneho chrámu v obci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76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Bajany, okr. Michalovce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úprava futbalového ihriska a priľahlého okolia,dokončenie stavby rozlúčkovej siene v obci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600 000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77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Čižatice, okr. Košice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 dofinancovanie výstavby polyfunkčného športoviska </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78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Hôrky, okr. Žilina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verejného osvetlenia v obci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79</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Pečovská Nová Ves, okr. Sabinov</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dokončenie rekonštrukcie obecného kaštieľa - sídlo ObÚ a kultúrneho strediska</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80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Harichovce, okr. SNV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výmena okien ZŠ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81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Vinné, okr. Michalovce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prestavba starej školy na ObÚ</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82</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Beniakovce, okr. Košice</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realizácia opráv MŠ</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83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Mesto Brezová pod Bradlom, okr. Myjava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pokrytie nákladov osláv 87. výročia spomienky na M.R.Štefánika - sprievodné akcie a národný beh</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30 000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84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Organizácia muskulárnych dystrofikov v SR,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pokrytie nákladov na usporiadanie medzinárodnej konferencie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85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eMKLUB, Kremnica, okr. Žiar nad Hronom</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podpora projektu - útulok pre dievčatá z DD v obci Malá Lehota - kúpa postelí a skríň</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36 000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86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ZŠ Andreja Kmeťa, Žarnovica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havarijného stavu strechy ZŠ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87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Zbudza, okr. Michalovce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zakúpenie harmoniky a čižiem pre Folklórno-divadelný súbor Soľanka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88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Peter Fedorčák, Prešov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pojazdný vozík za bicykel</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13 000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89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GKC farnosť Tichý Potok, okr. Sabinov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kúrenia v kostole a na fare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90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Veľaty, okr. Trebišov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pokrytie strechy MŠ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91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Švedlár, okr. Gelnica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stavba - "Protipovodňová úprava a hradenie bystriny Lega - Predná dolina"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92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RKC farnosť Moravské Lieskové, okr. Nové Mesto nad Váhom</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renovácia oltárov vo farskom kostole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93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Aeroklub Ružomberok, okr. Ružomberok</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podpora činnosti Aeroklubu - Majstrovstvá Slovenska v presnom pristátí na vetroni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94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NEO, n.o., Nová Dedinka, okr. Senec</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náklady organizácie festivalu Kremnické gagy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95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Detský folklórny súbor KLNKA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účasť na festivale folklórnych súborov sveta v Číne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96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GKC farnosť Veľká Tŕňa, okr. Trebišov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chrámu a farskej budovy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97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Agentúra Amarea, Košice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projekt Visegrad Music Tour 2006 a výstava výtvarných diel študentov z krajín V4 - prenájom priestorov, technické zabezpečenie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80 000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98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Šarišské Jastrabie, okr. Stará Ľubovňa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výstavba mosta cez potok Vesné</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99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Matejovce nad Hornádom, okr. SNV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výmena okien na budove MŠ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100</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OZ DONJON, Martin</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zakúpenie stavebného materiálu</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Revivals, o.z.,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organizácia 6. ročníka festivalu "Hudba pod diamantovou klenbou"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102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Závada, okr. Veľký Krtíš</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dokončenie "Detského ihriska a oddychových plôch v obci"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976CDF">
            <w:pPr>
              <w:jc w:val="right"/>
              <w:rPr>
                <w:rFonts w:ascii="Arial" w:hAnsi="Arial" w:cs="Times New Roman"/>
                <w:sz w:val="22"/>
                <w:szCs w:val="22"/>
                <w:lang w:bidi="bn-BD"/>
              </w:rPr>
            </w:pPr>
            <w:r w:rsidRPr="00543EB3">
              <w:rPr>
                <w:rFonts w:ascii="Arial" w:hAnsi="Arial" w:cs="Times New Roman"/>
                <w:sz w:val="22"/>
                <w:szCs w:val="22"/>
                <w:lang w:bidi="bn-BD"/>
              </w:rPr>
              <w:t>70 000</w:t>
            </w:r>
          </w:p>
        </w:tc>
        <w:tc>
          <w:tcPr>
            <w:tcW w:w="880" w:type="dxa"/>
            <w:tcBorders>
              <w:top w:val="nil"/>
              <w:left w:val="nil"/>
              <w:bottom w:val="nil"/>
              <w:right w:val="nil"/>
              <w:tl2br w:val="nil"/>
              <w:tr2bl w:val="nil"/>
            </w:tcBorders>
            <w:noWrap/>
            <w:textDirection w:val="lrTb"/>
            <w:vAlign w:val="center"/>
          </w:tcPr>
          <w:p w:rsidR="00976CDF" w:rsidRPr="00543EB3" w:rsidP="00976CDF">
            <w:pPr>
              <w:jc w:val="right"/>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103</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jc w:val="both"/>
              <w:rPr>
                <w:rFonts w:ascii="Arial" w:hAnsi="Arial" w:cs="Times New Roman"/>
                <w:sz w:val="22"/>
                <w:szCs w:val="22"/>
                <w:lang w:bidi="bn-BD"/>
              </w:rPr>
            </w:pPr>
            <w:r w:rsidRPr="00543EB3">
              <w:rPr>
                <w:rFonts w:ascii="Arial" w:hAnsi="Arial" w:cs="Times New Roman"/>
                <w:sz w:val="22"/>
                <w:szCs w:val="22"/>
                <w:lang w:bidi="bn-BD"/>
              </w:rPr>
              <w:t>RKC farnosť sv. Juraja, Hubošovce okr. Sabinov</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jc w:val="both"/>
              <w:rPr>
                <w:rFonts w:ascii="Arial" w:hAnsi="Arial" w:cs="Times New Roman"/>
                <w:sz w:val="22"/>
                <w:szCs w:val="22"/>
                <w:lang w:bidi="bn-BD"/>
              </w:rPr>
            </w:pPr>
            <w:r w:rsidRPr="00543EB3">
              <w:rPr>
                <w:rFonts w:ascii="Arial" w:hAnsi="Arial" w:cs="Times New Roman"/>
                <w:sz w:val="22"/>
                <w:szCs w:val="22"/>
                <w:lang w:bidi="bn-BD"/>
              </w:rPr>
              <w:t>kúpa elektroinštalačného materiálu na obnovu kostola</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RKC farnosť Skalka nad Váhom, okr. Trenčín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stredovekého múra v objekte Stredovekého kláštora sv. Andreja - Svorada a Beňadika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Klub Kysuckého maratónu Čadca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organizácia 32. ročníka Kysuckého maratónu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Štefanov nad Oravou, okr. Tvrdošín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stavba domu smútku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Mesto Šahy, okr. Levice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organizácia 25. ročníka Dní kultúry v Honte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Skialpinistický klub Sučany, okr. Martin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pre reprezentantky SR v skialpinizme Zuzanu a Martinu Dobošové</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85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Jazdecký klub "JK" Snina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položenie základného kameňa a betónovej dosky pod budovu Relaxačno-vzdelávacieho a sociálneho centra pre marginalizované skupiny osôb</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110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Senecio-Dom sociálnych služieb, n.o.,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nákup vozíkov a pomôcok na hygienu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70 000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111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OZ Vrakunská beseda,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činnosť OZ - technické vybavenie - príslušenstvo a program do počítača, fax. prístroj, kopírovací stroj</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112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Eurosocial, n.o. Kaluža, okr. Michalovce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vybavenie Domu dôchodcov - kúpa polohovateľných lôžok</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70 000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113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Ambróz Otruba, okr. Dolný Kubín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strechy domu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114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Vyšný Skálnik, okr. Rimavská Sobota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domu pre Máriu Mikulovú</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115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Václav Trnka, Levoča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dovybavenie domácnosti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116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Jozef Dedič, Klokočov, okr. Čadca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náklady spojené s bývaním, vybavenie domácnosti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117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Hokejbalový klub Opička, Veľký Krtíš</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výstavba extraligového hokejbalového ihriska vo Veľkom Krtíši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118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Poloma, okr. Sabinov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projekt úpravy verejného priestranstva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119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Lubina, okr. Nové Mesto n/Váhom</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dokončenie rekonštrukcie chodníka na vstupe do obce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120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ZOM, Prešov - Združenie zdravotne postihnutých</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organizácia celoslovenského športového stretnutia handicapovaných detí a mládeže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121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Tašuľa, okr. Sobrance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výstavba rozlúčkovej miestnosti v obci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122</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Pravoslávna cirkevná obec vo Veľkých Kapušanoch, okr. Michalovce</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stavba chrámu a pastoračného centra</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123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Hodkovce, okr. Košice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sociálnych zariadení v spoločnej budove ObÚ, KD a MŠ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124</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Štós, okr. Košice</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úprava miestneho parku</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80 000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125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Trstice, okr. Galanta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rekonštrukcia kostola </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126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Hažín, okr. Michalovce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dokončenie viacúčelového športového ihriska, zakúpenie 3 autobusových čakární</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127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Lastomír, okr. Michalovce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riešenie havarijnej situácie na budove ZŠ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128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Mesto Vráble, okr. Nitra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realizácia prístavby Mestskej telocvične T 18</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129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Tanečná škola Fresh, Dolný Kubín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činnosť - organizácia prehliadok moderného tanca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130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Parchovany, okr. Trebišov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budovy bývalej MŠ na športové centrum</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131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Súkromné športové gymnázium Trenčianska Teplá, okr. Trenčín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materiálno-technické zabezpečenie potrieb výchovnovzdelávacieho procesu na škole - elokovanej prevádzke T. Teplice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132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Vojčice, okr. Trebišov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Dobudovanie športového areálu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133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Bačkov, okr. Trebišov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zriadenie "Výchovno-vzdelávacie zariadenie pre mládež ..."</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134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GKC farnosť Premenenia Pána Spišská Nová Ves</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dokončenie interiéru chrámu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135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Krušinec, okr. Stropkov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zriadenie oddychového parku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80 000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136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Nižný Slavkov, okr. Sabinov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vybavenie interiéru Domu smútku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137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Súkromná základná umelecká škola Snina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zriadenie počítačovej učebne a kúpa počítačovej techniky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60 000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138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Úrad Eparchiálnej rady pravoslávnej eparchie, Michalovce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strechy MŠ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139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Detský folklórny súbor Čečinka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krojové vybavenie súboru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140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Farský úrad v Kokošovciach, okr. Prešov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obnova interiéru farského úradu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141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Koprivnica, okr. Bardejov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výstavba Domu nádeje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142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Perín - Chym, okr. Košice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strechy Obecného úradu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143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RKC farnosť sv. Cyrila a Metoda Selce, okr. B. Bystrica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farskej budovy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144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Vtáčkovce, okr Košice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hasičskej zbrojnice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145</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Mesto Stropkov</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a modernizácia voliér v ZOO parku</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146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GKC farnosť Hanušovce nad Topľou, okr. Vranov nad Topľou</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vonkajšia úprava chrámu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135 000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147</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UNHCR, zastupiteľský úrad na Slovensku, Bratislava</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pdujatie "Umelci - utečencom"</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160 000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148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Zoltán Pék,Music - Art,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organizácia 3. ročníka festivalu národnostných menšín</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149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Anna Mešťánková, Radošovce, okr. Skalica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dokončenie pomníka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Zemplínsky Branč, okr. Trebišov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usporiadanie žiackeho futbalového turnaja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38 000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Tajná, okr. Nitra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strechy kultúrneho domu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Horná Ves, okr. Žiar nad Hronom</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klubovne dôchodcov</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80 000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Červený Kláštor, okr. Kežmarok</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technická realizácia hraničného priechodu medzi SR a PR</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OZ Podzámoček, Oravský Podzámok, okr Dolný Kubín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realizácia kultúrnej akcie "Dni Oravského podzámku"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Brezany, okr. Žilina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výstavba chodníka v obci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Mesto Modrý Kameň, okr. Veľký Krtíš</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výstavba šatní pri futbalovom ihrisku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PhDr. Ladislav Takáč, Banská Bystrica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vydanie zborníka "V službách demokracie"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RKC, farnosť Fričovce, okr. Prešov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stavba kostola vo filiálke Hendrichovce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Dulova Ves, okr. Prešov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výstavba tenisového kurtu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160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Olejníkov, okr. Sabinov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budovy Kultúrneho domu, Úhrada nákladov spojených s odstraňovaním následkov povodne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161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Konfederácia politických väzňov Slovenska Bratislava </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vydanie druhej knihy svedectiev o zločinnosti komunizmu - Triedni nepriatelia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162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Východný dištrikt Evanjelickej cirkvi a. v. na Slovensku Prešov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fasády budovy Kolégia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163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RKC, farnosť Lopej, okr. Brezno</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výstavba farskej budovy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164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Sláčikový orchester MUSICA IUVENALIS, Košice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účasť orchestra na festivale Japan International Youth Musicale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80 000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165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RKC farnosť Gaboltov, okr. Bardejov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ukončenie rekonštrukcie strechy a vnútorných priestorov fary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166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Slovenská hokejbalová únia,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dokončenie hokejbalového ihriska pre hokejbalový klub Weron</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167</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Slovákov v Českej republike</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inštalácia pamätnej tabule Alexandra Dubčeka v Prahe</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168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Eduard Kmec, okr. Prešov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vybavenie domácnosti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169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Zlatica Hrneková, Piešťany</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vybavenie a úpravy v domácnosti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170</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Katarína Fülöpová, Bratislava</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kúpa ošatenia a pomôcky pre deti</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171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Inštitút Krista Veľkňaza, Žakovce okr. Kežmarok</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Dostavba sociálnych bytov vo Veľkom Slavkove pre odchovancov z detských domovov</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85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172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Laické združenie sestier Nepoškvrneného Srdca Panny Márie Fatimskej, Lesné, okr. Michalovce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Dobudovanie útulku Fatima pre siroty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173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Radatice, okr. Prešov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zriadenie Centra voľného času pre mládež</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174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RKC Farnosť Nová Lesná, okr. Poprad</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nákup tepelného čerpadla na vykurovanie kostola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175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Slovenská asociácia kulturistiky a silového trojboja,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dofinancovanie nákladov na organizáciu ME v kulturistike  mužov a zmiešaných párov a v bodyfitness mužov</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176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OZ Tatry-EU-Vrcholy, Košice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Projekt Panorámy Tatier - umiestnenie informačných tabúľ v TANAPe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90 000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177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Evanjelická cirkev, a. v. farský úrad Vyšná Slaná, okr. Rožňava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oltára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178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Čaklov, okr. Vranov nad Topľou</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kúpa počítačových zostáv pre ZŠ Čaklov</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179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Svätý Peter, okr. Komárno</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ukončenie rekonštrukcie rímskokatolíckeho kostola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180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Hriadky, okr. Trebišov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starej MŠ na obecný úrad</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181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RKC Plechotice, okr Trebišov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cirkevnej pastoračnej budovy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182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Suché, okr. Michalovce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plynofikácia Domu smútku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183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Folklórne občianske združenie Javorie Korytárky, okr. Detva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organizácia 8. ročníka Celoslovenskej prehliadky fujarášov v Korytárkach</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184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Radoma, okr. Svidník</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dokončenie Domu nádeje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185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Reformov.kresť.cirkev, farnosť Zemplínske Hradište, okr. Trebišov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inovácia chrámu v "Bocianopolise"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186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Športový klub Delfín, Nitra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činnosť klubu - letný projekt pre nováčikov</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187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Mosty, československý dvojtýždenník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technické zabezpečenie vydavateľstva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188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Brezovička, okr. Sabinov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dokončenie a oprava regulácie malého potoka v obci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189</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Tenis Centrum FK, Fiľakovo, okr. Lučenec</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dobudovanie tenisového areálu</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190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FC Bradlan Košariská, okr. Myjava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dobudovanie športového areálu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191</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Oravská Jasenica, okr. Námestovo</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Obecného úradu, činnosť a obnova dych.nástrojov pre dych.hudbu M.Hamuljaka</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130 000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192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Pruské, okr. Ilava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dokončenie "Zóny pohybových aktivít"</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193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Dolná Strehová, okr. Veľký Krtíš</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dobudovanie ihriska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194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Mestská časť Bratislava - Rača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riešenie havarijného stavu strechy ZŠ Tbiliská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80 000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195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Kráľov Brod, okr. Galanta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prestavba ZŠ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196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Šarišské Dravce, okr. Sabinov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obnova činosti folklórneho súboru Dravčan - krojové vybavenie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197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RKFÚ Plavnica, okr. Stará Ľubovňa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dostavba kostola v Plavnici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198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Zbudské Dlhé, okr. Humenné</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výstavba Domu nádeje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199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GKC farnosť Hažín nad Cirochou, okr. Humenné</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stavba farskej budovy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Spolok sv. Jána Krstiteľa Medzilaborce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materiálovo-technické vybavenie spolku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Mestský hokejový klub VTJ Sabinov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projekt "Nádej pre hokejové talenty" - kúpa výstroja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80 000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Ľubiša, okr. Humenné</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modernizácia kultúrneho domu v obci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ZMO Spiša, Spišské Tomášovce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organizácia Svetového stretnutia Spišiakov</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Obec Veľká Tŕňa, okr. Trebišov </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údržba miestneho potoka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GKC farnosť Remeniny, okr. Vranov n/Topľou</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strechy kostola v obci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Alexander Daňo, Humenné</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akcia "Expedícia Pamír Pik Lenin 2006"</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OZ Rodina obci, obec rodine Horná Ves, okr. Žiar nad Hronom</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činnosť hokejbal.oddielu SHARKS - kúpa hokejbalového vybavenia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OZ Kalvária v Kremnici okr. Žiar nad Hronom</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výstavba dvoch kaplniek na Kalvárii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Priechod, okr. B. Bystrica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činnosť folklórnej skupiny Priechoďan - krojové a tech.vybavenie a usporiadanie folklórneho popoludnia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210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Slovenská Ľupča, okr. B.Bystrica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vybavenie zrekonštruovanej ZŠ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211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Borša, okr. Trebišov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verejného osvetlenia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212</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RKC farnosť sv. J. Nepomuckého Haniska, okr. Košice</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obnova strechy rímskokatol. kostola v obci</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213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RKC farnosť Štiavnik, okr. Bytča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strechy farského úradu v obci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214</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Domov dôchodcov Radosť, n. o. Výrava, okr. Medzilaborce</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kúpa kotla na tuhé palivo</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80 000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215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GKC farnosť Cejkov, okr. Trebišov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nákup stavebného materiálu na výstavbu nového chrámu v obci Sírnik</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216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Mesto Bojnice, okr. Prievidza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výstavba šatní a soc.zariadení pre hádzanársky mestský klub Slovan</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217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Senné, okr. Michalovce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výmena okien a dverí šatne športového areálu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218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Mesto Myjava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areálu amfiteátra a organizácia 47. Medzin.folklór.festivalu Myjava 2006</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219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Mesto Kremnica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kúpa snežnej frézy a vybudovanie šatní a lavičiek pre korčuliarov pre ZŠ ul. Angyalova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220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Brusno, okr. B. Bystrica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kúpa snežnej frézy a kosačky, zabezpečenie hasičskej techniky a výstroja pre Dobrovoľný hasičský zbor v obci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221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Novoť, okr. Námestovo</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stavba "Cesta Novoť - Dúľov"</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222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Mesto Vrbové, okr. Piešťany</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zachovanie sakrálnych pamiatok</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223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Saleziáni don Bosca, Námestovo</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Centra pre mládež</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224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Oravský Biely Potok, okr. Tvrdošín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mosta cez Studený potok</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225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Bobrov, okr. Námestovo</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kaplniek</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226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Rajecká Lesná, okr. Žilina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výstavba parkoviska pri Lurdskej kaplnke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227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Slovenský zväz sluchovo postihnutých ZO Ilava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organizácia ozdravovacieho sociálno - rehabilitačného pobytu, sociálna rehabilitácia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60 000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228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Sclerosis Multiplex - klub Roska Tornaľa, okr. Revúca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rekondičný pobyt členov klubu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229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Prešovský samosprávny kraj</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nákup 3 počítačových zostáv pre Domov sociálnych služieb Humenné - Podskalka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60 000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230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Soňa Kachničová Brezno</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Náklady na domácnosť, štúdium dcéry, kúpeľná liečba pre dcéru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231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Iveta Mitterová, Hrachovo okr. Rimavská Sobota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hygienického zariadenia (septiku)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232</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Slovenské Nové Mesto, okr. Trebišov</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pre Dobrovoľný hasičský zbor Slovenské Nové Mesto</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233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Veľké Zlievce okr. Veľký Krtíš</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kúrenia v budove Kultúrneho domu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234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Hrašovík, okr. Košice-okolie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komunikácie medzi obcou Hrašovík a obcou Beniakovce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235</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ZŠ Lendak, okr. Kežmarok</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výstavba futbalového cvičného miniihriska pri ZŠ Lendak</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236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OZ Stropek, Stropkov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činnosť Chrámového zboru sv. Cyrila a Metoda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237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Brekov, okr. Humenné</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strechy v MŠ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238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Víťaz, okr. Prešov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dostavba šatní na ihrisku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239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NsP Spišská Nová Ves</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nákup ultrasonografického prístroja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240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OZ Hlava 98,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realizácia podujatia Dní Milana Hodžu 2006</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241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Prietrž, okr. Senica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miestnych komunikácií</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242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Tekovské Lužany, okr. Levice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miestneho rozhlasu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243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Starý Tekov, okr. Levice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MŠ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244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Častkov, okr. Senica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výmena omietok na ZŠ a výmena okien, dverí a omietok na budove ObÚ</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245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Slovenský zväz telesne postihnutých, Banská Bystrica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podpora akcií pre telesne postihnutých</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246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RKC Farnosť sv.Demetera, Bušince, okr. Veľký Krtíš</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oprava a rekonštrukcia budovy farského úradu </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247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RKC farnosť Čerhov, okr. Trebišov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strechy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248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Mesto Spišské Vlachy, okr. SNV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vybudovanie školského ihriska pre ZŠ sv. Jána Krstiteľa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249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Hubová, okr. Ružomberok</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výstavba ihriska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250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Bitarová, okr. Žilina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stropu ObÚ</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251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Rybky, okr. Senica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výstavba viacúčelového ihriska - osvetlenie a  terénne úpravy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252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Agentúra NOVA, OZ Podrečany, okr. Lučenec</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zakúpenie kancelárskeho nábytku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253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Ruská Nová Ves, okr. Prešov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nákup stavebného materiálu na rekonštrukciu hospodárskej budovy na telocvičňu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254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RKC Farnosť Topoľčianky, okr. Zlaté Moravce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strechy farského úradu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255</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Detský domov sv. K. Hofbauera Podolínec, okr. Stará Ľubovňa</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výmena okien</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256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Slovenský olympijský výbor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projekt "Šport a fotografia"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60 000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257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Prešovský samosprávny kraj</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nákup a výmena okien a dverí v budove sídla školy v Bijacovciach</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258</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RKC Šarišské Dravce, okr. Sabinov</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zakúpenie nového Betlehema do filiálneho kostola v obci Poloma</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259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Záborské, okr. Prešov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kúpa hasičskej striekačky,Vybavenie priestorov hudobno-tanečnej školy,Riešenie havarijného stavu MŠ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280 000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260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Belo Gunár, Ulič, okr. Snina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rodinného domu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261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Elena Folentová, Lieskovec, okr. Humenné</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zriadenie kúpeľne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262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Patrícia Nawrocká, Vyšný Skálnik, okr. Rimavská Sobota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detskej izby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263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NEO agency, Poprad</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tlač "Katalóg služieb voľného času" v reg. Orava-Liptov-Spiš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264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Volejbalový klub polície,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projekt "Protidrogová volejbalová liga mládeže"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265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RRC Hydrorock, klub akrobatického rock´n´rolu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projekt "Európsky pohár a Medzinár.majstrovstvá Slovenska v športovom tanci"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266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Ladislav Lučenič</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projekt "Uvedenie DVD Satisfactory live-s podporou terap.-relax</w:t>
            </w:r>
            <w:r w:rsidR="00CE329A">
              <w:rPr>
                <w:rFonts w:ascii="Arial" w:hAnsi="Arial" w:cs="Times New Roman"/>
                <w:sz w:val="22"/>
                <w:szCs w:val="22"/>
                <w:lang w:bidi="bn-BD"/>
              </w:rPr>
              <w:t>. programu pre deti s viacnás. p</w:t>
            </w:r>
            <w:r w:rsidRPr="00543EB3">
              <w:rPr>
                <w:rFonts w:ascii="Arial" w:hAnsi="Arial" w:cs="Times New Roman"/>
                <w:sz w:val="22"/>
                <w:szCs w:val="22"/>
                <w:lang w:bidi="bn-BD"/>
              </w:rPr>
              <w:t>ostihnutím</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267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Slovenský syndikát novinárov reg. organizácia Prešov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organizácia celoslov. turnaja novinárov tenistov s medzinár. účasťou v Bardejovských Kúpeľoch</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268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Chorvátsky kultúrny zväz na Slovensku,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dobudovanie interiéru Múzea chorvátskej kultúry-zabezpečenie počítačových zostáv</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120 000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269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Nezbudská Lúčka, okr. Žilina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rozhlasová ústredňa v obci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270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Petrovany, okr. Prešov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čižmy pre členov Folklórneho súboru Jožka Príhodu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271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Haniska, okr. Prešov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kúpa septika pre rodinu pána Rudolfa Hudáka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272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Lomné, okr. Stropkov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dostavba Domu smútku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273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RKC farnosť Nanebovstúpenia Pána, Strážske, okr. Prešov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elektroinštalácie a oprava organu v kostole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274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Chmeľovec, okr. Prešov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priestorov obecného úradu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275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Modra nad Cirochou, okr. Humenné</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zariadenie Kresťansko-mládežníckeho centra v obci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276</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Spišský Štvrtok, okr. Levoča</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zariadení MŠ</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210 000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277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Banskobystrický samosprávny kraj </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úprava vozidla pre ukotvenie dvoch invalidných vozíkov s nájazdovými lyžinami pre Domov Márie, Banská Štiavnica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278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Kendice, okr. Prešov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činnosť Slovenského zväzu ZP v obci - materiálové vybavenie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45 000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279</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Národní galerie v Prahe</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realizácia projektu: Rudolf Sikora Sám proti sebe</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280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Miková, okr. Stropkov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organizácia XV. ročníka kultúry a športu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281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Rakúsy, okr. Kežmarok</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budovy TJ</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282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Anna Cvanigová, Šuňava, okr. Poprad</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náklady spojené s chodom domácnosti a na lieky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283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Emília Ježová, Košice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lieky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284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Eva Haverlová, Hybe, okr. Liptovský Mikuláš</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lieky, výdavky spojené s liečbou, ošatenie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285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Ľudmila Starjatová, Čaklov, okr. Vranov nad Topľou</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vybavenie domácnosti, náklady spojené s bývaním, kúrenie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286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Združenie zdravotne postihnutých, Bučany</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zakúpenie chladničky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8 000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85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287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Slovenský zväz protifašistických bojovníkov, Oblastný výbor Nové Mesto nad Váhom</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oslavy 62. výročia SNP dňa 27. augusta 2006</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288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Katarína Badiarová, Piešťany</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dovybavenie domácnosti: nákup postelí, protialergický matrac</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289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Marcela Salanciová, Hudcovce, Topoľovka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Pomôcky pre deti, hygienické potreby, náklady spojené s chodom domácnosti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290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Milan Dolník, Plášťovce,okr. Levice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pre deti pomôcky do školy, ošatenie, drevo na zimu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291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Milan Horváth, Valaliky, okr. KE-okolie </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výdavky spojené s chodom domácnosti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292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Helena Gernatová, Stará Ľubovňa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pomôcky do školy pre dcéru - maturantku, výdavky spojené s chodom domácnosti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13 000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293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Marta Rovirová, Košice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lieky, náklady spojené s liečbou, ošatenie, výdavky spojené s chodom domácnosti, dovybavenie domácnosti (chladnička, nábytok)</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294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Univerzál, VD invalidov, Levoča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prevádzka družstva (rozpočet v spise)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295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Jarmila Ličková, Hliník nad Hronom</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dlh na plyne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296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Anna Pindiaková, Kláštor pod Znievom</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chod a obnova domácnosti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297</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EFFETA - stredisko sv. Františka Saleského v Nitre, Nitra</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zakúpenie kopírky</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40 000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298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Gréckokatolícka Cirkev Farnosť Poša, Nižný Hrabovec</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chrámu: výmena okien a dverí, maľba, dlažba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299</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Rímskokatolícky farský úrad Pata</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dostavba nového kostola: Dokončenie dlažby a interiéru, lavice, oltár</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Evanjelická cirkev, a. v., Štítnik</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organu z 18. storočia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Pápežské misijné diela  košickej arcidiecézy Prešov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pomoc viacdetným rodinám: zakúpenie práčky 6 ks, chladničky 2 ks</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Žena v tiesni, krízové centrum Martin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nákup PC zostavy, stôl a stolička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85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SOCIA OZ, DSS pre ŤZP, deti a mládež s denným pobytom Nitra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zakúpenie pece na vypaľovanie keramiky 21.000,- Sk, rehabilitačnej zostavy 17.600,- Sk a odbornej literatúry pre rehabilitačného pracovníka 6.400,- Sk</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45 000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114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ZO Slovenského zväzu telesne postihnutých a ZO postihnutých civilizačnými chorobami v Oščadnici, okr. Čadca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podujatie v rámci "Mesiaca úcty k starším": prenájom sály, občerstvenie </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OZ telesne postihnutých detí v okrese Poprad</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nákup počítačov</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Valaská Dubová</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priepustu cez potok Likava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Brezovica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dofinancovanie plynofikácie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Križovany nad Dudváhom</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ústredného vykurovania ZŠ a MŠ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Banskobystrický samosprávny kraj </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rekonštrukcia strešnej krytiny pre Prvé slovenské literárne gymnázium Revúca </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310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Alexander Kovaľ, Košice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základné potreby pre novorodené trojičky: plienky, hygienické potreby, výživa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311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00BA6BDE">
              <w:rPr>
                <w:rFonts w:ascii="Arial" w:hAnsi="Arial" w:cs="Times New Roman"/>
                <w:sz w:val="22"/>
                <w:szCs w:val="22"/>
                <w:lang w:bidi="bn-BD"/>
              </w:rPr>
              <w:t>Akad. m</w:t>
            </w:r>
            <w:r w:rsidRPr="00543EB3">
              <w:rPr>
                <w:rFonts w:ascii="Arial" w:hAnsi="Arial" w:cs="Times New Roman"/>
                <w:sz w:val="22"/>
                <w:szCs w:val="22"/>
                <w:lang w:bidi="bn-BD"/>
              </w:rPr>
              <w:t>aliar Juraj Oravec, Trenčín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realizácia výstavy obrazov</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312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Drábsko</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kúpa hasičského prívesného vozíka s výbavou pre Dobrovoľný hasičský zbor </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313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Vyšný Skálnik, Hrachovo</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zateplenie a výmena poškodených okien v kultúrnom dome + drevo na zimu pre pani Mikulovú</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110 000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314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Letničie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vyčistenie potoka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85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315</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Ing. Pavol Lím - EKOTOPFILM, Bratislava</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finančné krytie ceny vlády SR - Grand Prix EKOTOPFILM, udelenej viťazom XXXIII. Medzinárodného festivalu odborných filmov ekotopfilm 2006</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60 000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316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Kysucký Lieskovec</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strechy budovy a fasády MŠ v obci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317</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Tanečno-pohybové centrum mladých Snina</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financovanie česko-slovenského tanečného sústredenia</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318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Hnojné, okr. Michalovce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budovy obecného úradu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319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Repejov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resocializácia odliečených drogovo závislých klientov - projekt CESTA ISTOTY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320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Nižná Jablonka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odstránenie povodňových škôd</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321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Ivana Ličková, Krčava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vyplatenie dlhu za plyn, drevo na kúrenie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322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Melánia Onušková, Veľký Krtíš</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ošatenie a obuv pre 12-roč. syna, školské pomôcky pre syna, náklady spojené s chodom domácnosti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13 000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323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Redakcia Kultúra,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zníženie dlhu voči tlačiarňam</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85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324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Športový klub IAMES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preplatenie letenky pre reprezentantku Margitu Prokeinovú a trénerku Ing. Danielu Šipošovú na MS v plávaní telesne a zrakovo postihnutých športovcov v JAR</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39 253</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114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325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Slovensko-ukrajinská spoločnosť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účasť na 2. medzinárodnom sympóziu Ukrajinská divadelná diaspora - cestovné náklady pre Hudobno-dramatický súbor Tarasa Ševčenka na účasť na 2. medzinárodnom sympóziu Ukrajinská divadelná diaspora - cestovné náklady </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326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Agentúra Charisma Košice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pokrytie nákladov spojených s organizáciou 6. ročníka Benefičného koncertu, ktorý sa uskutoční 26.12.2006 vo Svidníku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85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327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Veľké Dvorany</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realizácia nasledovných prác na budove športového areálu: izolácie a zhotovenie nových podláh, výmena sociálnych zariadení, odvod dažďových vôd zo strechy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328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Dvorianky</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dokončenie viacúčelovej asfaltovej cesty pre rôzne druhy športu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329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Malá Mača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sociálnych zariadení a príslušenstva TJ Malá Mača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330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Lišov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kultúrneho domu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331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Mesto Vrbové, okr. Piešťany</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dobudovanie hokejového ihriska a dovybavenie klubu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332</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Slovenský červený kríž, MS pri NsP Poprad</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prevádzka denného stacionára - poskytovanie sociálnych služieb</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333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Jednota dôchodcov na Slovensku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budovanie informačného systému v JDS</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120 000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334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Abovce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rozšírenie centrálneho vykurovania v ZŠ v obci Abovce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335</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 Martin Golian, Bratislava</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doplatok na kúpu športového mechanického vozíka</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83 390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336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Anna Nemečková, Zlaté Moravce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výdavky spojené s chodom domácnosti, nákup dreva na kúrenie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337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Jozef Sliačan, Černová, okr. Ružomberok</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nákup uhlia a dreva, náklady spojené s chodom domácnosti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85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338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OZ HVIEZDA  Kežmarok</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riešenie havarijného stavu unimobuniek určených pre humanitárnu pomoc občanom v hmotnej núdzi - zateplenie, oprava strechy, oprava podlahy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120 000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339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Rímsko-katolícka cirkev farnosť Široké</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kostola sv. Mikuláša: vnútorné vybavenie, lavice, oltár a iné</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340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Krivany</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nákup materiálu do jedálne ZŠ a MŠ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341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Mesto Zlaté Moravce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výmena okien v MŠ, Žitavské nábrežie 1</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342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MODIFIKÁCIA "Edukacion Prorom - EPR - 21" Rim.Sobota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nákup počítačovej zostavy s multimediálnym prístrojom</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343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Michaľany</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dokončenie telocvične pre ZŠ Školská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344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Rómska rozvojová agentúra Novohrad Veľký Krtíš</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vianočné balíčky pre sociálne slabšie rómske rodiny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345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OZ Kalokagatia Spišská Nová Ves</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organizácia 5. ročníka zimnej olympiády Kalokagatie pre deti a mládež</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346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OZ Šťastný život Kremnické Bane,  Kremnica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budovy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347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Viera Babčanová, Brezno</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náklady spojené s chodom domácnosti, ošatenie a obuv pre deti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348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Kynologický kub pod Skalkou Humenné</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Európsky deň kynológie - "Kamarát psík": na organizovanie medzinárodného podujatia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349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Dojč</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a rekonštrukčné práce na budovách ZŠ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350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Hrochoť</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budovy ZŠ a MŠ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351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Vyšné Ružbachy</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strechy na ZŠ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352</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Jozef Bogdán, Vojka</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zaplatenie dlžoby v potravinách, výdavky spojené s chodom domácnosti</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353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Jaroslav Berky, Slovenské Kľačany</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vybavenie domácnosti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354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Centrum Samostatného života n. o.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realizácia projektu "Bez bariér, za rovnosť príležitostí a proti intolerancii"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355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Róbert Lehocký, Trenčín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liečba dcéry Lindy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40 000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356</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Albatros klub Bratislava</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parného rušňa</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357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Mesto Veľký Krtíš</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riešenie havarijného stavu obvodového plášťa okien pre ZŠ Poľná 1</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358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Združenie na pomoc ľuďom s mentálnym postihnutím v</w:t>
            </w:r>
            <w:r w:rsidR="00437FA0">
              <w:rPr>
                <w:rFonts w:ascii="Arial" w:hAnsi="Arial" w:cs="Times New Roman"/>
                <w:sz w:val="22"/>
                <w:szCs w:val="22"/>
                <w:lang w:bidi="bn-BD"/>
              </w:rPr>
              <w:t> </w:t>
            </w:r>
            <w:r w:rsidRPr="00543EB3">
              <w:rPr>
                <w:rFonts w:ascii="Arial" w:hAnsi="Arial" w:cs="Times New Roman"/>
                <w:sz w:val="22"/>
                <w:szCs w:val="22"/>
                <w:lang w:bidi="bn-BD"/>
              </w:rPr>
              <w:t>Stropkove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dokončenie priestorov na poschodí v Domove detí Božského milosrdenstva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359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Klenovec</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finančná pomoc pri havarijnej situácii - prietrž mračien</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360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Mesto Revúca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parketovej podlahy v telocvični v ZŠ J.A.Komenského</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361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Rimavská Baňa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nákup zariadenia do školskej kuchyne - robot</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362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Mesto Banská Štiavnica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plochej strechy v objekte MŠ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363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Rímskokatolícka cirkev Šaštín-Stráže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 ukončenie rekonštrukcie fresiek v bazilike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364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Hronská Dúbrava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miestnej MŠ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365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 Obec Čechynce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ZŠ</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366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Anna Kundrátová,  Ľubotice, okr. Prešov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kúpa dreva a uhlia na vykurovanie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8 000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367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Zuzana Hlafková, Prešov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náklady spojené s liečbou syna (4,5 roka)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368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Združenie na pomoc ľuďom s mentálnym postihnutím v</w:t>
            </w:r>
            <w:r w:rsidR="00437FA0">
              <w:rPr>
                <w:rFonts w:ascii="Arial" w:hAnsi="Arial" w:cs="Times New Roman"/>
                <w:sz w:val="22"/>
                <w:szCs w:val="22"/>
                <w:lang w:bidi="bn-BD"/>
              </w:rPr>
              <w:t> </w:t>
            </w:r>
            <w:r w:rsidRPr="00543EB3">
              <w:rPr>
                <w:rFonts w:ascii="Arial" w:hAnsi="Arial" w:cs="Times New Roman"/>
                <w:sz w:val="22"/>
                <w:szCs w:val="22"/>
                <w:lang w:bidi="bn-BD"/>
              </w:rPr>
              <w:t>Trnave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refundácia nákladov spojených s benefičným koncertom, ktorý sa uskutočnil 2.12.2006</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369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Fórum pre pomoc starším  Národná sieť OZ, Prievidza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podpora aktivity "senior roka"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370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Slovenský zväz telesne postihnutých, KC Košice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dostavba integračného centra pre telesne postihnutú mládež a dospelých</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371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Cirkevný zbor evanj.cirkvi a.v. na Slovensku, Veľké Úľany </w:t>
            </w:r>
            <w:r w:rsidR="00437FA0">
              <w:rPr>
                <w:rFonts w:ascii="Arial" w:hAnsi="Arial" w:cs="Times New Roman"/>
                <w:sz w:val="22"/>
                <w:szCs w:val="22"/>
                <w:lang w:bidi="bn-BD"/>
              </w:rPr>
              <w:t>–</w:t>
            </w:r>
            <w:r w:rsidRPr="00543EB3">
              <w:rPr>
                <w:rFonts w:ascii="Arial" w:hAnsi="Arial" w:cs="Times New Roman"/>
                <w:sz w:val="22"/>
                <w:szCs w:val="22"/>
                <w:lang w:bidi="bn-BD"/>
              </w:rPr>
              <w:t xml:space="preserve"> Jelka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zaizolovanie farskej budovy, výmena okien a vonkajších dverí</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372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Nemcovce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dofinancovanie Domu nádeje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373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Tešedíkovo</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evanjelického kostola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374</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Okresná organizácia únie žien Slovenska Levoča</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kúpa mamografu</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375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Iveta Priesolová, Ružomberok</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chod domácnosti a potreby pre deti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376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Eva Miková, Chminianska Nová Ves</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nedoplatok na plyne, chod domácnosti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85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377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OZ Rescuers Slovakia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zakúpenie motorového vozidla na prepravu psov, zabezpečenie nevyhnutného vybavenia a výstroje psovodov a psov zúčastňujúcich sa reálnych záchranných akcií</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400 000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378</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OZ Mama klub, materské centrum Sereď</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prevádzka materského centra, nákup hračiek</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379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Mária Nicklerová, Trebišov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chod domácnosti  </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380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Mária Žigová, Spišský Štiavnik</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zabezpečenie paliva na zimu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9 000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381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Mária Rybovičová, Košice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chod domácnosti, detské oblečenie a obuv</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382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Michal Panda, Malčice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chod domácnosti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383</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Viola Toráčová, Hlohovec</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chod domácnosti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384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Rímskokatolícka cirkev, Farnosť narodenia panny Márie, Marianka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pokrytie nákladov na spracovanú projektovú dokumentáciu k územnému povoleniu rekonštrukcie pútnického areálu v Marianke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385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Andrea Šúryová, Križovany nad Dudváhom</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náklady na pobyt dieťaťa na medzinárodnom hokejovom turnaji v Quebecu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39 000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386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Marcela Richnavská, Richnava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prenosný počítač s hlasovým vybavením a mobilný telefón pre dcéru Dominiku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387</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Podhradie</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obecnej budovy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388</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Dlžín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podpora internetizácie obce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389</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Anastázia Feckaninová, Sabinov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pomôcky pre deti, hygienické potreby, náklady spojené s chodom domácnosti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390</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Obec Ratka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riešenie havarijného stavu miestnej komunikácie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391</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Jarmila Hešová, Štiavnik, okr. Bytča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výdavky spojené s chodom domácnosti, ošatenie a obuv pre deti, školské pomôcky a internát</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15 000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392</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Zdenka Mahajová, Myjava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výdavky spojené s chodom domácnosti, výdavky spojené so zlým zdravotným stavom, racionálna strava, obuv a ošatenie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85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393</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Monika Kuchyneková, Šurany</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výdavky spojené s chodom domácnosti, ošatenie a obuv pre dcéru + školské pomôcky, náklady spojené s liečbou vysokého krvného tlaku a štítnej žľazy</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394</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Jozef Danninger, Banka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kúpa špeciálneho vozíka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395</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Mestská časť Bratislava Rača </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oprava budovy v havarijnom stave pre ZŠ a MŠ Plickova 9, Bratislava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200 000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396</w:t>
            </w:r>
          </w:p>
        </w:tc>
        <w:tc>
          <w:tcPr>
            <w:tcW w:w="428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Mária a Erika Kostové, Kurov, okr. Bardejov</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kúpa počítača</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85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397</w:t>
            </w:r>
          </w:p>
        </w:tc>
        <w:tc>
          <w:tcPr>
            <w:tcW w:w="428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Košický samosprávny kraj  pre Strednú umeleckú školu</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nákup repre-oblečenia pre študentov a doplnenie hudobných nástrojov z dôvodu účasti na novoročnom koncerte 1. januára 2007 v Zenithe v Rouen za účelom reprezentácie SR</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50 000</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398</w:t>
            </w:r>
          </w:p>
        </w:tc>
        <w:tc>
          <w:tcPr>
            <w:tcW w:w="4280"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KŠÚ v Trnave, pre špec. ZŠ ŠPP v</w:t>
            </w:r>
            <w:r w:rsidR="00437FA0">
              <w:rPr>
                <w:rFonts w:ascii="Arial" w:hAnsi="Arial" w:cs="Times New Roman"/>
                <w:sz w:val="22"/>
                <w:szCs w:val="22"/>
                <w:lang w:bidi="bn-BD"/>
              </w:rPr>
              <w:t> </w:t>
            </w:r>
            <w:r w:rsidRPr="00543EB3">
              <w:rPr>
                <w:rFonts w:ascii="Arial" w:hAnsi="Arial" w:cs="Times New Roman"/>
                <w:sz w:val="22"/>
                <w:szCs w:val="22"/>
                <w:lang w:bidi="bn-BD"/>
              </w:rPr>
              <w:t>Trnave</w:t>
            </w:r>
          </w:p>
        </w:tc>
        <w:tc>
          <w:tcPr>
            <w:tcW w:w="7220" w:type="dxa"/>
            <w:tcBorders>
              <w:top w:val="single" w:sz="4"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Na zakúpenie špeciálnych umývadiel, vaní pre imobilných žiakov</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976CDF" w:rsidRPr="00C27D09" w:rsidP="00D40CB2">
            <w:pPr>
              <w:rPr>
                <w:rFonts w:ascii="Arial" w:hAnsi="Arial" w:cs="Times New Roman"/>
                <w:sz w:val="22"/>
                <w:szCs w:val="16"/>
                <w:lang w:bidi="bn-BD"/>
              </w:rPr>
            </w:pPr>
            <w:r w:rsidRPr="00C27D09">
              <w:rPr>
                <w:rFonts w:ascii="Arial" w:hAnsi="Arial" w:cs="Times New Roman"/>
                <w:sz w:val="22"/>
                <w:szCs w:val="16"/>
                <w:lang w:bidi="bn-BD"/>
              </w:rPr>
              <w:t xml:space="preserve">        </w:t>
            </w:r>
            <w:r>
              <w:rPr>
                <w:rFonts w:ascii="Arial" w:hAnsi="Arial" w:cs="Times New Roman"/>
                <w:sz w:val="22"/>
                <w:szCs w:val="16"/>
                <w:lang w:bidi="bn-BD"/>
              </w:rPr>
              <w:t xml:space="preserve">  </w:t>
            </w:r>
            <w:r w:rsidRPr="00C27D09">
              <w:rPr>
                <w:rFonts w:ascii="Arial" w:hAnsi="Arial" w:cs="Times New Roman"/>
                <w:sz w:val="22"/>
                <w:szCs w:val="16"/>
                <w:lang w:bidi="bn-BD"/>
              </w:rPr>
              <w:t xml:space="preserve">100 000    </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nil"/>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399</w:t>
            </w:r>
          </w:p>
        </w:tc>
        <w:tc>
          <w:tcPr>
            <w:tcW w:w="4280" w:type="dxa"/>
            <w:tcBorders>
              <w:top w:val="nil"/>
              <w:left w:val="single" w:sz="8" w:space="0" w:color="auto"/>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Gymnázium F.G.Lorcu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rekonštrukcia hygienických zariadení časti školy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C27D09" w:rsidP="00D40CB2">
            <w:pPr>
              <w:rPr>
                <w:rFonts w:ascii="Arial" w:hAnsi="Arial" w:cs="Times New Roman"/>
                <w:sz w:val="22"/>
                <w:szCs w:val="16"/>
                <w:lang w:bidi="bn-BD"/>
              </w:rPr>
            </w:pPr>
            <w:r>
              <w:rPr>
                <w:rFonts w:ascii="Arial" w:hAnsi="Arial" w:cs="Times New Roman"/>
                <w:sz w:val="22"/>
                <w:szCs w:val="16"/>
                <w:lang w:bidi="bn-BD"/>
              </w:rPr>
              <w:t xml:space="preserve">          </w:t>
            </w:r>
            <w:r w:rsidRPr="00C27D09">
              <w:rPr>
                <w:rFonts w:ascii="Arial" w:hAnsi="Arial" w:cs="Times New Roman"/>
                <w:sz w:val="22"/>
                <w:szCs w:val="16"/>
                <w:lang w:bidi="bn-BD"/>
              </w:rPr>
              <w:t xml:space="preserve"> 200 000    </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400</w:t>
            </w:r>
          </w:p>
        </w:tc>
        <w:tc>
          <w:tcPr>
            <w:tcW w:w="4280" w:type="dxa"/>
            <w:tcBorders>
              <w:top w:val="nil"/>
              <w:left w:val="single" w:sz="8" w:space="0" w:color="auto"/>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Krajský školský úrad, Trenčín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na projekt - Poradenstvo pri výbere povolania pre žiakov s poruchami pri učení v Považskej Bystrici</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C27D09" w:rsidP="00D40CB2">
            <w:pPr>
              <w:rPr>
                <w:rFonts w:ascii="Arial" w:hAnsi="Arial" w:cs="Times New Roman"/>
                <w:sz w:val="22"/>
                <w:szCs w:val="16"/>
                <w:lang w:bidi="bn-BD"/>
              </w:rPr>
            </w:pPr>
            <w:r w:rsidRPr="00C27D09">
              <w:rPr>
                <w:rFonts w:ascii="Arial" w:hAnsi="Arial" w:cs="Times New Roman"/>
                <w:sz w:val="22"/>
                <w:szCs w:val="16"/>
                <w:lang w:bidi="bn-BD"/>
              </w:rPr>
              <w:t xml:space="preserve">             60 000    </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nil"/>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401</w:t>
            </w:r>
          </w:p>
        </w:tc>
        <w:tc>
          <w:tcPr>
            <w:tcW w:w="4280" w:type="dxa"/>
            <w:tcBorders>
              <w:top w:val="nil"/>
              <w:left w:val="single" w:sz="8" w:space="0" w:color="auto"/>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SAV, Ústav politických vied,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na vydanie knihy "M.Hodžu v zápase o budúcnosť strednej Európy..."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C27D09" w:rsidP="00D40CB2">
            <w:pPr>
              <w:rPr>
                <w:rFonts w:ascii="Arial" w:hAnsi="Arial" w:cs="Times New Roman"/>
                <w:sz w:val="22"/>
                <w:szCs w:val="16"/>
                <w:lang w:bidi="bn-BD"/>
              </w:rPr>
            </w:pPr>
            <w:r w:rsidRPr="00C27D09">
              <w:rPr>
                <w:rFonts w:ascii="Arial" w:hAnsi="Arial" w:cs="Times New Roman"/>
                <w:sz w:val="22"/>
                <w:szCs w:val="16"/>
                <w:lang w:bidi="bn-BD"/>
              </w:rPr>
              <w:t xml:space="preserve">           100 000    </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402</w:t>
            </w:r>
          </w:p>
        </w:tc>
        <w:tc>
          <w:tcPr>
            <w:tcW w:w="4280" w:type="dxa"/>
            <w:tcBorders>
              <w:top w:val="nil"/>
              <w:left w:val="single" w:sz="8" w:space="0" w:color="auto"/>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Univerzita Komenského Bratislava, Lekárska fakulta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Na kúpu výpočtovej techniky a nábytku pre Ústav lekárskej biológie a genetiky LFUK</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C27D09" w:rsidP="00D40CB2">
            <w:pPr>
              <w:rPr>
                <w:rFonts w:ascii="Arial" w:hAnsi="Arial" w:cs="Times New Roman"/>
                <w:sz w:val="22"/>
                <w:szCs w:val="16"/>
                <w:lang w:bidi="bn-BD"/>
              </w:rPr>
            </w:pPr>
            <w:r w:rsidRPr="00C27D09">
              <w:rPr>
                <w:rFonts w:ascii="Arial" w:hAnsi="Arial" w:cs="Times New Roman"/>
                <w:sz w:val="22"/>
                <w:szCs w:val="16"/>
                <w:lang w:bidi="bn-BD"/>
              </w:rPr>
              <w:t xml:space="preserve">             50 000    </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nil"/>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403</w:t>
            </w:r>
          </w:p>
        </w:tc>
        <w:tc>
          <w:tcPr>
            <w:tcW w:w="4280" w:type="dxa"/>
            <w:tcBorders>
              <w:top w:val="nil"/>
              <w:left w:val="single" w:sz="8" w:space="0" w:color="auto"/>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Gymnázium bilingválne angl.-slov. Sučany, okr. Martin</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Príspevok na organizáciu súťaže Hodžova esej 2006</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C27D09" w:rsidP="00D40CB2">
            <w:pPr>
              <w:rPr>
                <w:rFonts w:ascii="Arial" w:hAnsi="Arial" w:cs="Times New Roman"/>
                <w:sz w:val="22"/>
                <w:szCs w:val="16"/>
                <w:lang w:bidi="bn-BD"/>
              </w:rPr>
            </w:pPr>
            <w:r w:rsidRPr="00C27D09">
              <w:rPr>
                <w:rFonts w:ascii="Arial" w:hAnsi="Arial" w:cs="Times New Roman"/>
                <w:sz w:val="22"/>
                <w:szCs w:val="16"/>
                <w:lang w:bidi="bn-BD"/>
              </w:rPr>
              <w:t xml:space="preserve">             60 000    </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404</w:t>
            </w:r>
          </w:p>
        </w:tc>
        <w:tc>
          <w:tcPr>
            <w:tcW w:w="4280" w:type="dxa"/>
            <w:tcBorders>
              <w:top w:val="nil"/>
              <w:left w:val="single" w:sz="8" w:space="0" w:color="auto"/>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Úrad vlády SR </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bežné výdavky úradu</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C27D09" w:rsidP="00D40CB2">
            <w:pPr>
              <w:rPr>
                <w:rFonts w:ascii="Arial" w:hAnsi="Arial" w:cs="Times New Roman"/>
                <w:sz w:val="22"/>
                <w:szCs w:val="16"/>
                <w:lang w:bidi="bn-BD"/>
              </w:rPr>
            </w:pPr>
            <w:r w:rsidRPr="00C27D09">
              <w:rPr>
                <w:rFonts w:ascii="Arial" w:hAnsi="Arial" w:cs="Times New Roman"/>
                <w:sz w:val="22"/>
                <w:szCs w:val="16"/>
                <w:lang w:bidi="bn-BD"/>
              </w:rPr>
              <w:t xml:space="preserve">       1 200 000    </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nil"/>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405</w:t>
            </w:r>
          </w:p>
        </w:tc>
        <w:tc>
          <w:tcPr>
            <w:tcW w:w="4280" w:type="dxa"/>
            <w:tcBorders>
              <w:top w:val="nil"/>
              <w:left w:val="single" w:sz="8" w:space="0" w:color="auto"/>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Múzeum SNP Banská Bystrica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financovanie osláv SNP, refundácia nákladov</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C27D09" w:rsidP="00D40CB2">
            <w:pPr>
              <w:rPr>
                <w:rFonts w:ascii="Arial" w:hAnsi="Arial" w:cs="Times New Roman"/>
                <w:sz w:val="22"/>
                <w:szCs w:val="16"/>
                <w:lang w:bidi="bn-BD"/>
              </w:rPr>
            </w:pPr>
            <w:r w:rsidRPr="00C27D09">
              <w:rPr>
                <w:rFonts w:ascii="Arial" w:hAnsi="Arial" w:cs="Times New Roman"/>
                <w:sz w:val="22"/>
                <w:szCs w:val="16"/>
                <w:lang w:bidi="bn-BD"/>
              </w:rPr>
              <w:t xml:space="preserve">           100 000    </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406</w:t>
            </w:r>
          </w:p>
        </w:tc>
        <w:tc>
          <w:tcPr>
            <w:tcW w:w="4280" w:type="dxa"/>
            <w:tcBorders>
              <w:top w:val="nil"/>
              <w:left w:val="single" w:sz="8" w:space="0" w:color="auto"/>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Generálny konzulát SR Békešská Čaba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zariadenie a vybavenie novej školskej knižnice</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C27D09" w:rsidP="00D40CB2">
            <w:pPr>
              <w:rPr>
                <w:rFonts w:ascii="Arial" w:hAnsi="Arial" w:cs="Times New Roman"/>
                <w:sz w:val="22"/>
                <w:szCs w:val="16"/>
                <w:lang w:bidi="bn-BD"/>
              </w:rPr>
            </w:pPr>
            <w:r w:rsidRPr="00C27D09">
              <w:rPr>
                <w:rFonts w:ascii="Arial" w:hAnsi="Arial" w:cs="Times New Roman"/>
                <w:sz w:val="22"/>
                <w:szCs w:val="16"/>
                <w:lang w:bidi="bn-BD"/>
              </w:rPr>
              <w:t xml:space="preserve">           100 000    </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nil"/>
              <w:left w:val="single" w:sz="8" w:space="0" w:color="auto"/>
              <w:bottom w:val="nil"/>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407</w:t>
            </w:r>
          </w:p>
        </w:tc>
        <w:tc>
          <w:tcPr>
            <w:tcW w:w="4280" w:type="dxa"/>
            <w:tcBorders>
              <w:top w:val="nil"/>
              <w:left w:val="single" w:sz="8" w:space="0" w:color="auto"/>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ZŠ internátna pre sluchovo postihnutých G.Slaninku Bratislava</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slávnosť pri príležit. 170. výr.organiz.starostlivosti o sluchovo postihnutých</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C27D09" w:rsidP="00D40CB2">
            <w:pPr>
              <w:rPr>
                <w:rFonts w:ascii="Arial" w:hAnsi="Arial" w:cs="Times New Roman"/>
                <w:sz w:val="22"/>
                <w:szCs w:val="16"/>
                <w:lang w:bidi="bn-BD"/>
              </w:rPr>
            </w:pPr>
            <w:r w:rsidRPr="00C27D09">
              <w:rPr>
                <w:rFonts w:ascii="Arial" w:hAnsi="Arial" w:cs="Times New Roman"/>
                <w:sz w:val="22"/>
                <w:szCs w:val="16"/>
                <w:lang w:bidi="bn-BD"/>
              </w:rPr>
              <w:t xml:space="preserve">             10 000    </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408</w:t>
            </w:r>
          </w:p>
        </w:tc>
        <w:tc>
          <w:tcPr>
            <w:tcW w:w="4280" w:type="dxa"/>
            <w:tcBorders>
              <w:top w:val="nil"/>
              <w:left w:val="single" w:sz="8" w:space="0" w:color="auto"/>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Správa zariadení Úradu vlády SR</w:t>
            </w:r>
          </w:p>
        </w:tc>
        <w:tc>
          <w:tcPr>
            <w:tcW w:w="7220" w:type="dxa"/>
            <w:tcBorders>
              <w:top w:val="nil"/>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na bežné výdavky</w:t>
            </w:r>
          </w:p>
        </w:tc>
        <w:tc>
          <w:tcPr>
            <w:tcW w:w="1660" w:type="dxa"/>
            <w:tcBorders>
              <w:top w:val="nil"/>
              <w:left w:val="nil"/>
              <w:bottom w:val="single" w:sz="4" w:space="0" w:color="auto"/>
              <w:right w:val="single" w:sz="8" w:space="0" w:color="auto"/>
              <w:tl2br w:val="nil"/>
              <w:tr2bl w:val="nil"/>
            </w:tcBorders>
            <w:noWrap/>
            <w:textDirection w:val="lrTb"/>
            <w:vAlign w:val="center"/>
          </w:tcPr>
          <w:p w:rsidR="00976CDF" w:rsidRPr="00C27D09" w:rsidP="00D40CB2">
            <w:pPr>
              <w:rPr>
                <w:rFonts w:ascii="Arial" w:hAnsi="Arial" w:cs="Times New Roman"/>
                <w:sz w:val="22"/>
                <w:szCs w:val="16"/>
                <w:lang w:bidi="bn-BD"/>
              </w:rPr>
            </w:pPr>
            <w:r w:rsidRPr="00C27D09">
              <w:rPr>
                <w:rFonts w:ascii="Arial" w:hAnsi="Arial" w:cs="Times New Roman"/>
                <w:sz w:val="22"/>
                <w:szCs w:val="16"/>
                <w:lang w:bidi="bn-BD"/>
              </w:rPr>
              <w:t xml:space="preserve">        2 000 000    </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409</w:t>
            </w:r>
          </w:p>
        </w:tc>
        <w:tc>
          <w:tcPr>
            <w:tcW w:w="4280" w:type="dxa"/>
            <w:tcBorders>
              <w:top w:val="nil"/>
              <w:left w:val="single" w:sz="8" w:space="0" w:color="auto"/>
              <w:bottom w:val="nil"/>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Prešovská univerzita FF </w:t>
            </w:r>
          </w:p>
        </w:tc>
        <w:tc>
          <w:tcPr>
            <w:tcW w:w="7220" w:type="dxa"/>
            <w:tcBorders>
              <w:top w:val="nil"/>
              <w:left w:val="nil"/>
              <w:bottom w:val="nil"/>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vedecká konferencia</w:t>
            </w:r>
          </w:p>
        </w:tc>
        <w:tc>
          <w:tcPr>
            <w:tcW w:w="1660" w:type="dxa"/>
            <w:tcBorders>
              <w:top w:val="nil"/>
              <w:left w:val="nil"/>
              <w:bottom w:val="nil"/>
              <w:right w:val="single" w:sz="8" w:space="0" w:color="auto"/>
              <w:tl2br w:val="nil"/>
              <w:tr2bl w:val="nil"/>
            </w:tcBorders>
            <w:noWrap/>
            <w:textDirection w:val="lrTb"/>
            <w:vAlign w:val="center"/>
          </w:tcPr>
          <w:p w:rsidR="00976CDF" w:rsidRPr="00C27D09" w:rsidP="00D40CB2">
            <w:pPr>
              <w:rPr>
                <w:rFonts w:ascii="Arial" w:hAnsi="Arial" w:cs="Times New Roman"/>
                <w:sz w:val="22"/>
                <w:szCs w:val="16"/>
                <w:lang w:bidi="bn-BD"/>
              </w:rPr>
            </w:pPr>
            <w:r w:rsidRPr="00C27D09">
              <w:rPr>
                <w:rFonts w:ascii="Arial" w:hAnsi="Arial" w:cs="Times New Roman"/>
                <w:sz w:val="22"/>
                <w:szCs w:val="16"/>
                <w:lang w:bidi="bn-BD"/>
              </w:rPr>
              <w:t xml:space="preserve">             50 000    </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nil"/>
              <w:left w:val="single" w:sz="8" w:space="0" w:color="auto"/>
              <w:bottom w:val="nil"/>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410</w:t>
            </w:r>
          </w:p>
        </w:tc>
        <w:tc>
          <w:tcPr>
            <w:tcW w:w="4280" w:type="dxa"/>
            <w:tcBorders>
              <w:top w:val="single" w:sz="4" w:space="0" w:color="auto"/>
              <w:left w:val="single" w:sz="8" w:space="0" w:color="auto"/>
              <w:bottom w:val="nil"/>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Obchodná akadémia Vranov nad Topľou</w:t>
            </w:r>
          </w:p>
        </w:tc>
        <w:tc>
          <w:tcPr>
            <w:tcW w:w="7220" w:type="dxa"/>
            <w:tcBorders>
              <w:top w:val="single" w:sz="4" w:space="0" w:color="auto"/>
              <w:left w:val="nil"/>
              <w:bottom w:val="nil"/>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výstavba odbornej učebne</w:t>
            </w:r>
          </w:p>
        </w:tc>
        <w:tc>
          <w:tcPr>
            <w:tcW w:w="1660" w:type="dxa"/>
            <w:tcBorders>
              <w:top w:val="single" w:sz="4" w:space="0" w:color="auto"/>
              <w:left w:val="nil"/>
              <w:bottom w:val="nil"/>
              <w:right w:val="single" w:sz="8" w:space="0" w:color="auto"/>
              <w:tl2br w:val="nil"/>
              <w:tr2bl w:val="nil"/>
            </w:tcBorders>
            <w:noWrap/>
            <w:textDirection w:val="lrTb"/>
            <w:vAlign w:val="center"/>
          </w:tcPr>
          <w:p w:rsidR="00976CDF" w:rsidRPr="00C27D09" w:rsidP="00D40CB2">
            <w:pPr>
              <w:rPr>
                <w:rFonts w:ascii="Arial" w:hAnsi="Arial" w:cs="Times New Roman"/>
                <w:sz w:val="22"/>
                <w:szCs w:val="16"/>
                <w:lang w:bidi="bn-BD"/>
              </w:rPr>
            </w:pPr>
            <w:r w:rsidRPr="00C27D09">
              <w:rPr>
                <w:rFonts w:ascii="Arial" w:hAnsi="Arial" w:cs="Times New Roman"/>
                <w:sz w:val="22"/>
                <w:szCs w:val="16"/>
                <w:lang w:bidi="bn-BD"/>
              </w:rPr>
              <w:t xml:space="preserve">           100 000    </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4" w:space="0" w:color="auto"/>
              <w:left w:val="single" w:sz="8" w:space="0" w:color="auto"/>
              <w:bottom w:val="single" w:sz="8"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411</w:t>
            </w:r>
          </w:p>
        </w:tc>
        <w:tc>
          <w:tcPr>
            <w:tcW w:w="4280" w:type="dxa"/>
            <w:tcBorders>
              <w:top w:val="single" w:sz="4" w:space="0" w:color="auto"/>
              <w:left w:val="single" w:sz="8" w:space="0" w:color="auto"/>
              <w:bottom w:val="single" w:sz="8"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Pedagogicko-psychologická poradňa Brezno</w:t>
            </w:r>
          </w:p>
        </w:tc>
        <w:tc>
          <w:tcPr>
            <w:tcW w:w="7220" w:type="dxa"/>
            <w:tcBorders>
              <w:top w:val="single" w:sz="4" w:space="0" w:color="auto"/>
              <w:left w:val="nil"/>
              <w:bottom w:val="single" w:sz="8"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kúpa služobného automobilu na realizáciu projektu "Lepšia cesta k deťom a rodičom formou nového služobného automobilu"</w:t>
            </w:r>
          </w:p>
        </w:tc>
        <w:tc>
          <w:tcPr>
            <w:tcW w:w="1660" w:type="dxa"/>
            <w:tcBorders>
              <w:top w:val="single" w:sz="4" w:space="0" w:color="auto"/>
              <w:left w:val="nil"/>
              <w:bottom w:val="single" w:sz="8" w:space="0" w:color="auto"/>
              <w:right w:val="single" w:sz="8" w:space="0" w:color="auto"/>
              <w:tl2br w:val="nil"/>
              <w:tr2bl w:val="nil"/>
            </w:tcBorders>
            <w:noWrap/>
            <w:textDirection w:val="lrTb"/>
            <w:vAlign w:val="center"/>
          </w:tcPr>
          <w:p w:rsidR="00976CDF" w:rsidRPr="00C27D09" w:rsidP="00D40CB2">
            <w:pPr>
              <w:rPr>
                <w:rFonts w:ascii="Arial" w:hAnsi="Arial" w:cs="Times New Roman"/>
                <w:sz w:val="22"/>
                <w:szCs w:val="16"/>
                <w:lang w:bidi="bn-BD"/>
              </w:rPr>
            </w:pPr>
            <w:r w:rsidRPr="00C27D09">
              <w:rPr>
                <w:rFonts w:ascii="Arial" w:hAnsi="Arial" w:cs="Times New Roman"/>
                <w:sz w:val="22"/>
                <w:szCs w:val="16"/>
                <w:lang w:bidi="bn-BD"/>
              </w:rPr>
              <w:t xml:space="preserve">          200 000    </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570"/>
        </w:trPr>
        <w:tc>
          <w:tcPr>
            <w:tcW w:w="911" w:type="dxa"/>
            <w:tcBorders>
              <w:top w:val="single" w:sz="8"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412</w:t>
            </w:r>
          </w:p>
        </w:tc>
        <w:tc>
          <w:tcPr>
            <w:tcW w:w="4280"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Detské integračné centrum Lučenec</w:t>
            </w:r>
          </w:p>
        </w:tc>
        <w:tc>
          <w:tcPr>
            <w:tcW w:w="7220" w:type="dxa"/>
            <w:tcBorders>
              <w:top w:val="single" w:sz="8" w:space="0" w:color="auto"/>
              <w:left w:val="nil"/>
              <w:bottom w:val="single" w:sz="4"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dovolenkový pobyt pre ťažko zdravotne postihnuté deti vo veku 4 až 7 rokov</w:t>
            </w:r>
          </w:p>
        </w:tc>
        <w:tc>
          <w:tcPr>
            <w:tcW w:w="1660" w:type="dxa"/>
            <w:tcBorders>
              <w:top w:val="single" w:sz="8" w:space="0" w:color="auto"/>
              <w:left w:val="nil"/>
              <w:bottom w:val="single" w:sz="4" w:space="0" w:color="auto"/>
              <w:right w:val="single" w:sz="8" w:space="0" w:color="auto"/>
              <w:tl2br w:val="nil"/>
              <w:tr2bl w:val="nil"/>
            </w:tcBorders>
            <w:noWrap/>
            <w:textDirection w:val="lrTb"/>
            <w:vAlign w:val="center"/>
          </w:tcPr>
          <w:p w:rsidR="00976CDF" w:rsidRPr="00C27D09" w:rsidP="00D40CB2">
            <w:pPr>
              <w:rPr>
                <w:rFonts w:ascii="Arial" w:hAnsi="Arial" w:cs="Times New Roman"/>
                <w:sz w:val="22"/>
                <w:szCs w:val="16"/>
                <w:lang w:bidi="bn-BD"/>
              </w:rPr>
            </w:pPr>
            <w:r w:rsidRPr="00C27D09">
              <w:rPr>
                <w:rFonts w:ascii="Arial" w:hAnsi="Arial" w:cs="Times New Roman"/>
                <w:sz w:val="22"/>
                <w:szCs w:val="16"/>
                <w:lang w:bidi="bn-BD"/>
              </w:rPr>
              <w:t xml:space="preserve">           100 000    </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285"/>
        </w:trPr>
        <w:tc>
          <w:tcPr>
            <w:tcW w:w="911"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413</w:t>
            </w:r>
          </w:p>
        </w:tc>
        <w:tc>
          <w:tcPr>
            <w:tcW w:w="4280" w:type="dxa"/>
            <w:tcBorders>
              <w:top w:val="single" w:sz="4" w:space="0" w:color="auto"/>
              <w:left w:val="single" w:sz="8" w:space="0" w:color="auto"/>
              <w:bottom w:val="nil"/>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Detská FNsP Bratislava</w:t>
            </w:r>
          </w:p>
        </w:tc>
        <w:tc>
          <w:tcPr>
            <w:tcW w:w="7220" w:type="dxa"/>
            <w:tcBorders>
              <w:top w:val="single" w:sz="4" w:space="0" w:color="auto"/>
              <w:left w:val="nil"/>
              <w:bottom w:val="nil"/>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prístrojové dovybavenie Detského diabetologického centra SR </w:t>
            </w:r>
          </w:p>
        </w:tc>
        <w:tc>
          <w:tcPr>
            <w:tcW w:w="1660" w:type="dxa"/>
            <w:tcBorders>
              <w:top w:val="single" w:sz="4" w:space="0" w:color="auto"/>
              <w:left w:val="nil"/>
              <w:bottom w:val="nil"/>
              <w:right w:val="single" w:sz="8" w:space="0" w:color="auto"/>
              <w:tl2br w:val="nil"/>
              <w:tr2bl w:val="nil"/>
            </w:tcBorders>
            <w:noWrap/>
            <w:textDirection w:val="lrTb"/>
            <w:vAlign w:val="center"/>
          </w:tcPr>
          <w:p w:rsidR="00976CDF" w:rsidRPr="00C27D09" w:rsidP="00D40CB2">
            <w:pPr>
              <w:rPr>
                <w:rFonts w:ascii="Arial" w:hAnsi="Arial" w:cs="Times New Roman"/>
                <w:sz w:val="22"/>
                <w:szCs w:val="16"/>
                <w:lang w:bidi="bn-BD"/>
              </w:rPr>
            </w:pPr>
            <w:r w:rsidRPr="00C27D09">
              <w:rPr>
                <w:rFonts w:ascii="Arial" w:hAnsi="Arial" w:cs="Times New Roman"/>
                <w:sz w:val="22"/>
                <w:szCs w:val="16"/>
                <w:lang w:bidi="bn-BD"/>
              </w:rPr>
              <w:t xml:space="preserve">           200 000    </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300"/>
        </w:trPr>
        <w:tc>
          <w:tcPr>
            <w:tcW w:w="911" w:type="dxa"/>
            <w:tcBorders>
              <w:top w:val="nil"/>
              <w:left w:val="single" w:sz="8" w:space="0" w:color="auto"/>
              <w:bottom w:val="single" w:sz="8" w:space="0" w:color="auto"/>
              <w:right w:val="single" w:sz="4" w:space="0" w:color="auto"/>
              <w:tl2br w:val="nil"/>
              <w:tr2bl w:val="nil"/>
            </w:tcBorders>
            <w:noWrap/>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414</w:t>
            </w:r>
          </w:p>
        </w:tc>
        <w:tc>
          <w:tcPr>
            <w:tcW w:w="4280" w:type="dxa"/>
            <w:tcBorders>
              <w:top w:val="single" w:sz="4" w:space="0" w:color="auto"/>
              <w:left w:val="single" w:sz="4" w:space="0" w:color="auto"/>
              <w:bottom w:val="single" w:sz="8"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 xml:space="preserve">Úrad vlády SR </w:t>
            </w:r>
          </w:p>
        </w:tc>
        <w:tc>
          <w:tcPr>
            <w:tcW w:w="7220" w:type="dxa"/>
            <w:tcBorders>
              <w:top w:val="single" w:sz="4" w:space="0" w:color="auto"/>
              <w:left w:val="nil"/>
              <w:bottom w:val="single" w:sz="8" w:space="0" w:color="auto"/>
              <w:right w:val="single" w:sz="4" w:space="0" w:color="auto"/>
              <w:tl2br w:val="nil"/>
              <w:tr2bl w:val="nil"/>
            </w:tcBorders>
            <w:textDirection w:val="lrTb"/>
            <w:vAlign w:val="center"/>
          </w:tcPr>
          <w:p w:rsidR="00976CDF" w:rsidRPr="00543EB3" w:rsidP="00D40CB2">
            <w:pPr>
              <w:rPr>
                <w:rFonts w:ascii="Arial" w:hAnsi="Arial" w:cs="Times New Roman"/>
                <w:sz w:val="22"/>
                <w:szCs w:val="22"/>
                <w:lang w:bidi="bn-BD"/>
              </w:rPr>
            </w:pPr>
            <w:r w:rsidRPr="00543EB3">
              <w:rPr>
                <w:rFonts w:ascii="Arial" w:hAnsi="Arial" w:cs="Times New Roman"/>
                <w:sz w:val="22"/>
                <w:szCs w:val="22"/>
                <w:lang w:bidi="bn-BD"/>
              </w:rPr>
              <w:t>bezpečnostný projekt ústr.portálu verejnej správy</w:t>
            </w:r>
          </w:p>
        </w:tc>
        <w:tc>
          <w:tcPr>
            <w:tcW w:w="1660" w:type="dxa"/>
            <w:tcBorders>
              <w:top w:val="single" w:sz="4" w:space="0" w:color="auto"/>
              <w:left w:val="nil"/>
              <w:bottom w:val="single" w:sz="8" w:space="0" w:color="auto"/>
              <w:right w:val="single" w:sz="4" w:space="0" w:color="auto"/>
              <w:tl2br w:val="nil"/>
              <w:tr2bl w:val="nil"/>
            </w:tcBorders>
            <w:noWrap/>
            <w:textDirection w:val="lrTb"/>
            <w:vAlign w:val="center"/>
          </w:tcPr>
          <w:p w:rsidR="00976CDF" w:rsidRPr="00C27D09" w:rsidP="00D40CB2">
            <w:pPr>
              <w:rPr>
                <w:rFonts w:ascii="Arial" w:hAnsi="Arial" w:cs="Times New Roman"/>
                <w:sz w:val="22"/>
                <w:szCs w:val="16"/>
                <w:lang w:bidi="bn-BD"/>
              </w:rPr>
            </w:pPr>
            <w:r w:rsidRPr="00C27D09">
              <w:rPr>
                <w:rFonts w:ascii="Arial" w:hAnsi="Arial" w:cs="Times New Roman"/>
                <w:sz w:val="22"/>
                <w:szCs w:val="16"/>
                <w:lang w:bidi="bn-BD"/>
              </w:rPr>
              <w:t xml:space="preserve">           916 000    </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r>
        <w:tblPrEx>
          <w:tblW w:w="14951" w:type="dxa"/>
          <w:tblInd w:w="55" w:type="dxa"/>
          <w:tblCellMar>
            <w:left w:w="70" w:type="dxa"/>
            <w:right w:w="70" w:type="dxa"/>
          </w:tblCellMar>
        </w:tblPrEx>
        <w:trPr>
          <w:trHeight w:val="315"/>
        </w:trPr>
        <w:tc>
          <w:tcPr>
            <w:tcW w:w="911" w:type="dxa"/>
            <w:tcBorders>
              <w:top w:val="single" w:sz="8" w:space="0" w:color="auto"/>
              <w:left w:val="single" w:sz="8" w:space="0" w:color="auto"/>
              <w:bottom w:val="double" w:sz="6" w:space="0" w:color="auto"/>
              <w:right w:val="single" w:sz="4" w:space="0" w:color="auto"/>
              <w:tl2br w:val="nil"/>
              <w:tr2bl w:val="nil"/>
            </w:tcBorders>
            <w:noWrap/>
            <w:textDirection w:val="lrTb"/>
            <w:vAlign w:val="center"/>
          </w:tcPr>
          <w:p w:rsidR="00976CDF" w:rsidRPr="00543EB3" w:rsidP="00D40CB2">
            <w:pPr>
              <w:rPr>
                <w:rFonts w:ascii="Arial" w:hAnsi="Arial" w:cs="Times New Roman"/>
                <w:b/>
                <w:bCs/>
                <w:sz w:val="22"/>
                <w:szCs w:val="22"/>
                <w:lang w:bidi="bn-BD"/>
              </w:rPr>
            </w:pPr>
          </w:p>
        </w:tc>
        <w:tc>
          <w:tcPr>
            <w:tcW w:w="4280" w:type="dxa"/>
            <w:tcBorders>
              <w:top w:val="single" w:sz="8" w:space="0" w:color="auto"/>
              <w:left w:val="single" w:sz="4" w:space="0" w:color="auto"/>
              <w:bottom w:val="double" w:sz="6" w:space="0" w:color="auto"/>
              <w:right w:val="single" w:sz="4" w:space="0" w:color="auto"/>
              <w:tl2br w:val="nil"/>
              <w:tr2bl w:val="nil"/>
            </w:tcBorders>
            <w:noWrap/>
            <w:textDirection w:val="lrTb"/>
            <w:vAlign w:val="center"/>
          </w:tcPr>
          <w:p w:rsidR="00976CDF" w:rsidRPr="00543EB3" w:rsidP="00D40CB2">
            <w:pPr>
              <w:rPr>
                <w:rFonts w:ascii="Arial" w:hAnsi="Arial" w:cs="Times New Roman"/>
                <w:b/>
                <w:bCs/>
                <w:sz w:val="22"/>
                <w:szCs w:val="22"/>
                <w:lang w:bidi="bn-BD"/>
              </w:rPr>
            </w:pPr>
            <w:r w:rsidRPr="00543EB3">
              <w:rPr>
                <w:rFonts w:ascii="Arial" w:hAnsi="Arial" w:cs="Times New Roman"/>
                <w:b/>
                <w:bCs/>
                <w:sz w:val="22"/>
                <w:szCs w:val="22"/>
                <w:lang w:bidi="bn-BD"/>
              </w:rPr>
              <w:t>SPOLU</w:t>
            </w:r>
          </w:p>
        </w:tc>
        <w:tc>
          <w:tcPr>
            <w:tcW w:w="7220" w:type="dxa"/>
            <w:tcBorders>
              <w:top w:val="single" w:sz="8" w:space="0" w:color="auto"/>
              <w:left w:val="nil"/>
              <w:bottom w:val="double" w:sz="6" w:space="0" w:color="auto"/>
              <w:right w:val="single" w:sz="4" w:space="0" w:color="auto"/>
              <w:tl2br w:val="nil"/>
              <w:tr2bl w:val="nil"/>
            </w:tcBorders>
            <w:noWrap/>
            <w:textDirection w:val="lrTb"/>
            <w:vAlign w:val="center"/>
          </w:tcPr>
          <w:p w:rsidR="00976CDF" w:rsidRPr="00543EB3" w:rsidP="00D40CB2">
            <w:pPr>
              <w:rPr>
                <w:rFonts w:ascii="Arial" w:hAnsi="Arial" w:cs="Times New Roman"/>
                <w:b/>
                <w:bCs/>
                <w:sz w:val="22"/>
                <w:szCs w:val="22"/>
                <w:lang w:bidi="bn-BD"/>
              </w:rPr>
            </w:pPr>
          </w:p>
        </w:tc>
        <w:tc>
          <w:tcPr>
            <w:tcW w:w="1660" w:type="dxa"/>
            <w:tcBorders>
              <w:top w:val="single" w:sz="8" w:space="0" w:color="auto"/>
              <w:left w:val="nil"/>
              <w:bottom w:val="double" w:sz="6" w:space="0" w:color="auto"/>
              <w:right w:val="single" w:sz="8" w:space="0" w:color="auto"/>
              <w:tl2br w:val="nil"/>
              <w:tr2bl w:val="nil"/>
            </w:tcBorders>
            <w:noWrap/>
            <w:textDirection w:val="lrTb"/>
            <w:vAlign w:val="center"/>
          </w:tcPr>
          <w:p w:rsidR="00976CDF" w:rsidRPr="00543EB3" w:rsidP="00D40CB2">
            <w:pPr>
              <w:rPr>
                <w:rFonts w:ascii="Arial" w:hAnsi="Arial" w:cs="Times New Roman"/>
                <w:b/>
                <w:bCs/>
                <w:sz w:val="22"/>
                <w:szCs w:val="22"/>
                <w:lang w:bidi="bn-BD"/>
              </w:rPr>
            </w:pPr>
            <w:r w:rsidRPr="00543EB3">
              <w:rPr>
                <w:rFonts w:ascii="Arial" w:hAnsi="Arial" w:cs="Times New Roman"/>
                <w:b/>
                <w:bCs/>
                <w:sz w:val="22"/>
                <w:szCs w:val="22"/>
                <w:lang w:bidi="bn-BD"/>
              </w:rPr>
              <w:t>45 917 388</w:t>
            </w:r>
          </w:p>
        </w:tc>
        <w:tc>
          <w:tcPr>
            <w:tcW w:w="880" w:type="dxa"/>
            <w:tcBorders>
              <w:top w:val="nil"/>
              <w:left w:val="nil"/>
              <w:bottom w:val="nil"/>
              <w:right w:val="nil"/>
              <w:tl2br w:val="nil"/>
              <w:tr2bl w:val="nil"/>
            </w:tcBorders>
            <w:noWrap/>
            <w:textDirection w:val="lrTb"/>
            <w:vAlign w:val="center"/>
          </w:tcPr>
          <w:p w:rsidR="00976CDF" w:rsidRPr="00543EB3" w:rsidP="00D40CB2">
            <w:pPr>
              <w:rPr>
                <w:rFonts w:ascii="Arial" w:hAnsi="Arial" w:cs="Times New Roman"/>
                <w:lang w:bidi="bn-BD"/>
              </w:rPr>
            </w:pPr>
          </w:p>
        </w:tc>
      </w:tr>
    </w:tbl>
    <w:p w:rsidR="00976CDF" w:rsidRPr="00E77B8A"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rPr>
          <w:rFonts w:ascii="Times New Roman" w:hAnsi="Times New Roman" w:cs="Times New Roman"/>
          <w:color w:val="000000"/>
          <w:sz w:val="20"/>
          <w:szCs w:val="20"/>
        </w:rPr>
        <w:sectPr>
          <w:type w:val="continuous"/>
          <w:pgSz w:w="15842" w:h="12242" w:orient="landscape" w:code="1"/>
          <w:pgMar w:top="1440" w:right="1418" w:bottom="1775" w:left="1418" w:header="0" w:footer="1440" w:gutter="0"/>
          <w:cols w:space="708"/>
          <w:titlePg/>
          <w:bidi w:val="0"/>
        </w:sectPr>
      </w:pPr>
      <w:r w:rsidR="00437FA0">
        <w:rPr>
          <w:rFonts w:ascii="Times New Roman" w:hAnsi="Times New Roman" w:cs="Times New Roman"/>
          <w:color w:val="000000"/>
          <w:sz w:val="20"/>
          <w:szCs w:val="20"/>
        </w:rPr>
        <w:t>Zdroj: ÚV S</w:t>
      </w:r>
    </w:p>
    <w:p w:rsidR="00976CDF" w:rsidP="00976CD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1" w:lineRule="atLeast"/>
        <w:rPr>
          <w:rFonts w:ascii="Arial Narrow" w:hAnsi="Arial Narrow" w:cs="Times New Roman"/>
          <w:color w:val="000000"/>
        </w:rPr>
      </w:pPr>
    </w:p>
    <w:p w:rsidR="00976CDF" w:rsidRPr="001B0C2D" w:rsidP="00766559">
      <w:pPr>
        <w:pStyle w:val="Heading4"/>
        <w:spacing w:line="240" w:lineRule="atLeast"/>
        <w:jc w:val="center"/>
        <w:rPr>
          <w:rFonts w:ascii="Times New Roman" w:hAnsi="Times New Roman" w:cs="Times New Roman"/>
          <w:sz w:val="24"/>
          <w:lang w:val="pt-BR"/>
        </w:rPr>
      </w:pPr>
      <w:r w:rsidR="00766559">
        <w:rPr>
          <w:rFonts w:ascii="Times New Roman" w:hAnsi="Times New Roman" w:cs="Times New Roman"/>
          <w:sz w:val="24"/>
          <w:lang w:val="pt-BR"/>
        </w:rPr>
        <w:t xml:space="preserve">3.3. </w:t>
      </w:r>
      <w:r w:rsidRPr="001B0C2D">
        <w:rPr>
          <w:rFonts w:ascii="Times New Roman" w:hAnsi="Times New Roman" w:cs="Times New Roman"/>
          <w:sz w:val="24"/>
          <w:lang w:val="pt-BR"/>
        </w:rPr>
        <w:t>Rezerva na prostriedky Európskej únie a odvody Európskej únii</w:t>
      </w:r>
    </w:p>
    <w:p w:rsidR="00976CDF" w:rsidRPr="00E936FD" w:rsidP="00976CDF">
      <w:pPr>
        <w:spacing w:line="240" w:lineRule="atLeast"/>
        <w:jc w:val="both"/>
        <w:rPr>
          <w:rFonts w:ascii="Times New Roman" w:hAnsi="Times New Roman" w:cs="Times New Roman"/>
          <w:lang w:val="pt-BR"/>
        </w:rPr>
      </w:pPr>
    </w:p>
    <w:p w:rsidR="00976CDF" w:rsidRPr="00E936FD" w:rsidP="00976CDF">
      <w:pPr>
        <w:spacing w:after="120" w:line="360" w:lineRule="auto"/>
        <w:ind w:firstLine="708"/>
        <w:jc w:val="both"/>
        <w:rPr>
          <w:rFonts w:ascii="Times New Roman" w:hAnsi="Times New Roman" w:cs="Times New Roman"/>
          <w:lang w:val="pt-BR"/>
        </w:rPr>
      </w:pPr>
      <w:r w:rsidRPr="00E936FD">
        <w:rPr>
          <w:rFonts w:ascii="Times New Roman" w:hAnsi="Times New Roman" w:cs="Times New Roman"/>
          <w:lang w:val="pt-BR"/>
        </w:rPr>
        <w:t xml:space="preserve">Na zabezpečenie plynulého financovania spoločných programov SR a EÚ bola v kapitole VPS vytvorená Rezerva na prostriedky Európskej únie a odvody Európskej únii vo výške 1 245,0 mil. Sk. Uvedená rezerva slúžila na administrovanie štrukturálnych fondov, Kohézneho fondu, príjmov zo záručnej sekcie EAGGF, odvodov Európskej únii a predvstupových fondov, konkrétne na bankové poplatky za vedenie účtov, kurzové rozdiely, DPH za realizované projekty, daň z úrokov, predfinancovanie prostriedkov EÚ, resp. predplácanie kontraktov, rýchlejšiu realizáciu projektov a nezrovnalosti. </w:t>
      </w:r>
    </w:p>
    <w:p w:rsidR="00976CDF" w:rsidRPr="00E936FD" w:rsidP="00976CDF">
      <w:pPr>
        <w:spacing w:after="120" w:line="360" w:lineRule="auto"/>
        <w:ind w:firstLine="708"/>
        <w:jc w:val="both"/>
        <w:rPr>
          <w:rFonts w:ascii="Times New Roman" w:hAnsi="Times New Roman" w:cs="Times New Roman"/>
          <w:szCs w:val="22"/>
          <w:lang w:val="pt-BR"/>
        </w:rPr>
      </w:pPr>
      <w:r w:rsidRPr="00E936FD">
        <w:rPr>
          <w:rFonts w:ascii="Times New Roman" w:hAnsi="Times New Roman" w:cs="Times New Roman"/>
          <w:lang w:val="pt-BR"/>
        </w:rPr>
        <w:t>Výška rezervy na rok 2006 bola zároveň ovplyvnená</w:t>
      </w:r>
      <w:r w:rsidRPr="00E936FD">
        <w:rPr>
          <w:rFonts w:ascii="Times New Roman" w:hAnsi="Times New Roman" w:cs="Times New Roman"/>
          <w:szCs w:val="22"/>
          <w:lang w:val="pt-BR"/>
        </w:rPr>
        <w:t xml:space="preserve"> prostriedkami presunutými z roku 2005 </w:t>
      </w:r>
      <w:r w:rsidRPr="00E936FD">
        <w:rPr>
          <w:rFonts w:ascii="Times New Roman" w:hAnsi="Times New Roman" w:cs="Times New Roman"/>
          <w:lang w:val="pt-BR"/>
        </w:rPr>
        <w:t xml:space="preserve">v zmysle </w:t>
      </w:r>
      <w:r w:rsidRPr="00E936FD">
        <w:rPr>
          <w:rFonts w:ascii="Times New Roman" w:hAnsi="Times New Roman" w:cs="Times New Roman"/>
          <w:szCs w:val="22"/>
          <w:lang w:val="pt-BR"/>
        </w:rPr>
        <w:t xml:space="preserve">§ 8 zákona č. 523/2004 Z. z. o rozpočtových pravidlách verejnej správy a o zmene a doplnení niektorých zákonov v celkovej výške 1 007,2 mil. Sk. </w:t>
      </w:r>
    </w:p>
    <w:p w:rsidR="00976CDF" w:rsidRPr="00E936FD" w:rsidP="00976CDF">
      <w:pPr>
        <w:spacing w:after="120" w:line="360" w:lineRule="auto"/>
        <w:ind w:firstLine="708"/>
        <w:jc w:val="both"/>
        <w:rPr>
          <w:rFonts w:ascii="Times New Roman" w:hAnsi="Times New Roman" w:cs="Times New Roman"/>
          <w:szCs w:val="22"/>
          <w:lang w:val="pt-BR"/>
        </w:rPr>
      </w:pPr>
      <w:r w:rsidRPr="00E936FD">
        <w:rPr>
          <w:rFonts w:ascii="Times New Roman" w:hAnsi="Times New Roman" w:cs="Times New Roman"/>
          <w:szCs w:val="22"/>
          <w:lang w:val="pt-BR"/>
        </w:rPr>
        <w:t>Z vyššie uvedeného vyplýva, že celková výška prostriedkov na zabezpečenie plynulého čerpania prostriedkov EÚ a financovania odvodov do všeobecného rozpočtu EÚ bola začiatkom roka 2006 vo výške 2 252,2 mil. Sk.</w:t>
      </w:r>
    </w:p>
    <w:p w:rsidR="00976CDF" w:rsidRPr="00E936FD" w:rsidP="00976CDF">
      <w:pPr>
        <w:spacing w:before="120" w:after="120" w:line="360" w:lineRule="auto"/>
        <w:ind w:firstLine="709"/>
        <w:jc w:val="both"/>
        <w:rPr>
          <w:rFonts w:ascii="Times New Roman" w:hAnsi="Times New Roman" w:cs="Times New Roman"/>
        </w:rPr>
      </w:pPr>
      <w:r w:rsidRPr="00E936FD">
        <w:rPr>
          <w:rFonts w:ascii="Times New Roman" w:hAnsi="Times New Roman" w:cs="Times New Roman"/>
        </w:rPr>
        <w:t>Podrobnejší prehľad o rozpočtovaných a použitých prostriedkoch poskytuje nasledovná tabuľka (v mil. Sk):</w:t>
      </w:r>
    </w:p>
    <w:tbl>
      <w:tblPr>
        <w:tblW w:w="9250"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CellMar>
          <w:top w:w="0" w:type="dxa"/>
          <w:left w:w="70" w:type="dxa"/>
          <w:bottom w:w="0" w:type="dxa"/>
          <w:right w:w="70" w:type="dxa"/>
        </w:tblCellMar>
      </w:tblPr>
      <w:tblGrid>
        <w:gridCol w:w="1330"/>
        <w:gridCol w:w="1260"/>
        <w:gridCol w:w="1080"/>
        <w:gridCol w:w="1080"/>
        <w:gridCol w:w="1260"/>
        <w:gridCol w:w="1080"/>
        <w:gridCol w:w="1080"/>
        <w:gridCol w:w="1080"/>
      </w:tblGrid>
      <w:tr>
        <w:tblPrEx>
          <w:tblW w:w="9250"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trPr>
        <w:tc>
          <w:tcPr>
            <w:tcW w:w="1330" w:type="dxa"/>
            <w:vMerge w:val="restart"/>
            <w:tcBorders>
              <w:top w:val="single" w:sz="8" w:space="0" w:color="auto"/>
              <w:left w:val="single" w:sz="8" w:space="0" w:color="auto"/>
              <w:bottom w:val="single" w:sz="4" w:space="0" w:color="auto"/>
              <w:right w:val="single" w:sz="4" w:space="0" w:color="auto"/>
              <w:tl2br w:val="nil"/>
              <w:tr2bl w:val="nil"/>
            </w:tcBorders>
            <w:shd w:val="clear" w:color="auto" w:fill="FFFFFF"/>
            <w:textDirection w:val="lrTb"/>
            <w:vAlign w:val="top"/>
          </w:tcPr>
          <w:p w:rsidR="00976CDF" w:rsidRPr="001B0C2D" w:rsidP="00976CDF">
            <w:pPr>
              <w:jc w:val="both"/>
              <w:rPr>
                <w:rFonts w:ascii="Times New Roman" w:hAnsi="Times New Roman" w:cs="Times New Roman"/>
                <w:sz w:val="20"/>
                <w:szCs w:val="20"/>
              </w:rPr>
            </w:pPr>
            <w:r w:rsidRPr="001B0C2D">
              <w:rPr>
                <w:rFonts w:ascii="Times New Roman" w:hAnsi="Times New Roman" w:cs="Times New Roman"/>
                <w:sz w:val="20"/>
                <w:szCs w:val="20"/>
              </w:rPr>
              <w:t xml:space="preserve">   </w:t>
            </w:r>
          </w:p>
        </w:tc>
        <w:tc>
          <w:tcPr>
            <w:tcW w:w="1260" w:type="dxa"/>
            <w:vMerge w:val="restart"/>
            <w:tcBorders>
              <w:top w:val="single" w:sz="8"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976CDF" w:rsidRPr="001B0C2D" w:rsidP="00976CDF">
            <w:pPr>
              <w:jc w:val="center"/>
              <w:rPr>
                <w:rFonts w:ascii="Times New Roman" w:hAnsi="Times New Roman" w:cs="Times New Roman"/>
                <w:b/>
                <w:sz w:val="20"/>
                <w:szCs w:val="20"/>
              </w:rPr>
            </w:pPr>
            <w:r w:rsidRPr="001B0C2D">
              <w:rPr>
                <w:rFonts w:ascii="Times New Roman" w:hAnsi="Times New Roman" w:cs="Times New Roman"/>
                <w:b/>
                <w:sz w:val="20"/>
                <w:szCs w:val="20"/>
              </w:rPr>
              <w:t>Skutočnosť 2005</w:t>
            </w:r>
          </w:p>
        </w:tc>
        <w:tc>
          <w:tcPr>
            <w:tcW w:w="2160" w:type="dxa"/>
            <w:gridSpan w:val="2"/>
            <w:tcBorders>
              <w:top w:val="single" w:sz="8"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976CDF" w:rsidRPr="001B0C2D" w:rsidP="00976CDF">
            <w:pPr>
              <w:jc w:val="center"/>
              <w:rPr>
                <w:rFonts w:ascii="Times New Roman" w:hAnsi="Times New Roman" w:cs="Times New Roman"/>
                <w:b/>
                <w:sz w:val="20"/>
                <w:szCs w:val="20"/>
              </w:rPr>
            </w:pPr>
            <w:r w:rsidRPr="001B0C2D">
              <w:rPr>
                <w:rFonts w:ascii="Times New Roman" w:hAnsi="Times New Roman" w:cs="Times New Roman"/>
                <w:b/>
                <w:sz w:val="20"/>
                <w:szCs w:val="20"/>
              </w:rPr>
              <w:t>Rozpočet 2006</w:t>
            </w:r>
          </w:p>
        </w:tc>
        <w:tc>
          <w:tcPr>
            <w:tcW w:w="1260" w:type="dxa"/>
            <w:vMerge w:val="restart"/>
            <w:tcBorders>
              <w:top w:val="single" w:sz="8"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976CDF" w:rsidRPr="001B0C2D" w:rsidP="00976CDF">
            <w:pPr>
              <w:jc w:val="center"/>
              <w:rPr>
                <w:rFonts w:ascii="Times New Roman" w:hAnsi="Times New Roman" w:cs="Times New Roman"/>
                <w:b/>
                <w:sz w:val="20"/>
                <w:szCs w:val="20"/>
              </w:rPr>
            </w:pPr>
            <w:r w:rsidRPr="001B0C2D">
              <w:rPr>
                <w:rFonts w:ascii="Times New Roman" w:hAnsi="Times New Roman" w:cs="Times New Roman"/>
                <w:b/>
                <w:sz w:val="20"/>
                <w:szCs w:val="20"/>
              </w:rPr>
              <w:t>Skutočnosť 2006</w:t>
            </w:r>
          </w:p>
        </w:tc>
        <w:tc>
          <w:tcPr>
            <w:tcW w:w="1080" w:type="dxa"/>
            <w:vMerge w:val="restart"/>
            <w:tcBorders>
              <w:top w:val="single" w:sz="8"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976CDF" w:rsidRPr="001B0C2D" w:rsidP="00976CDF">
            <w:pPr>
              <w:jc w:val="center"/>
              <w:rPr>
                <w:rFonts w:ascii="Times New Roman" w:hAnsi="Times New Roman" w:cs="Times New Roman"/>
                <w:b/>
                <w:sz w:val="20"/>
                <w:szCs w:val="20"/>
              </w:rPr>
            </w:pPr>
            <w:r w:rsidRPr="001B0C2D">
              <w:rPr>
                <w:rFonts w:ascii="Times New Roman" w:hAnsi="Times New Roman" w:cs="Times New Roman"/>
                <w:b/>
                <w:sz w:val="20"/>
                <w:szCs w:val="20"/>
              </w:rPr>
              <w:t>Plnenie v %</w:t>
            </w:r>
          </w:p>
        </w:tc>
        <w:tc>
          <w:tcPr>
            <w:tcW w:w="1080" w:type="dxa"/>
            <w:vMerge w:val="restart"/>
            <w:tcBorders>
              <w:top w:val="single" w:sz="8"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976CDF" w:rsidRPr="001B0C2D" w:rsidP="00976CDF">
            <w:pPr>
              <w:jc w:val="center"/>
              <w:rPr>
                <w:rFonts w:ascii="Times New Roman" w:hAnsi="Times New Roman" w:cs="Times New Roman"/>
                <w:b/>
                <w:sz w:val="20"/>
                <w:szCs w:val="20"/>
              </w:rPr>
            </w:pPr>
            <w:r w:rsidRPr="001B0C2D">
              <w:rPr>
                <w:rFonts w:ascii="Times New Roman" w:hAnsi="Times New Roman" w:cs="Times New Roman"/>
                <w:b/>
                <w:sz w:val="20"/>
                <w:szCs w:val="20"/>
              </w:rPr>
              <w:t>Rozdiel 2006-2005</w:t>
            </w:r>
          </w:p>
        </w:tc>
        <w:tc>
          <w:tcPr>
            <w:tcW w:w="1080" w:type="dxa"/>
            <w:vMerge w:val="restart"/>
            <w:tcBorders>
              <w:top w:val="single" w:sz="8" w:space="0" w:color="auto"/>
              <w:left w:val="single" w:sz="4" w:space="0" w:color="auto"/>
              <w:bottom w:val="single" w:sz="4" w:space="0" w:color="auto"/>
              <w:right w:val="single" w:sz="8" w:space="0" w:color="auto"/>
              <w:tl2br w:val="nil"/>
              <w:tr2bl w:val="nil"/>
            </w:tcBorders>
            <w:shd w:val="clear" w:color="auto" w:fill="FFFFFF"/>
            <w:textDirection w:val="lrTb"/>
            <w:vAlign w:val="center"/>
          </w:tcPr>
          <w:p w:rsidR="00976CDF" w:rsidRPr="001B0C2D" w:rsidP="00976CDF">
            <w:pPr>
              <w:jc w:val="center"/>
              <w:rPr>
                <w:rFonts w:ascii="Times New Roman" w:hAnsi="Times New Roman" w:cs="Times New Roman"/>
                <w:b/>
                <w:sz w:val="20"/>
                <w:szCs w:val="20"/>
              </w:rPr>
            </w:pPr>
            <w:r w:rsidRPr="001B0C2D">
              <w:rPr>
                <w:rFonts w:ascii="Times New Roman" w:hAnsi="Times New Roman" w:cs="Times New Roman"/>
                <w:b/>
                <w:sz w:val="20"/>
                <w:szCs w:val="20"/>
              </w:rPr>
              <w:t>Index 2006/2005</w:t>
            </w:r>
          </w:p>
        </w:tc>
      </w:tr>
      <w:tr>
        <w:tblPrEx>
          <w:tblW w:w="9250" w:type="dxa"/>
          <w:tblLayout w:type="fixed"/>
          <w:tblCellMar>
            <w:top w:w="0" w:type="dxa"/>
            <w:left w:w="70" w:type="dxa"/>
            <w:bottom w:w="0" w:type="dxa"/>
            <w:right w:w="70" w:type="dxa"/>
          </w:tblCellMar>
        </w:tblPrEx>
        <w:trPr>
          <w:cantSplit/>
          <w:trHeight w:hRule="auto" w:val="0"/>
        </w:trPr>
        <w:tc>
          <w:tcPr>
            <w:tcW w:w="1330" w:type="dxa"/>
            <w:vMerge/>
            <w:tcBorders>
              <w:top w:val="single" w:sz="4" w:space="0" w:color="auto"/>
              <w:left w:val="single" w:sz="8" w:space="0" w:color="auto"/>
              <w:bottom w:val="single" w:sz="4" w:space="0" w:color="auto"/>
              <w:right w:val="single" w:sz="4" w:space="0" w:color="auto"/>
              <w:tl2br w:val="nil"/>
              <w:tr2bl w:val="nil"/>
            </w:tcBorders>
            <w:shd w:val="clear" w:color="auto" w:fill="FFFFFF"/>
            <w:textDirection w:val="lrTb"/>
            <w:vAlign w:val="top"/>
          </w:tcPr>
          <w:p w:rsidR="00976CDF" w:rsidRPr="001B0C2D" w:rsidP="00976CDF">
            <w:pPr>
              <w:jc w:val="both"/>
              <w:rPr>
                <w:rFonts w:ascii="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976CDF" w:rsidRPr="001B0C2D" w:rsidP="00976CD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976CDF" w:rsidRPr="001B0C2D" w:rsidP="00976CDF">
            <w:pPr>
              <w:jc w:val="center"/>
              <w:rPr>
                <w:rFonts w:ascii="Times New Roman" w:hAnsi="Times New Roman" w:cs="Times New Roman"/>
                <w:b/>
                <w:sz w:val="20"/>
                <w:szCs w:val="20"/>
              </w:rPr>
            </w:pPr>
            <w:r w:rsidRPr="001B0C2D">
              <w:rPr>
                <w:rFonts w:ascii="Times New Roman" w:hAnsi="Times New Roman" w:cs="Times New Roman"/>
                <w:b/>
                <w:sz w:val="20"/>
                <w:szCs w:val="20"/>
              </w:rPr>
              <w:t>Schválený</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976CDF" w:rsidRPr="001B0C2D" w:rsidP="00976CDF">
            <w:pPr>
              <w:jc w:val="center"/>
              <w:rPr>
                <w:rFonts w:ascii="Times New Roman" w:hAnsi="Times New Roman" w:cs="Times New Roman"/>
                <w:b/>
                <w:sz w:val="20"/>
                <w:szCs w:val="20"/>
              </w:rPr>
            </w:pPr>
            <w:r w:rsidRPr="001B0C2D">
              <w:rPr>
                <w:rFonts w:ascii="Times New Roman" w:hAnsi="Times New Roman" w:cs="Times New Roman"/>
                <w:b/>
                <w:sz w:val="20"/>
                <w:szCs w:val="20"/>
              </w:rPr>
              <w:t>Upravený</w:t>
            </w:r>
          </w:p>
        </w:tc>
        <w:tc>
          <w:tcPr>
            <w:tcW w:w="1260" w:type="dxa"/>
            <w:vMerge/>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976CDF" w:rsidRPr="001B0C2D" w:rsidP="00976CDF">
            <w:pPr>
              <w:jc w:val="center"/>
              <w:rPr>
                <w:rFonts w:ascii="Times New Roman" w:hAnsi="Times New Roman" w:cs="Times New Roman"/>
                <w:sz w:val="20"/>
                <w:szCs w:val="20"/>
              </w:rPr>
            </w:pPr>
          </w:p>
        </w:tc>
        <w:tc>
          <w:tcPr>
            <w:tcW w:w="1080" w:type="dxa"/>
            <w:vMerge/>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976CDF" w:rsidRPr="001B0C2D" w:rsidP="00976CDF">
            <w:pPr>
              <w:jc w:val="center"/>
              <w:rPr>
                <w:rFonts w:ascii="Times New Roman" w:hAnsi="Times New Roman" w:cs="Times New Roman"/>
                <w:sz w:val="20"/>
                <w:szCs w:val="20"/>
              </w:rPr>
            </w:pPr>
          </w:p>
        </w:tc>
        <w:tc>
          <w:tcPr>
            <w:tcW w:w="1080" w:type="dxa"/>
            <w:vMerge/>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976CDF" w:rsidRPr="001B0C2D" w:rsidP="00976CDF">
            <w:pPr>
              <w:jc w:val="center"/>
              <w:rPr>
                <w:rFonts w:ascii="Times New Roman" w:hAnsi="Times New Roman" w:cs="Times New Roman"/>
                <w:sz w:val="20"/>
                <w:szCs w:val="20"/>
              </w:rPr>
            </w:pPr>
          </w:p>
        </w:tc>
        <w:tc>
          <w:tcPr>
            <w:tcW w:w="1080" w:type="dxa"/>
            <w:vMerge/>
            <w:tcBorders>
              <w:top w:val="single" w:sz="4" w:space="0" w:color="auto"/>
              <w:left w:val="single" w:sz="4" w:space="0" w:color="auto"/>
              <w:bottom w:val="single" w:sz="4" w:space="0" w:color="auto"/>
              <w:right w:val="single" w:sz="8" w:space="0" w:color="auto"/>
              <w:tl2br w:val="nil"/>
              <w:tr2bl w:val="nil"/>
            </w:tcBorders>
            <w:shd w:val="clear" w:color="auto" w:fill="FFFFFF"/>
            <w:textDirection w:val="lrTb"/>
            <w:vAlign w:val="center"/>
          </w:tcPr>
          <w:p w:rsidR="00976CDF" w:rsidRPr="001B0C2D" w:rsidP="00976CDF">
            <w:pPr>
              <w:jc w:val="center"/>
              <w:rPr>
                <w:rFonts w:ascii="Times New Roman" w:hAnsi="Times New Roman" w:cs="Times New Roman"/>
                <w:sz w:val="20"/>
                <w:szCs w:val="20"/>
              </w:rPr>
            </w:pPr>
          </w:p>
        </w:tc>
      </w:tr>
      <w:tr>
        <w:tblPrEx>
          <w:tblW w:w="9250" w:type="dxa"/>
          <w:tblLayout w:type="fixed"/>
          <w:tblCellMar>
            <w:top w:w="0" w:type="dxa"/>
            <w:left w:w="70" w:type="dxa"/>
            <w:bottom w:w="0" w:type="dxa"/>
            <w:right w:w="70" w:type="dxa"/>
          </w:tblCellMar>
        </w:tblPrEx>
        <w:trPr>
          <w:cantSplit/>
          <w:trHeight w:val="50"/>
        </w:trPr>
        <w:tc>
          <w:tcPr>
            <w:tcW w:w="1330" w:type="dxa"/>
            <w:vMerge/>
            <w:tcBorders>
              <w:top w:val="single" w:sz="4" w:space="0" w:color="auto"/>
              <w:left w:val="single" w:sz="8" w:space="0" w:color="auto"/>
              <w:bottom w:val="single" w:sz="4" w:space="0" w:color="auto"/>
              <w:right w:val="single" w:sz="4" w:space="0" w:color="auto"/>
              <w:tl2br w:val="nil"/>
              <w:tr2bl w:val="nil"/>
            </w:tcBorders>
            <w:shd w:val="clear" w:color="auto" w:fill="FFFFFF"/>
            <w:textDirection w:val="lrTb"/>
            <w:vAlign w:val="top"/>
          </w:tcPr>
          <w:p w:rsidR="00976CDF" w:rsidRPr="001B0C2D" w:rsidP="00976CDF">
            <w:pPr>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976CDF" w:rsidRPr="00D40CB2" w:rsidP="00976CDF">
            <w:pPr>
              <w:jc w:val="center"/>
              <w:rPr>
                <w:rFonts w:ascii="Times New Roman" w:hAnsi="Times New Roman" w:cs="Times New Roman"/>
                <w:b/>
                <w:bCs/>
                <w:sz w:val="18"/>
                <w:szCs w:val="18"/>
              </w:rPr>
            </w:pPr>
            <w:r w:rsidRPr="00D40CB2">
              <w:rPr>
                <w:rFonts w:ascii="Times New Roman" w:hAnsi="Times New Roman" w:cs="Times New Roman"/>
                <w:b/>
                <w:bCs/>
                <w:sz w:val="18"/>
                <w:szCs w:val="18"/>
              </w:rPr>
              <w:t>1</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976CDF" w:rsidRPr="00D40CB2" w:rsidP="00976CDF">
            <w:pPr>
              <w:jc w:val="center"/>
              <w:rPr>
                <w:rFonts w:ascii="Times New Roman" w:hAnsi="Times New Roman" w:cs="Times New Roman"/>
                <w:b/>
                <w:bCs/>
                <w:sz w:val="18"/>
                <w:szCs w:val="18"/>
              </w:rPr>
            </w:pPr>
            <w:r w:rsidRPr="00D40CB2">
              <w:rPr>
                <w:rFonts w:ascii="Times New Roman" w:hAnsi="Times New Roman" w:cs="Times New Roman"/>
                <w:b/>
                <w:bCs/>
                <w:sz w:val="18"/>
                <w:szCs w:val="18"/>
              </w:rPr>
              <w:t>2</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976CDF" w:rsidRPr="00D40CB2" w:rsidP="00976CDF">
            <w:pPr>
              <w:jc w:val="center"/>
              <w:rPr>
                <w:rFonts w:ascii="Times New Roman" w:hAnsi="Times New Roman" w:cs="Times New Roman"/>
                <w:b/>
                <w:bCs/>
                <w:sz w:val="18"/>
                <w:szCs w:val="18"/>
              </w:rPr>
            </w:pPr>
            <w:r w:rsidRPr="00D40CB2">
              <w:rPr>
                <w:rFonts w:ascii="Times New Roman" w:hAnsi="Times New Roman" w:cs="Times New Roman"/>
                <w:b/>
                <w:bCs/>
                <w:sz w:val="18"/>
                <w:szCs w:val="18"/>
              </w:rPr>
              <w:t>3</w:t>
            </w:r>
          </w:p>
        </w:tc>
        <w:tc>
          <w:tcPr>
            <w:tcW w:w="126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976CDF" w:rsidRPr="00D40CB2" w:rsidP="00976CDF">
            <w:pPr>
              <w:jc w:val="center"/>
              <w:rPr>
                <w:rFonts w:ascii="Times New Roman" w:hAnsi="Times New Roman" w:cs="Times New Roman"/>
                <w:b/>
                <w:bCs/>
                <w:sz w:val="18"/>
                <w:szCs w:val="18"/>
              </w:rPr>
            </w:pPr>
            <w:r w:rsidRPr="00D40CB2">
              <w:rPr>
                <w:rFonts w:ascii="Times New Roman" w:hAnsi="Times New Roman" w:cs="Times New Roman"/>
                <w:b/>
                <w:bCs/>
                <w:sz w:val="18"/>
                <w:szCs w:val="18"/>
              </w:rPr>
              <w:t>4</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976CDF" w:rsidRPr="00D40CB2" w:rsidP="00976CDF">
            <w:pPr>
              <w:jc w:val="center"/>
              <w:rPr>
                <w:rFonts w:ascii="Times New Roman" w:hAnsi="Times New Roman" w:cs="Times New Roman"/>
                <w:b/>
                <w:bCs/>
                <w:sz w:val="18"/>
                <w:szCs w:val="18"/>
              </w:rPr>
            </w:pPr>
            <w:r w:rsidRPr="00D40CB2">
              <w:rPr>
                <w:rFonts w:ascii="Times New Roman" w:hAnsi="Times New Roman" w:cs="Times New Roman"/>
                <w:b/>
                <w:bCs/>
                <w:sz w:val="18"/>
                <w:szCs w:val="18"/>
              </w:rPr>
              <w:t>5=4/3*100</w:t>
            </w:r>
          </w:p>
        </w:tc>
        <w:tc>
          <w:tcPr>
            <w:tcW w:w="1080"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976CDF" w:rsidRPr="00D40CB2" w:rsidP="00976CDF">
            <w:pPr>
              <w:jc w:val="center"/>
              <w:rPr>
                <w:rFonts w:ascii="Times New Roman" w:hAnsi="Times New Roman" w:cs="Times New Roman"/>
                <w:b/>
                <w:bCs/>
                <w:sz w:val="18"/>
                <w:szCs w:val="18"/>
              </w:rPr>
            </w:pPr>
            <w:r w:rsidRPr="00D40CB2">
              <w:rPr>
                <w:rFonts w:ascii="Times New Roman" w:hAnsi="Times New Roman" w:cs="Times New Roman"/>
                <w:b/>
                <w:bCs/>
                <w:sz w:val="18"/>
                <w:szCs w:val="18"/>
              </w:rPr>
              <w:t>6=4-1</w:t>
            </w:r>
          </w:p>
        </w:tc>
        <w:tc>
          <w:tcPr>
            <w:tcW w:w="1080" w:type="dxa"/>
            <w:tcBorders>
              <w:top w:val="single" w:sz="4" w:space="0" w:color="auto"/>
              <w:left w:val="single" w:sz="4" w:space="0" w:color="auto"/>
              <w:bottom w:val="single" w:sz="4" w:space="0" w:color="auto"/>
              <w:right w:val="single" w:sz="8" w:space="0" w:color="auto"/>
              <w:tl2br w:val="nil"/>
              <w:tr2bl w:val="nil"/>
            </w:tcBorders>
            <w:shd w:val="clear" w:color="auto" w:fill="FFFFFF"/>
            <w:textDirection w:val="lrTb"/>
            <w:vAlign w:val="center"/>
          </w:tcPr>
          <w:p w:rsidR="00976CDF" w:rsidRPr="00D40CB2" w:rsidP="00976CDF">
            <w:pPr>
              <w:jc w:val="center"/>
              <w:rPr>
                <w:rFonts w:ascii="Times New Roman" w:hAnsi="Times New Roman" w:cs="Times New Roman"/>
                <w:b/>
                <w:bCs/>
                <w:sz w:val="18"/>
                <w:szCs w:val="18"/>
              </w:rPr>
            </w:pPr>
            <w:r w:rsidRPr="00D40CB2">
              <w:rPr>
                <w:rFonts w:ascii="Times New Roman" w:hAnsi="Times New Roman" w:cs="Times New Roman"/>
                <w:b/>
                <w:bCs/>
                <w:sz w:val="18"/>
                <w:szCs w:val="18"/>
              </w:rPr>
              <w:t>7=4/1*100</w:t>
            </w:r>
          </w:p>
        </w:tc>
      </w:tr>
      <w:tr>
        <w:tblPrEx>
          <w:tblW w:w="9250" w:type="dxa"/>
          <w:tblInd w:w="-60" w:type="dxa"/>
          <w:tblLayout w:type="fixed"/>
          <w:tblCellMar>
            <w:top w:w="0" w:type="dxa"/>
            <w:left w:w="70" w:type="dxa"/>
            <w:bottom w:w="0" w:type="dxa"/>
            <w:right w:w="70" w:type="dxa"/>
          </w:tblCellMar>
        </w:tblPrEx>
        <w:trPr>
          <w:trHeight w:hRule="auto" w:val="0"/>
        </w:trPr>
        <w:tc>
          <w:tcPr>
            <w:tcW w:w="1330" w:type="dxa"/>
            <w:tcBorders>
              <w:top w:val="single" w:sz="4" w:space="0" w:color="auto"/>
              <w:left w:val="single" w:sz="8" w:space="0" w:color="auto"/>
              <w:bottom w:val="double" w:sz="6" w:space="0" w:color="auto"/>
              <w:right w:val="single" w:sz="4" w:space="0" w:color="auto"/>
              <w:tl2br w:val="nil"/>
              <w:tr2bl w:val="nil"/>
            </w:tcBorders>
            <w:tcMar>
              <w:left w:w="0" w:type="dxa"/>
              <w:right w:w="0" w:type="dxa"/>
            </w:tcMar>
            <w:textDirection w:val="lrTb"/>
            <w:vAlign w:val="top"/>
          </w:tcPr>
          <w:p w:rsidR="00976CDF" w:rsidRPr="001B0C2D" w:rsidP="00976CDF">
            <w:pPr>
              <w:pStyle w:val="Heading2"/>
              <w:rPr>
                <w:rFonts w:ascii="Times New Roman" w:hAnsi="Times New Roman" w:cs="Times New Roman"/>
                <w:szCs w:val="20"/>
              </w:rPr>
            </w:pPr>
            <w:r w:rsidRPr="001B0C2D">
              <w:rPr>
                <w:rFonts w:ascii="Times New Roman" w:hAnsi="Times New Roman" w:cs="Times New Roman"/>
                <w:szCs w:val="20"/>
              </w:rPr>
              <w:t>Rezerva spolu</w:t>
            </w:r>
          </w:p>
        </w:tc>
        <w:tc>
          <w:tcPr>
            <w:tcW w:w="1260"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976CDF" w:rsidRPr="001B0C2D" w:rsidP="00976CDF">
            <w:pPr>
              <w:jc w:val="right"/>
              <w:rPr>
                <w:rFonts w:ascii="Times New Roman" w:hAnsi="Times New Roman" w:cs="Arial"/>
                <w:sz w:val="20"/>
                <w:szCs w:val="20"/>
              </w:rPr>
            </w:pPr>
            <w:r w:rsidRPr="001B0C2D">
              <w:rPr>
                <w:rFonts w:ascii="Times New Roman" w:hAnsi="Times New Roman" w:cs="Arial"/>
                <w:sz w:val="20"/>
                <w:szCs w:val="20"/>
              </w:rPr>
              <w:t>1 378,6</w:t>
            </w:r>
          </w:p>
        </w:tc>
        <w:tc>
          <w:tcPr>
            <w:tcW w:w="1080"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976CDF" w:rsidRPr="001B0C2D" w:rsidP="00976CDF">
            <w:pPr>
              <w:jc w:val="right"/>
              <w:rPr>
                <w:rFonts w:ascii="Times New Roman" w:hAnsi="Times New Roman" w:cs="Arial"/>
                <w:sz w:val="20"/>
                <w:szCs w:val="20"/>
              </w:rPr>
            </w:pPr>
            <w:r w:rsidRPr="001B0C2D">
              <w:rPr>
                <w:rFonts w:ascii="Times New Roman" w:hAnsi="Times New Roman" w:cs="Arial"/>
                <w:sz w:val="20"/>
                <w:szCs w:val="20"/>
              </w:rPr>
              <w:t>1 245,0</w:t>
            </w:r>
          </w:p>
        </w:tc>
        <w:tc>
          <w:tcPr>
            <w:tcW w:w="1080"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976CDF" w:rsidRPr="001B0C2D" w:rsidP="00976CDF">
            <w:pPr>
              <w:jc w:val="right"/>
              <w:rPr>
                <w:rFonts w:ascii="Times New Roman" w:hAnsi="Times New Roman" w:cs="Arial"/>
                <w:sz w:val="20"/>
                <w:szCs w:val="20"/>
              </w:rPr>
            </w:pPr>
            <w:r w:rsidR="00513DF2">
              <w:rPr>
                <w:rFonts w:ascii="Times New Roman" w:hAnsi="Times New Roman" w:cs="Arial"/>
                <w:sz w:val="20"/>
                <w:szCs w:val="20"/>
              </w:rPr>
              <w:t>1 26</w:t>
            </w:r>
            <w:r w:rsidRPr="001B0C2D">
              <w:rPr>
                <w:rFonts w:ascii="Times New Roman" w:hAnsi="Times New Roman" w:cs="Arial"/>
                <w:sz w:val="20"/>
                <w:szCs w:val="20"/>
              </w:rPr>
              <w:t>9</w:t>
            </w:r>
            <w:r w:rsidR="00513DF2">
              <w:rPr>
                <w:rFonts w:ascii="Times New Roman" w:hAnsi="Times New Roman" w:cs="Arial"/>
                <w:sz w:val="20"/>
                <w:szCs w:val="20"/>
              </w:rPr>
              <w:t>,0</w:t>
            </w:r>
          </w:p>
        </w:tc>
        <w:tc>
          <w:tcPr>
            <w:tcW w:w="1260"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976CDF" w:rsidRPr="001B0C2D" w:rsidP="00976CDF">
            <w:pPr>
              <w:jc w:val="right"/>
              <w:rPr>
                <w:rFonts w:ascii="Times New Roman" w:hAnsi="Times New Roman" w:cs="Arial"/>
                <w:sz w:val="20"/>
                <w:szCs w:val="20"/>
              </w:rPr>
            </w:pPr>
            <w:r w:rsidRPr="001B0C2D">
              <w:rPr>
                <w:rFonts w:ascii="Times New Roman" w:hAnsi="Times New Roman" w:cs="Arial"/>
                <w:sz w:val="20"/>
                <w:szCs w:val="20"/>
              </w:rPr>
              <w:t>1 062,8</w:t>
            </w:r>
          </w:p>
        </w:tc>
        <w:tc>
          <w:tcPr>
            <w:tcW w:w="1080"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976CDF" w:rsidRPr="001B0C2D" w:rsidP="00976CDF">
            <w:pPr>
              <w:jc w:val="right"/>
              <w:rPr>
                <w:rFonts w:ascii="Times New Roman" w:hAnsi="Times New Roman" w:cs="Arial"/>
                <w:sz w:val="20"/>
                <w:szCs w:val="20"/>
              </w:rPr>
            </w:pPr>
            <w:r w:rsidR="00513DF2">
              <w:rPr>
                <w:rFonts w:ascii="Times New Roman" w:hAnsi="Times New Roman" w:cs="Arial"/>
                <w:sz w:val="20"/>
                <w:szCs w:val="20"/>
              </w:rPr>
              <w:t>83</w:t>
            </w:r>
            <w:r w:rsidRPr="001B0C2D">
              <w:rPr>
                <w:rFonts w:ascii="Times New Roman" w:hAnsi="Times New Roman" w:cs="Arial"/>
                <w:sz w:val="20"/>
                <w:szCs w:val="20"/>
              </w:rPr>
              <w:t>,7</w:t>
            </w:r>
          </w:p>
        </w:tc>
        <w:tc>
          <w:tcPr>
            <w:tcW w:w="1080"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976CDF" w:rsidRPr="001B0C2D" w:rsidP="00976CDF">
            <w:pPr>
              <w:jc w:val="right"/>
              <w:rPr>
                <w:rFonts w:ascii="Times New Roman" w:hAnsi="Times New Roman" w:cs="Arial"/>
                <w:sz w:val="20"/>
                <w:szCs w:val="20"/>
              </w:rPr>
            </w:pPr>
            <w:r w:rsidRPr="001B0C2D">
              <w:rPr>
                <w:rFonts w:ascii="Times New Roman" w:hAnsi="Times New Roman" w:cs="Arial"/>
                <w:sz w:val="20"/>
                <w:szCs w:val="20"/>
              </w:rPr>
              <w:t>-315,8</w:t>
            </w:r>
          </w:p>
        </w:tc>
        <w:tc>
          <w:tcPr>
            <w:tcW w:w="1080" w:type="dxa"/>
            <w:tcBorders>
              <w:top w:val="single" w:sz="4" w:space="0" w:color="auto"/>
              <w:left w:val="single" w:sz="4" w:space="0" w:color="auto"/>
              <w:bottom w:val="double" w:sz="6" w:space="0" w:color="auto"/>
              <w:right w:val="single" w:sz="8" w:space="0" w:color="auto"/>
              <w:tl2br w:val="nil"/>
              <w:tr2bl w:val="nil"/>
            </w:tcBorders>
            <w:textDirection w:val="lrTb"/>
            <w:vAlign w:val="bottom"/>
          </w:tcPr>
          <w:p w:rsidR="00976CDF" w:rsidRPr="001B0C2D" w:rsidP="00976CDF">
            <w:pPr>
              <w:jc w:val="right"/>
              <w:rPr>
                <w:rFonts w:ascii="Times New Roman" w:hAnsi="Times New Roman" w:cs="Arial"/>
                <w:sz w:val="20"/>
                <w:szCs w:val="20"/>
              </w:rPr>
            </w:pPr>
            <w:r w:rsidRPr="001B0C2D">
              <w:rPr>
                <w:rFonts w:ascii="Times New Roman" w:hAnsi="Times New Roman" w:cs="Arial"/>
                <w:sz w:val="20"/>
                <w:szCs w:val="20"/>
              </w:rPr>
              <w:t>77,1</w:t>
            </w:r>
          </w:p>
        </w:tc>
      </w:tr>
    </w:tbl>
    <w:p w:rsidR="00976CDF" w:rsidRPr="001B0C2D" w:rsidP="001B0C2D">
      <w:pPr>
        <w:pStyle w:val="BodyTextIndent2"/>
        <w:ind w:left="0" w:hanging="180"/>
        <w:rPr>
          <w:rFonts w:ascii="Times New Roman" w:hAnsi="Times New Roman" w:cs="Times New Roman"/>
          <w:sz w:val="20"/>
          <w:szCs w:val="20"/>
        </w:rPr>
      </w:pPr>
      <w:r w:rsidR="001B0C2D">
        <w:rPr>
          <w:rFonts w:ascii="Times New Roman" w:hAnsi="Times New Roman" w:cs="Times New Roman"/>
          <w:sz w:val="20"/>
          <w:szCs w:val="20"/>
        </w:rPr>
        <w:t xml:space="preserve">   </w:t>
      </w:r>
      <w:r w:rsidR="00513DF2">
        <w:rPr>
          <w:rFonts w:ascii="Times New Roman" w:hAnsi="Times New Roman" w:cs="Times New Roman"/>
          <w:sz w:val="20"/>
          <w:szCs w:val="20"/>
        </w:rPr>
        <w:t>Zdroj</w:t>
      </w:r>
      <w:r w:rsidRPr="001B0C2D">
        <w:rPr>
          <w:rFonts w:ascii="Times New Roman" w:hAnsi="Times New Roman" w:cs="Times New Roman"/>
          <w:sz w:val="20"/>
          <w:szCs w:val="20"/>
        </w:rPr>
        <w:t>: MF SR</w:t>
      </w:r>
    </w:p>
    <w:p w:rsidR="00976CDF" w:rsidRPr="00A801E6" w:rsidP="00976CDF">
      <w:pPr>
        <w:pStyle w:val="BodyTextIndent2"/>
        <w:spacing w:line="360" w:lineRule="auto"/>
        <w:ind w:left="0" w:firstLine="709"/>
        <w:jc w:val="both"/>
        <w:rPr>
          <w:rFonts w:ascii="Times New Roman" w:hAnsi="Times New Roman" w:cs="Times New Roman"/>
        </w:rPr>
      </w:pPr>
      <w:r w:rsidRPr="00A801E6">
        <w:rPr>
          <w:rFonts w:ascii="Times New Roman" w:hAnsi="Times New Roman" w:cs="Times New Roman"/>
        </w:rPr>
        <w:t>Podľa účelu použitia boli v plnej výške vyčerpané prostriedky na daň z pridanej hodnoty v rámci predvstupového fondu PHARE a prostriedky na doplatenie odvodov zo zdroja založeného na DPH a</w:t>
      </w:r>
      <w:r w:rsidR="0053431D">
        <w:rPr>
          <w:rFonts w:ascii="Times New Roman" w:hAnsi="Times New Roman" w:cs="Times New Roman"/>
        </w:rPr>
        <w:t> hrubom národnom dôchod</w:t>
      </w:r>
      <w:r>
        <w:rPr>
          <w:rFonts w:ascii="Times New Roman" w:hAnsi="Times New Roman" w:cs="Times New Roman"/>
        </w:rPr>
        <w:t>k</w:t>
      </w:r>
      <w:r w:rsidR="0053431D">
        <w:rPr>
          <w:rFonts w:ascii="Times New Roman" w:hAnsi="Times New Roman" w:cs="Times New Roman"/>
        </w:rPr>
        <w:t>u</w:t>
      </w:r>
      <w:r w:rsidRPr="00A801E6">
        <w:rPr>
          <w:rFonts w:ascii="Times New Roman" w:hAnsi="Times New Roman" w:cs="Times New Roman"/>
        </w:rPr>
        <w:t xml:space="preserve">. Oneskorením prísunu finančných prostriedkov z EÚ a z dôvodu ich zabezpečenia konečným prijímateľom bolo stopercentné aj čerpanie prostriedkov na položke predfinancovanie prostriedkov EÚ na predvstupový fond PHARE. Po prísune uvedených prostriedkov z EÚ boli tieto prostriedky refundované na výdavkovom účte kapitoly VPS. </w:t>
      </w:r>
    </w:p>
    <w:p w:rsidR="00976CDF" w:rsidRPr="00A801E6" w:rsidP="00976CDF">
      <w:pPr>
        <w:spacing w:after="120" w:line="360" w:lineRule="auto"/>
        <w:ind w:firstLine="708"/>
        <w:jc w:val="both"/>
        <w:rPr>
          <w:rFonts w:ascii="Times New Roman" w:hAnsi="Times New Roman" w:cs="Times New Roman"/>
        </w:rPr>
      </w:pPr>
      <w:r w:rsidRPr="00A801E6">
        <w:rPr>
          <w:rFonts w:ascii="Times New Roman" w:hAnsi="Times New Roman" w:cs="Times New Roman"/>
        </w:rPr>
        <w:t>Zároveň najnižšie čerpanie predstavuje časť rezervy určenej na nezrovnalosti</w:t>
      </w:r>
      <w:r>
        <w:rPr>
          <w:rFonts w:ascii="Times New Roman" w:hAnsi="Times New Roman" w:cs="Times New Roman"/>
        </w:rPr>
        <w:t>,</w:t>
      </w:r>
      <w:r w:rsidRPr="00A801E6">
        <w:rPr>
          <w:rFonts w:ascii="Times New Roman" w:hAnsi="Times New Roman" w:cs="Times New Roman"/>
        </w:rPr>
        <w:t xml:space="preserve"> a to konkrétne na úrovni 25,8 %. Čerpanie vo výške 63,7 mil. Sk bolo v rámci predvstupového fondu PHARE, kde </w:t>
      </w:r>
      <w:r>
        <w:rPr>
          <w:rFonts w:ascii="Times New Roman" w:hAnsi="Times New Roman" w:cs="Times New Roman"/>
        </w:rPr>
        <w:t>išlo</w:t>
      </w:r>
      <w:r w:rsidRPr="00A801E6">
        <w:rPr>
          <w:rFonts w:ascii="Times New Roman" w:hAnsi="Times New Roman" w:cs="Times New Roman"/>
        </w:rPr>
        <w:t xml:space="preserve"> o nezrovnalosti pri starších projektoch</w:t>
      </w:r>
      <w:r w:rsidR="00E77B8A">
        <w:rPr>
          <w:rFonts w:ascii="Times New Roman" w:hAnsi="Times New Roman" w:cs="Times New Roman"/>
        </w:rPr>
        <w:t>,</w:t>
      </w:r>
      <w:r w:rsidRPr="00A801E6">
        <w:rPr>
          <w:rFonts w:ascii="Times New Roman" w:hAnsi="Times New Roman" w:cs="Times New Roman"/>
        </w:rPr>
        <w:t xml:space="preserve"> o ktorých informovala EK už v priebehu roka 2005</w:t>
      </w:r>
      <w:r>
        <w:rPr>
          <w:rFonts w:ascii="Times New Roman" w:hAnsi="Times New Roman" w:cs="Times New Roman"/>
        </w:rPr>
        <w:t>,</w:t>
      </w:r>
      <w:r w:rsidRPr="00A801E6">
        <w:rPr>
          <w:rFonts w:ascii="Times New Roman" w:hAnsi="Times New Roman" w:cs="Times New Roman"/>
        </w:rPr>
        <w:t xml:space="preserve"> a čerpanie vo výške 4,0 mil. Sk v rámci rezervy na štrukturálne fondy. </w:t>
      </w:r>
    </w:p>
    <w:p w:rsidR="00976CDF" w:rsidRPr="00A23A7A" w:rsidP="00A23A7A">
      <w:pPr>
        <w:spacing w:after="120" w:line="360" w:lineRule="auto"/>
        <w:ind w:firstLine="708"/>
        <w:jc w:val="both"/>
        <w:rPr>
          <w:rFonts w:ascii="Times New Roman" w:hAnsi="Times New Roman" w:cs="Times New Roman"/>
        </w:rPr>
      </w:pPr>
      <w:r w:rsidRPr="00A801E6">
        <w:rPr>
          <w:rFonts w:ascii="Times New Roman" w:hAnsi="Times New Roman" w:cs="Times New Roman"/>
        </w:rPr>
        <w:t xml:space="preserve">Pri hodnotení čerpania rezervy z hľadiska jednotlivých fondov v percentuálnom vyjadrení </w:t>
      </w:r>
      <w:r>
        <w:rPr>
          <w:rFonts w:ascii="Times New Roman" w:hAnsi="Times New Roman" w:cs="Times New Roman"/>
        </w:rPr>
        <w:t xml:space="preserve">bola </w:t>
      </w:r>
      <w:r w:rsidRPr="00A801E6">
        <w:rPr>
          <w:rFonts w:ascii="Times New Roman" w:hAnsi="Times New Roman" w:cs="Times New Roman"/>
        </w:rPr>
        <w:t xml:space="preserve">najvyššia úroveň čerpania oproti upravenému rozpočtu dosiahnutá pri rezerve na záručnú sekciu EAGGF (100%) a rezerve na odvody do všeobecného rozpočtu EÚ </w:t>
      </w:r>
      <w:r w:rsidR="00A23A7A">
        <w:rPr>
          <w:rFonts w:ascii="Times New Roman" w:hAnsi="Times New Roman" w:cs="Times New Roman"/>
        </w:rPr>
        <w:t xml:space="preserve">     </w:t>
      </w:r>
      <w:r w:rsidRPr="00A801E6">
        <w:rPr>
          <w:rFonts w:ascii="Times New Roman" w:hAnsi="Times New Roman" w:cs="Times New Roman"/>
        </w:rPr>
        <w:t>(99,9</w:t>
      </w:r>
      <w:r w:rsidR="00A23A7A">
        <w:rPr>
          <w:rFonts w:ascii="Times New Roman" w:hAnsi="Times New Roman" w:cs="Times New Roman"/>
        </w:rPr>
        <w:t xml:space="preserve"> </w:t>
      </w:r>
      <w:r w:rsidRPr="00A801E6">
        <w:rPr>
          <w:rFonts w:ascii="Times New Roman" w:hAnsi="Times New Roman" w:cs="Times New Roman"/>
        </w:rPr>
        <w:t>%). Nulové čerpanie bolo vykázané len pri prostriedkoch z roku 2005 rozpočtovaných na predvstupový fond ISPA na predplácanie kontraktov.</w:t>
      </w:r>
      <w:r w:rsidRPr="00A801E6">
        <w:rPr>
          <w:rFonts w:ascii="Times New Roman" w:hAnsi="Times New Roman" w:cs="Times New Roman"/>
          <w:szCs w:val="22"/>
        </w:rPr>
        <w:t xml:space="preserve"> </w:t>
      </w:r>
    </w:p>
    <w:p w:rsidR="00976CDF" w:rsidRPr="00A801E6" w:rsidP="00976CDF">
      <w:pPr>
        <w:spacing w:after="120" w:line="360" w:lineRule="auto"/>
        <w:ind w:firstLine="708"/>
        <w:jc w:val="both"/>
        <w:rPr>
          <w:rFonts w:ascii="Times New Roman" w:hAnsi="Times New Roman" w:cs="Times New Roman"/>
        </w:rPr>
      </w:pPr>
      <w:r w:rsidRPr="00A801E6">
        <w:rPr>
          <w:rFonts w:ascii="Times New Roman" w:hAnsi="Times New Roman" w:cs="Times New Roman"/>
        </w:rPr>
        <w:t>Z hľadiska objemu bolo najvyššie čerpanie rezervy na záručnú sekciu EAGGF, a to vo výške 259,5 mil. Sk, čo predstavuje 24,</w:t>
      </w:r>
      <w:r w:rsidR="00A23A7A">
        <w:rPr>
          <w:rFonts w:ascii="Times New Roman" w:hAnsi="Times New Roman" w:cs="Times New Roman"/>
        </w:rPr>
        <w:t>3</w:t>
      </w:r>
      <w:r w:rsidRPr="00A801E6">
        <w:rPr>
          <w:rFonts w:ascii="Times New Roman" w:hAnsi="Times New Roman" w:cs="Times New Roman"/>
        </w:rPr>
        <w:t xml:space="preserve"> % z celkového objemu, ďalej nasledovalo čerpanie rezervy na predvstupový fond PHARE vo výške 220,4 mil. Sk (20,6 %) a rezervy na štrukturálne fondy vo výške 216,4 mil. Sk (20,</w:t>
      </w:r>
      <w:r w:rsidR="00A23A7A">
        <w:rPr>
          <w:rFonts w:ascii="Times New Roman" w:hAnsi="Times New Roman" w:cs="Times New Roman"/>
        </w:rPr>
        <w:t>3</w:t>
      </w:r>
      <w:r w:rsidRPr="00A801E6">
        <w:rPr>
          <w:rFonts w:ascii="Times New Roman" w:hAnsi="Times New Roman" w:cs="Times New Roman"/>
        </w:rPr>
        <w:t xml:space="preserve"> %). </w:t>
      </w:r>
    </w:p>
    <w:p w:rsidR="00976CDF" w:rsidRPr="00A801E6" w:rsidP="00976CDF">
      <w:pPr>
        <w:spacing w:after="120" w:line="360" w:lineRule="auto"/>
        <w:ind w:firstLine="708"/>
        <w:jc w:val="both"/>
        <w:rPr>
          <w:rFonts w:ascii="Times New Roman" w:hAnsi="Times New Roman" w:cs="Times New Roman"/>
        </w:rPr>
      </w:pPr>
      <w:r w:rsidRPr="00A801E6">
        <w:rPr>
          <w:rFonts w:ascii="Times New Roman" w:hAnsi="Times New Roman" w:cs="Times New Roman"/>
        </w:rPr>
        <w:t>V porovnaní s rokom 2005, v ktorom bolo nulové čerpanie prostriedkov rezervy na realizáciu a väčší počet projektov v rámci rezervy na štrukturálne fondy</w:t>
      </w:r>
      <w:r>
        <w:rPr>
          <w:rFonts w:ascii="Times New Roman" w:hAnsi="Times New Roman" w:cs="Times New Roman"/>
        </w:rPr>
        <w:t>,</w:t>
      </w:r>
      <w:r w:rsidRPr="00A801E6">
        <w:rPr>
          <w:rFonts w:ascii="Times New Roman" w:hAnsi="Times New Roman" w:cs="Times New Roman"/>
        </w:rPr>
        <w:t xml:space="preserve"> došlo koncom roka 2006 k čerpaniu daných prostriedkov formou rozpočtových opatrení na kapitoly MŽP SR, MH SR a MPSVR SR vo výške 139,2 mil. Sk. </w:t>
      </w:r>
    </w:p>
    <w:p w:rsidR="00976CDF" w:rsidRPr="00A801E6" w:rsidP="00976CDF">
      <w:pPr>
        <w:spacing w:after="120" w:line="360" w:lineRule="auto"/>
        <w:ind w:firstLine="708"/>
        <w:jc w:val="both"/>
        <w:rPr>
          <w:rFonts w:ascii="Times New Roman" w:hAnsi="Times New Roman" w:cs="Times New Roman"/>
        </w:rPr>
      </w:pPr>
      <w:r w:rsidRPr="00A801E6">
        <w:rPr>
          <w:rFonts w:ascii="Times New Roman" w:hAnsi="Times New Roman" w:cs="Times New Roman"/>
        </w:rPr>
        <w:t>Nevyčerpané finančné prostriedky v rámci celkovej rezervy na prostriedky EÚ a odvody EÚ vo výške 759,4 mil. Sk boli v zmysle § 8 zákona č. 523/2004 Z. z. o rozpočtových pravidlách verejnej správy a o zmene a doplnení niektorých zákonov koncom roka 2006 viazané a o rovnakú sumu sa v roku 2007 navýšil limit kapitoly VPS</w:t>
      </w:r>
      <w:r>
        <w:rPr>
          <w:rFonts w:ascii="Times New Roman" w:hAnsi="Times New Roman" w:cs="Times New Roman"/>
        </w:rPr>
        <w:t>,</w:t>
      </w:r>
      <w:r w:rsidRPr="00A801E6">
        <w:rPr>
          <w:rFonts w:ascii="Times New Roman" w:hAnsi="Times New Roman" w:cs="Times New Roman"/>
        </w:rPr>
        <w:t xml:space="preserve"> pričom </w:t>
      </w:r>
      <w:r>
        <w:rPr>
          <w:rFonts w:ascii="Times New Roman" w:hAnsi="Times New Roman" w:cs="Times New Roman"/>
        </w:rPr>
        <w:t xml:space="preserve">sa </w:t>
      </w:r>
      <w:r w:rsidRPr="00A801E6">
        <w:rPr>
          <w:rFonts w:ascii="Times New Roman" w:hAnsi="Times New Roman" w:cs="Times New Roman"/>
        </w:rPr>
        <w:t xml:space="preserve">uvedené prostriedky použijú na ten istý účel. </w:t>
      </w:r>
    </w:p>
    <w:p w:rsidR="00976CDF" w:rsidRPr="00A801E6" w:rsidP="00976CDF">
      <w:pPr>
        <w:spacing w:before="120" w:after="120" w:line="360" w:lineRule="auto"/>
        <w:ind w:firstLine="708"/>
        <w:jc w:val="both"/>
        <w:rPr>
          <w:rFonts w:ascii="Times New Roman" w:hAnsi="Times New Roman" w:cs="Times New Roman"/>
        </w:rPr>
      </w:pPr>
      <w:r w:rsidRPr="00A801E6">
        <w:rPr>
          <w:rFonts w:ascii="Times New Roman" w:hAnsi="Times New Roman" w:cs="Times New Roman"/>
          <w:szCs w:val="22"/>
        </w:rPr>
        <w:t xml:space="preserve">V roku 2007 možno teda použiť finančné prostriedky v sume 250,6 mil. Sk z roku 2005 a 508,8 mil. Sk z roku 2006. </w:t>
      </w:r>
    </w:p>
    <w:p w:rsidR="008D2CD3" w:rsidP="008D2CD3">
      <w:pPr>
        <w:spacing w:line="360" w:lineRule="auto"/>
        <w:ind w:firstLine="709"/>
        <w:jc w:val="both"/>
        <w:rPr>
          <w:rFonts w:ascii="Times New Roman" w:hAnsi="Times New Roman" w:cs="Times New Roman"/>
        </w:rPr>
      </w:pPr>
    </w:p>
    <w:p w:rsidR="008D2CD3" w:rsidRPr="00A1677A" w:rsidP="008D2CD3">
      <w:pPr>
        <w:spacing w:line="360" w:lineRule="auto"/>
        <w:ind w:firstLine="709"/>
        <w:jc w:val="both"/>
        <w:rPr>
          <w:rFonts w:ascii="Times New Roman" w:hAnsi="Times New Roman" w:cs="Times New Roman"/>
        </w:rPr>
      </w:pPr>
    </w:p>
    <w:p w:rsidR="008D2CD3" w:rsidRPr="00A1677A" w:rsidP="008D2CD3">
      <w:pPr>
        <w:spacing w:line="360" w:lineRule="auto"/>
        <w:ind w:left="709"/>
        <w:rPr>
          <w:rFonts w:ascii="Times New Roman" w:hAnsi="Times New Roman" w:cs="Times New Roman"/>
          <w:b/>
        </w:rPr>
      </w:pPr>
    </w:p>
    <w:p w:rsidR="008D2CD3" w:rsidRPr="001B49D2" w:rsidP="008D2CD3">
      <w:pPr>
        <w:spacing w:line="360" w:lineRule="auto"/>
        <w:ind w:left="709"/>
        <w:jc w:val="both"/>
        <w:rPr>
          <w:rFonts w:ascii="Times New Roman" w:hAnsi="Times New Roman" w:cs="Times New Roman"/>
          <w:sz w:val="20"/>
          <w:szCs w:val="20"/>
        </w:rPr>
      </w:pPr>
    </w:p>
    <w:p w:rsidR="008D2CD3" w:rsidP="008D2CD3">
      <w:pPr>
        <w:ind w:left="708"/>
        <w:jc w:val="both"/>
        <w:rPr>
          <w:rFonts w:ascii="Arial" w:hAnsi="Arial" w:cs="Arial"/>
          <w:sz w:val="20"/>
          <w:szCs w:val="20"/>
        </w:rPr>
      </w:pPr>
    </w:p>
    <w:p w:rsidR="008D2CD3" w:rsidP="008D2CD3">
      <w:pPr>
        <w:ind w:left="708"/>
        <w:jc w:val="both"/>
        <w:rPr>
          <w:rFonts w:ascii="Arial" w:hAnsi="Arial" w:cs="Arial"/>
          <w:sz w:val="20"/>
          <w:szCs w:val="20"/>
        </w:rPr>
      </w:pPr>
    </w:p>
    <w:p w:rsidR="008D2CD3" w:rsidP="008D2CD3">
      <w:pPr>
        <w:ind w:left="708"/>
        <w:jc w:val="both"/>
        <w:rPr>
          <w:rFonts w:ascii="Arial" w:hAnsi="Arial" w:cs="Arial"/>
          <w:sz w:val="20"/>
          <w:szCs w:val="20"/>
        </w:rPr>
      </w:pPr>
    </w:p>
    <w:p w:rsidR="008D2CD3" w:rsidP="008D2CD3">
      <w:pPr>
        <w:ind w:left="708"/>
        <w:jc w:val="both"/>
        <w:rPr>
          <w:rFonts w:ascii="Arial" w:hAnsi="Arial" w:cs="Arial"/>
          <w:sz w:val="20"/>
          <w:szCs w:val="20"/>
        </w:rPr>
      </w:pPr>
    </w:p>
    <w:p w:rsidR="008D2CD3" w:rsidP="008D2CD3">
      <w:pPr>
        <w:ind w:left="708"/>
        <w:jc w:val="both"/>
        <w:rPr>
          <w:rFonts w:ascii="Arial" w:hAnsi="Arial" w:cs="Arial"/>
          <w:sz w:val="20"/>
          <w:szCs w:val="20"/>
        </w:rPr>
      </w:pPr>
    </w:p>
    <w:p w:rsidR="008D2CD3" w:rsidP="008D2CD3">
      <w:pPr>
        <w:ind w:left="708"/>
        <w:jc w:val="both"/>
        <w:rPr>
          <w:rFonts w:ascii="Arial" w:hAnsi="Arial" w:cs="Arial"/>
          <w:sz w:val="20"/>
          <w:szCs w:val="20"/>
        </w:rPr>
      </w:pPr>
    </w:p>
    <w:p w:rsidR="008D2CD3" w:rsidP="008D2CD3">
      <w:pPr>
        <w:ind w:left="708"/>
        <w:jc w:val="both"/>
        <w:rPr>
          <w:rFonts w:ascii="Arial" w:hAnsi="Arial" w:cs="Arial"/>
          <w:sz w:val="20"/>
          <w:szCs w:val="20"/>
        </w:rPr>
      </w:pPr>
    </w:p>
    <w:p w:rsidR="008D2CD3" w:rsidP="008D2CD3">
      <w:pPr>
        <w:ind w:left="708"/>
        <w:jc w:val="both"/>
        <w:rPr>
          <w:rFonts w:ascii="Arial" w:hAnsi="Arial" w:cs="Arial"/>
          <w:sz w:val="20"/>
          <w:szCs w:val="20"/>
        </w:rPr>
      </w:pPr>
    </w:p>
    <w:p w:rsidR="008D2CD3" w:rsidP="008D2CD3">
      <w:pPr>
        <w:ind w:left="708"/>
        <w:jc w:val="both"/>
        <w:rPr>
          <w:rFonts w:ascii="Arial" w:hAnsi="Arial" w:cs="Arial"/>
          <w:sz w:val="20"/>
          <w:szCs w:val="20"/>
        </w:rPr>
      </w:pPr>
    </w:p>
    <w:p w:rsidR="008D2CD3" w:rsidP="008D2CD3">
      <w:pPr>
        <w:ind w:left="708"/>
        <w:jc w:val="both"/>
        <w:rPr>
          <w:rFonts w:ascii="Arial" w:hAnsi="Arial" w:cs="Arial"/>
          <w:sz w:val="20"/>
          <w:szCs w:val="20"/>
        </w:rPr>
      </w:pPr>
    </w:p>
    <w:p w:rsidR="001B0C2D" w:rsidP="008D2CD3">
      <w:pPr>
        <w:ind w:left="708"/>
        <w:jc w:val="both"/>
        <w:rPr>
          <w:rFonts w:ascii="Arial" w:hAnsi="Arial" w:cs="Arial"/>
          <w:sz w:val="20"/>
          <w:szCs w:val="20"/>
        </w:rPr>
      </w:pPr>
    </w:p>
    <w:p w:rsidR="001B0C2D" w:rsidP="008D2CD3">
      <w:pPr>
        <w:ind w:left="708"/>
        <w:jc w:val="both"/>
        <w:rPr>
          <w:rFonts w:ascii="Arial" w:hAnsi="Arial" w:cs="Arial"/>
          <w:sz w:val="20"/>
          <w:szCs w:val="20"/>
        </w:rPr>
      </w:pPr>
    </w:p>
    <w:p w:rsidR="001B0C2D" w:rsidP="008D2CD3">
      <w:pPr>
        <w:ind w:left="708"/>
        <w:jc w:val="both"/>
        <w:rPr>
          <w:rFonts w:ascii="Arial" w:hAnsi="Arial" w:cs="Arial"/>
          <w:sz w:val="20"/>
          <w:szCs w:val="20"/>
        </w:rPr>
      </w:pPr>
    </w:p>
    <w:p w:rsidR="001B0C2D" w:rsidP="008D2CD3">
      <w:pPr>
        <w:ind w:left="708"/>
        <w:jc w:val="both"/>
        <w:rPr>
          <w:rFonts w:ascii="Arial" w:hAnsi="Arial" w:cs="Arial"/>
          <w:sz w:val="20"/>
          <w:szCs w:val="20"/>
        </w:rPr>
      </w:pPr>
    </w:p>
    <w:p w:rsidR="008D2CD3" w:rsidP="008D2CD3">
      <w:pPr>
        <w:ind w:left="708"/>
        <w:jc w:val="both"/>
        <w:rPr>
          <w:rFonts w:ascii="Arial" w:hAnsi="Arial" w:cs="Arial"/>
          <w:sz w:val="20"/>
          <w:szCs w:val="20"/>
        </w:rPr>
      </w:pPr>
    </w:p>
    <w:p w:rsidR="00B534F8" w:rsidP="00B534F8">
      <w:pPr>
        <w:jc w:val="center"/>
        <w:rPr>
          <w:rFonts w:ascii="Times New Roman" w:hAnsi="Times New Roman" w:cs="Times New Roman"/>
          <w:b/>
        </w:rPr>
      </w:pPr>
      <w:r w:rsidR="00766559">
        <w:rPr>
          <w:rFonts w:ascii="Times New Roman" w:hAnsi="Times New Roman" w:cs="Times New Roman"/>
          <w:b/>
        </w:rPr>
        <w:t>4</w:t>
      </w:r>
      <w:r w:rsidRPr="00E95DE1">
        <w:rPr>
          <w:rFonts w:ascii="Times New Roman" w:hAnsi="Times New Roman" w:cs="Times New Roman"/>
          <w:b/>
        </w:rPr>
        <w:t>. Štátne aktíva a</w:t>
      </w:r>
      <w:r>
        <w:rPr>
          <w:rFonts w:ascii="Times New Roman" w:hAnsi="Times New Roman" w:cs="Times New Roman"/>
          <w:b/>
        </w:rPr>
        <w:t> </w:t>
      </w:r>
      <w:r w:rsidRPr="00E95DE1">
        <w:rPr>
          <w:rFonts w:ascii="Times New Roman" w:hAnsi="Times New Roman" w:cs="Times New Roman"/>
          <w:b/>
        </w:rPr>
        <w:t>pasíva</w:t>
      </w:r>
      <w:r>
        <w:rPr>
          <w:rFonts w:ascii="Times New Roman" w:hAnsi="Times New Roman" w:cs="Times New Roman"/>
          <w:b/>
        </w:rPr>
        <w:t xml:space="preserve">   </w:t>
      </w:r>
    </w:p>
    <w:p w:rsidR="00731157" w:rsidRPr="00E95DE1" w:rsidP="00B534F8">
      <w:pPr>
        <w:jc w:val="center"/>
        <w:rPr>
          <w:rFonts w:ascii="Times New Roman" w:hAnsi="Times New Roman" w:cs="Times New Roman"/>
          <w:b/>
        </w:rPr>
      </w:pPr>
    </w:p>
    <w:p w:rsidR="00731157" w:rsidRPr="00442AA9" w:rsidP="00731157">
      <w:pPr>
        <w:spacing w:line="360" w:lineRule="auto"/>
        <w:ind w:firstLine="708"/>
        <w:jc w:val="both"/>
        <w:rPr>
          <w:rFonts w:ascii="Times New Roman" w:hAnsi="Times New Roman" w:cs="Times New Roman"/>
        </w:rPr>
      </w:pPr>
      <w:r>
        <w:rPr>
          <w:rFonts w:ascii="Times New Roman" w:hAnsi="Times New Roman" w:cs="Times New Roman"/>
        </w:rPr>
        <w:t>Údaje v tejto časti týkajúce sa aktív a pasív vychádzajú z agregácie fina</w:t>
      </w:r>
      <w:r w:rsidR="00116A29">
        <w:rPr>
          <w:rFonts w:ascii="Times New Roman" w:hAnsi="Times New Roman" w:cs="Times New Roman"/>
        </w:rPr>
        <w:t>n</w:t>
      </w:r>
      <w:r>
        <w:rPr>
          <w:rFonts w:ascii="Times New Roman" w:hAnsi="Times New Roman" w:cs="Times New Roman"/>
        </w:rPr>
        <w:t xml:space="preserve">čného výkazníctva jednotlivých štátnych rozpočtových organizácií bez vylúčenia vzájomných vzťahov medzi týmito účtovnými jednotkami. </w:t>
      </w:r>
    </w:p>
    <w:p w:rsidR="00B534F8" w:rsidRPr="00E95DE1" w:rsidP="00B534F8">
      <w:pPr>
        <w:rPr>
          <w:rFonts w:ascii="Times New Roman" w:hAnsi="Times New Roman" w:cs="Times New Roman"/>
          <w:b/>
        </w:rPr>
      </w:pPr>
    </w:p>
    <w:p w:rsidR="00B534F8" w:rsidRPr="00E95DE1" w:rsidP="00B534F8">
      <w:pPr>
        <w:jc w:val="center"/>
        <w:rPr>
          <w:rFonts w:ascii="Times New Roman" w:hAnsi="Times New Roman" w:cs="Times New Roman"/>
          <w:b/>
        </w:rPr>
      </w:pPr>
      <w:r w:rsidR="00766559">
        <w:rPr>
          <w:rFonts w:ascii="Times New Roman" w:hAnsi="Times New Roman" w:cs="Times New Roman"/>
          <w:b/>
        </w:rPr>
        <w:t>4</w:t>
      </w:r>
      <w:r w:rsidRPr="00E95DE1">
        <w:rPr>
          <w:rFonts w:ascii="Times New Roman" w:hAnsi="Times New Roman" w:cs="Times New Roman"/>
          <w:b/>
        </w:rPr>
        <w:t>.1. Majetková pozícia štátnych rozpočtových organizácií</w:t>
      </w:r>
    </w:p>
    <w:p w:rsidR="00B534F8" w:rsidP="00B534F8">
      <w:pPr>
        <w:jc w:val="center"/>
        <w:rPr>
          <w:rFonts w:ascii="Times New Roman" w:hAnsi="Times New Roman" w:cs="Times New Roman"/>
          <w:b/>
          <w:sz w:val="28"/>
          <w:szCs w:val="28"/>
        </w:rPr>
      </w:pPr>
    </w:p>
    <w:p w:rsidR="00B534F8" w:rsidP="00B534F8">
      <w:pPr>
        <w:spacing w:line="360" w:lineRule="auto"/>
        <w:ind w:firstLine="708"/>
        <w:jc w:val="both"/>
        <w:rPr>
          <w:rFonts w:ascii="Times New Roman" w:hAnsi="Times New Roman" w:cs="Times New Roman"/>
        </w:rPr>
      </w:pPr>
      <w:r>
        <w:rPr>
          <w:rFonts w:ascii="Times New Roman" w:hAnsi="Times New Roman" w:cs="Times New Roman"/>
        </w:rPr>
        <w:t>Majetok štátnych rozpočtových organizácií vykázaný v aktívach súhrnnej súvahy týchto organizácií dosiahol k 31.12.2006 celkovú hodnotu 584 245,8 mil. Sk. Uvedená hodnota majetku bola krytá v pasívach vlastnými a cudzími zdrojmi v tomto základnom druhovom členení (v mil. Sk):</w:t>
      </w:r>
    </w:p>
    <w:p w:rsidR="00B534F8" w:rsidP="00B534F8">
      <w:pPr>
        <w:spacing w:line="360" w:lineRule="auto"/>
        <w:ind w:firstLine="708"/>
        <w:jc w:val="both"/>
        <w:rPr>
          <w:rFonts w:ascii="Times New Roman" w:hAnsi="Times New Roman" w:cs="Times New Roman"/>
        </w:rPr>
      </w:pPr>
    </w:p>
    <w:tbl>
      <w:tblPr>
        <w:tblW w:w="9392"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Pr>
      <w:tblGrid>
        <w:gridCol w:w="3348"/>
        <w:gridCol w:w="1980"/>
        <w:gridCol w:w="2340"/>
        <w:gridCol w:w="1724"/>
      </w:tblGrid>
      <w:tr>
        <w:tblPrEx>
          <w:tblW w:w="9392"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PrEx>
        <w:trPr>
          <w:trHeight w:val="102"/>
        </w:trPr>
        <w:tc>
          <w:tcPr>
            <w:tcW w:w="3348" w:type="dxa"/>
            <w:tcBorders>
              <w:top w:val="single" w:sz="8" w:space="0" w:color="auto"/>
              <w:left w:val="single" w:sz="8" w:space="0" w:color="auto"/>
              <w:bottom w:val="single" w:sz="4" w:space="0" w:color="auto"/>
              <w:right w:val="single" w:sz="4" w:space="0" w:color="auto"/>
              <w:tl2br w:val="nil"/>
              <w:tr2bl w:val="nil"/>
            </w:tcBorders>
            <w:textDirection w:val="lrTb"/>
            <w:vAlign w:val="bottom"/>
          </w:tcPr>
          <w:p w:rsidR="00B534F8" w:rsidRPr="006F69FD" w:rsidP="00116A29">
            <w:pPr>
              <w:spacing w:line="360" w:lineRule="auto"/>
              <w:jc w:val="center"/>
              <w:rPr>
                <w:rFonts w:ascii="Times New Roman" w:hAnsi="Times New Roman" w:cs="Times New Roman"/>
                <w:b/>
                <w:sz w:val="20"/>
                <w:szCs w:val="20"/>
              </w:rPr>
            </w:pPr>
            <w:r w:rsidRPr="006F69FD">
              <w:rPr>
                <w:rFonts w:ascii="Times New Roman" w:hAnsi="Times New Roman" w:cs="Times New Roman"/>
                <w:b/>
                <w:sz w:val="20"/>
                <w:szCs w:val="20"/>
              </w:rPr>
              <w:t>AKTÍVA</w:t>
            </w:r>
          </w:p>
        </w:tc>
        <w:tc>
          <w:tcPr>
            <w:tcW w:w="1980" w:type="dxa"/>
            <w:tcBorders>
              <w:top w:val="single" w:sz="8" w:space="0" w:color="auto"/>
              <w:left w:val="single" w:sz="4" w:space="0" w:color="auto"/>
              <w:bottom w:val="single" w:sz="4" w:space="0" w:color="auto"/>
              <w:right w:val="single" w:sz="4" w:space="0" w:color="auto"/>
              <w:tl2br w:val="nil"/>
              <w:tr2bl w:val="nil"/>
            </w:tcBorders>
            <w:textDirection w:val="lrTb"/>
            <w:vAlign w:val="bottom"/>
          </w:tcPr>
          <w:p w:rsidR="00B534F8" w:rsidRPr="006F69FD" w:rsidP="00116A29">
            <w:pPr>
              <w:spacing w:line="360" w:lineRule="auto"/>
              <w:jc w:val="center"/>
              <w:rPr>
                <w:rFonts w:ascii="Times New Roman" w:hAnsi="Times New Roman" w:cs="Times New Roman"/>
                <w:b/>
                <w:sz w:val="20"/>
                <w:szCs w:val="20"/>
              </w:rPr>
            </w:pPr>
            <w:r w:rsidRPr="006F69FD">
              <w:rPr>
                <w:rFonts w:ascii="Times New Roman" w:hAnsi="Times New Roman" w:cs="Times New Roman"/>
                <w:b/>
                <w:sz w:val="20"/>
                <w:szCs w:val="20"/>
              </w:rPr>
              <w:t>Stav 31.12.2005</w:t>
            </w:r>
          </w:p>
        </w:tc>
        <w:tc>
          <w:tcPr>
            <w:tcW w:w="2340" w:type="dxa"/>
            <w:tcBorders>
              <w:top w:val="single" w:sz="8" w:space="0" w:color="auto"/>
              <w:left w:val="single" w:sz="4" w:space="0" w:color="auto"/>
              <w:bottom w:val="single" w:sz="4" w:space="0" w:color="auto"/>
              <w:right w:val="single" w:sz="4" w:space="0" w:color="auto"/>
              <w:tl2br w:val="nil"/>
              <w:tr2bl w:val="nil"/>
            </w:tcBorders>
            <w:textDirection w:val="lrTb"/>
            <w:vAlign w:val="bottom"/>
          </w:tcPr>
          <w:p w:rsidR="00B534F8" w:rsidRPr="006F69FD" w:rsidP="00116A29">
            <w:pPr>
              <w:spacing w:line="360" w:lineRule="auto"/>
              <w:jc w:val="center"/>
              <w:rPr>
                <w:rFonts w:ascii="Times New Roman" w:hAnsi="Times New Roman" w:cs="Times New Roman"/>
                <w:b/>
                <w:sz w:val="20"/>
                <w:szCs w:val="20"/>
              </w:rPr>
            </w:pPr>
            <w:r w:rsidRPr="006F69FD">
              <w:rPr>
                <w:rFonts w:ascii="Times New Roman" w:hAnsi="Times New Roman" w:cs="Times New Roman"/>
                <w:b/>
                <w:sz w:val="20"/>
                <w:szCs w:val="20"/>
              </w:rPr>
              <w:t>Stav 31.12.2006</w:t>
            </w:r>
          </w:p>
        </w:tc>
        <w:tc>
          <w:tcPr>
            <w:tcW w:w="1724" w:type="dxa"/>
            <w:tcBorders>
              <w:top w:val="single" w:sz="8" w:space="0" w:color="auto"/>
              <w:left w:val="single" w:sz="4" w:space="0" w:color="auto"/>
              <w:bottom w:val="single" w:sz="4" w:space="0" w:color="auto"/>
              <w:right w:val="single" w:sz="8" w:space="0" w:color="auto"/>
              <w:tl2br w:val="nil"/>
              <w:tr2bl w:val="nil"/>
            </w:tcBorders>
            <w:textDirection w:val="lrTb"/>
            <w:vAlign w:val="bottom"/>
          </w:tcPr>
          <w:p w:rsidR="00B534F8" w:rsidRPr="006F69FD" w:rsidP="00116A29">
            <w:pPr>
              <w:spacing w:line="360" w:lineRule="auto"/>
              <w:jc w:val="center"/>
              <w:rPr>
                <w:rFonts w:ascii="Times New Roman" w:hAnsi="Times New Roman" w:cs="Times New Roman"/>
                <w:b/>
                <w:sz w:val="20"/>
                <w:szCs w:val="20"/>
              </w:rPr>
            </w:pPr>
            <w:r w:rsidRPr="006F69FD">
              <w:rPr>
                <w:rFonts w:ascii="Times New Roman" w:hAnsi="Times New Roman" w:cs="Times New Roman"/>
                <w:b/>
                <w:sz w:val="20"/>
                <w:szCs w:val="20"/>
              </w:rPr>
              <w:t>Zmena</w:t>
            </w:r>
          </w:p>
        </w:tc>
      </w:tr>
      <w:tr>
        <w:tblPrEx>
          <w:tblW w:w="9392" w:type="dxa"/>
        </w:tblPrEx>
        <w:trPr>
          <w:trHeight w:val="483"/>
        </w:trPr>
        <w:tc>
          <w:tcPr>
            <w:tcW w:w="33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rPr>
                <w:rFonts w:ascii="Times New Roman" w:hAnsi="Times New Roman" w:cs="Times New Roman"/>
                <w:sz w:val="20"/>
                <w:szCs w:val="20"/>
              </w:rPr>
            </w:pPr>
            <w:r w:rsidRPr="006F69FD">
              <w:rPr>
                <w:rFonts w:ascii="Times New Roman" w:hAnsi="Times New Roman" w:cs="Times New Roman"/>
                <w:sz w:val="20"/>
                <w:szCs w:val="20"/>
              </w:rPr>
              <w:t xml:space="preserve">A. </w:t>
            </w:r>
            <w:r w:rsidRPr="006F69FD">
              <w:rPr>
                <w:rFonts w:ascii="Times New Roman" w:hAnsi="Times New Roman" w:cs="Times New Roman"/>
                <w:b/>
                <w:sz w:val="20"/>
                <w:szCs w:val="20"/>
              </w:rPr>
              <w:t>Neobežný majetok</w:t>
            </w:r>
          </w:p>
          <w:p w:rsidR="00B534F8" w:rsidRPr="006F69FD" w:rsidP="00B534F8">
            <w:pPr>
              <w:spacing w:line="360" w:lineRule="auto"/>
              <w:rPr>
                <w:rFonts w:ascii="Times New Roman" w:hAnsi="Times New Roman" w:cs="Times New Roman"/>
                <w:sz w:val="20"/>
                <w:szCs w:val="20"/>
              </w:rPr>
            </w:pPr>
            <w:r w:rsidRPr="006F69FD">
              <w:rPr>
                <w:rFonts w:ascii="Times New Roman" w:hAnsi="Times New Roman" w:cs="Times New Roman"/>
                <w:sz w:val="20"/>
                <w:szCs w:val="20"/>
              </w:rPr>
              <w:t>v tom:</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b/>
                <w:sz w:val="20"/>
                <w:szCs w:val="20"/>
              </w:rPr>
            </w:pPr>
            <w:r w:rsidRPr="006F69FD">
              <w:rPr>
                <w:rFonts w:ascii="Times New Roman" w:hAnsi="Times New Roman" w:cs="Times New Roman"/>
                <w:b/>
                <w:sz w:val="20"/>
                <w:szCs w:val="20"/>
              </w:rPr>
              <w:t>272 763,3</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b/>
                <w:sz w:val="20"/>
                <w:szCs w:val="20"/>
              </w:rPr>
            </w:pPr>
            <w:r w:rsidRPr="006F69FD">
              <w:rPr>
                <w:rFonts w:ascii="Times New Roman" w:hAnsi="Times New Roman" w:cs="Times New Roman"/>
                <w:b/>
                <w:sz w:val="20"/>
                <w:szCs w:val="20"/>
              </w:rPr>
              <w:t>266 904,2</w:t>
            </w:r>
          </w:p>
        </w:tc>
        <w:tc>
          <w:tcPr>
            <w:tcW w:w="1724"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b/>
                <w:sz w:val="20"/>
                <w:szCs w:val="20"/>
              </w:rPr>
            </w:pPr>
            <w:r w:rsidRPr="006F69FD">
              <w:rPr>
                <w:rFonts w:ascii="Times New Roman" w:hAnsi="Times New Roman" w:cs="Times New Roman"/>
                <w:b/>
                <w:sz w:val="20"/>
                <w:szCs w:val="20"/>
              </w:rPr>
              <w:t>- 5 859,1</w:t>
            </w:r>
          </w:p>
        </w:tc>
      </w:tr>
      <w:tr>
        <w:tblPrEx>
          <w:tblW w:w="9392" w:type="dxa"/>
        </w:tblPrEx>
        <w:trPr>
          <w:trHeight w:hRule="auto" w:val="0"/>
        </w:trPr>
        <w:tc>
          <w:tcPr>
            <w:tcW w:w="33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rPr>
                <w:rFonts w:ascii="Times New Roman" w:hAnsi="Times New Roman" w:cs="Times New Roman"/>
                <w:sz w:val="20"/>
                <w:szCs w:val="20"/>
              </w:rPr>
            </w:pPr>
            <w:r w:rsidRPr="006F69FD">
              <w:rPr>
                <w:rFonts w:ascii="Times New Roman" w:hAnsi="Times New Roman" w:cs="Times New Roman"/>
                <w:sz w:val="20"/>
                <w:szCs w:val="20"/>
              </w:rPr>
              <w:t>dlhodobý nehmotný majetok</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5 657,7</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5 965,6</w:t>
            </w:r>
          </w:p>
        </w:tc>
        <w:tc>
          <w:tcPr>
            <w:tcW w:w="1724"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+ 307,9</w:t>
            </w:r>
          </w:p>
        </w:tc>
      </w:tr>
      <w:tr>
        <w:tblPrEx>
          <w:tblW w:w="9392" w:type="dxa"/>
        </w:tblPrEx>
        <w:trPr>
          <w:trHeight w:hRule="auto" w:val="0"/>
        </w:trPr>
        <w:tc>
          <w:tcPr>
            <w:tcW w:w="33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rPr>
                <w:rFonts w:ascii="Times New Roman" w:hAnsi="Times New Roman" w:cs="Times New Roman"/>
                <w:sz w:val="20"/>
                <w:szCs w:val="20"/>
              </w:rPr>
            </w:pPr>
            <w:r w:rsidRPr="006F69FD">
              <w:rPr>
                <w:rFonts w:ascii="Times New Roman" w:hAnsi="Times New Roman" w:cs="Times New Roman"/>
                <w:sz w:val="20"/>
                <w:szCs w:val="20"/>
              </w:rPr>
              <w:t>dlhodobý hmotný majetok</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107 302,0</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109 687,5</w:t>
            </w:r>
          </w:p>
        </w:tc>
        <w:tc>
          <w:tcPr>
            <w:tcW w:w="1724"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+ 2 385,5</w:t>
            </w:r>
          </w:p>
        </w:tc>
      </w:tr>
      <w:tr>
        <w:tblPrEx>
          <w:tblW w:w="9392" w:type="dxa"/>
        </w:tblPrEx>
        <w:trPr>
          <w:trHeight w:hRule="auto" w:val="0"/>
        </w:trPr>
        <w:tc>
          <w:tcPr>
            <w:tcW w:w="33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rPr>
                <w:rFonts w:ascii="Times New Roman" w:hAnsi="Times New Roman" w:cs="Times New Roman"/>
                <w:sz w:val="20"/>
                <w:szCs w:val="20"/>
              </w:rPr>
            </w:pPr>
            <w:r w:rsidRPr="006F69FD">
              <w:rPr>
                <w:rFonts w:ascii="Times New Roman" w:hAnsi="Times New Roman" w:cs="Times New Roman"/>
                <w:sz w:val="20"/>
                <w:szCs w:val="20"/>
              </w:rPr>
              <w:t>dlhodobý finančný majetok</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159 803,6</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151 251,1</w:t>
            </w:r>
          </w:p>
        </w:tc>
        <w:tc>
          <w:tcPr>
            <w:tcW w:w="1724"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- 8 552,5</w:t>
            </w:r>
          </w:p>
        </w:tc>
      </w:tr>
      <w:tr>
        <w:tblPrEx>
          <w:tblW w:w="9392" w:type="dxa"/>
        </w:tblPrEx>
        <w:trPr>
          <w:trHeight w:val="462"/>
        </w:trPr>
        <w:tc>
          <w:tcPr>
            <w:tcW w:w="33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rPr>
                <w:rFonts w:ascii="Times New Roman" w:hAnsi="Times New Roman" w:cs="Times New Roman"/>
                <w:sz w:val="20"/>
                <w:szCs w:val="20"/>
              </w:rPr>
            </w:pPr>
            <w:r w:rsidRPr="006F69FD">
              <w:rPr>
                <w:rFonts w:ascii="Times New Roman" w:hAnsi="Times New Roman" w:cs="Times New Roman"/>
                <w:sz w:val="20"/>
                <w:szCs w:val="20"/>
              </w:rPr>
              <w:t xml:space="preserve">B. </w:t>
            </w:r>
            <w:r w:rsidRPr="006F69FD">
              <w:rPr>
                <w:rFonts w:ascii="Times New Roman" w:hAnsi="Times New Roman" w:cs="Times New Roman"/>
                <w:b/>
                <w:sz w:val="20"/>
                <w:szCs w:val="20"/>
              </w:rPr>
              <w:t>Obežný majetok</w:t>
            </w:r>
          </w:p>
          <w:p w:rsidR="00B534F8" w:rsidRPr="006F69FD" w:rsidP="00B534F8">
            <w:pPr>
              <w:spacing w:line="360" w:lineRule="auto"/>
              <w:rPr>
                <w:rFonts w:ascii="Times New Roman" w:hAnsi="Times New Roman" w:cs="Times New Roman"/>
                <w:sz w:val="20"/>
                <w:szCs w:val="20"/>
              </w:rPr>
            </w:pPr>
            <w:r w:rsidRPr="006F69FD">
              <w:rPr>
                <w:rFonts w:ascii="Times New Roman" w:hAnsi="Times New Roman" w:cs="Times New Roman"/>
                <w:sz w:val="20"/>
                <w:szCs w:val="20"/>
              </w:rPr>
              <w:t>v tom:</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b/>
                <w:sz w:val="20"/>
                <w:szCs w:val="20"/>
              </w:rPr>
            </w:pPr>
            <w:r w:rsidRPr="006F69FD">
              <w:rPr>
                <w:rFonts w:ascii="Times New Roman" w:hAnsi="Times New Roman" w:cs="Times New Roman"/>
                <w:b/>
                <w:sz w:val="20"/>
                <w:szCs w:val="20"/>
              </w:rPr>
              <w:t>306 394,7</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b/>
                <w:sz w:val="20"/>
                <w:szCs w:val="20"/>
              </w:rPr>
            </w:pPr>
            <w:r w:rsidRPr="006F69FD">
              <w:rPr>
                <w:rFonts w:ascii="Times New Roman" w:hAnsi="Times New Roman" w:cs="Times New Roman"/>
                <w:b/>
                <w:sz w:val="20"/>
                <w:szCs w:val="20"/>
              </w:rPr>
              <w:t>317 341,6</w:t>
            </w:r>
          </w:p>
        </w:tc>
        <w:tc>
          <w:tcPr>
            <w:tcW w:w="1724"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b/>
                <w:sz w:val="20"/>
                <w:szCs w:val="20"/>
              </w:rPr>
            </w:pPr>
            <w:r w:rsidRPr="006F69FD">
              <w:rPr>
                <w:rFonts w:ascii="Times New Roman" w:hAnsi="Times New Roman" w:cs="Times New Roman"/>
                <w:b/>
                <w:sz w:val="20"/>
                <w:szCs w:val="20"/>
              </w:rPr>
              <w:t>+ 10 946,9</w:t>
            </w:r>
          </w:p>
        </w:tc>
      </w:tr>
      <w:tr>
        <w:tblPrEx>
          <w:tblW w:w="9392" w:type="dxa"/>
        </w:tblPrEx>
        <w:trPr>
          <w:trHeight w:hRule="auto" w:val="0"/>
        </w:trPr>
        <w:tc>
          <w:tcPr>
            <w:tcW w:w="33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rPr>
                <w:rFonts w:ascii="Times New Roman" w:hAnsi="Times New Roman" w:cs="Times New Roman"/>
                <w:sz w:val="20"/>
                <w:szCs w:val="20"/>
              </w:rPr>
            </w:pPr>
            <w:r w:rsidRPr="006F69FD">
              <w:rPr>
                <w:rFonts w:ascii="Times New Roman" w:hAnsi="Times New Roman" w:cs="Times New Roman"/>
                <w:sz w:val="20"/>
                <w:szCs w:val="20"/>
              </w:rPr>
              <w:t>zásoby</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65 004,8</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63 077,8</w:t>
            </w:r>
          </w:p>
        </w:tc>
        <w:tc>
          <w:tcPr>
            <w:tcW w:w="1724"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- 1 927,0</w:t>
            </w:r>
          </w:p>
        </w:tc>
      </w:tr>
      <w:tr>
        <w:tblPrEx>
          <w:tblW w:w="9392" w:type="dxa"/>
        </w:tblPrEx>
        <w:trPr>
          <w:trHeight w:hRule="auto" w:val="0"/>
        </w:trPr>
        <w:tc>
          <w:tcPr>
            <w:tcW w:w="33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rPr>
                <w:rFonts w:ascii="Times New Roman" w:hAnsi="Times New Roman" w:cs="Times New Roman"/>
                <w:sz w:val="20"/>
                <w:szCs w:val="20"/>
              </w:rPr>
            </w:pPr>
            <w:r w:rsidRPr="006F69FD">
              <w:rPr>
                <w:rFonts w:ascii="Times New Roman" w:hAnsi="Times New Roman" w:cs="Times New Roman"/>
                <w:sz w:val="20"/>
                <w:szCs w:val="20"/>
              </w:rPr>
              <w:t>pohľadávky</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89 208,0</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134 995,0</w:t>
            </w:r>
          </w:p>
        </w:tc>
        <w:tc>
          <w:tcPr>
            <w:tcW w:w="1724"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+ 45 787,0</w:t>
            </w:r>
          </w:p>
        </w:tc>
      </w:tr>
      <w:tr>
        <w:tblPrEx>
          <w:tblW w:w="9392" w:type="dxa"/>
        </w:tblPrEx>
        <w:trPr>
          <w:trHeight w:hRule="auto" w:val="0"/>
        </w:trPr>
        <w:tc>
          <w:tcPr>
            <w:tcW w:w="33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rPr>
                <w:rFonts w:ascii="Times New Roman" w:hAnsi="Times New Roman" w:cs="Times New Roman"/>
                <w:sz w:val="20"/>
                <w:szCs w:val="20"/>
              </w:rPr>
            </w:pPr>
            <w:r w:rsidRPr="006F69FD">
              <w:rPr>
                <w:rFonts w:ascii="Times New Roman" w:hAnsi="Times New Roman" w:cs="Times New Roman"/>
                <w:sz w:val="20"/>
                <w:szCs w:val="20"/>
              </w:rPr>
              <w:t xml:space="preserve">finančný majetok </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101 902,9</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102 725,5</w:t>
            </w:r>
          </w:p>
        </w:tc>
        <w:tc>
          <w:tcPr>
            <w:tcW w:w="1724"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+ 822,6</w:t>
            </w:r>
          </w:p>
        </w:tc>
      </w:tr>
      <w:tr>
        <w:tblPrEx>
          <w:tblW w:w="9392" w:type="dxa"/>
        </w:tblPrEx>
        <w:trPr>
          <w:trHeight w:hRule="auto" w:val="0"/>
        </w:trPr>
        <w:tc>
          <w:tcPr>
            <w:tcW w:w="33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rPr>
                <w:rFonts w:ascii="Times New Roman" w:hAnsi="Times New Roman" w:cs="Times New Roman"/>
                <w:sz w:val="20"/>
                <w:szCs w:val="20"/>
              </w:rPr>
            </w:pPr>
            <w:r w:rsidRPr="006F69FD">
              <w:rPr>
                <w:rFonts w:ascii="Times New Roman" w:hAnsi="Times New Roman" w:cs="Times New Roman"/>
                <w:sz w:val="20"/>
                <w:szCs w:val="20"/>
              </w:rPr>
              <w:t>návratné finančné výpomoci</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50 279,0</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16 543,3</w:t>
            </w:r>
          </w:p>
        </w:tc>
        <w:tc>
          <w:tcPr>
            <w:tcW w:w="1724"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- 33 735,7</w:t>
            </w:r>
          </w:p>
        </w:tc>
      </w:tr>
      <w:tr>
        <w:tblPrEx>
          <w:tblW w:w="9392" w:type="dxa"/>
        </w:tblPrEx>
        <w:trPr>
          <w:trHeight w:hRule="auto" w:val="0"/>
        </w:trPr>
        <w:tc>
          <w:tcPr>
            <w:tcW w:w="33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rPr>
                <w:rFonts w:ascii="Times New Roman" w:hAnsi="Times New Roman" w:cs="Times New Roman"/>
                <w:b/>
                <w:sz w:val="20"/>
                <w:szCs w:val="20"/>
              </w:rPr>
            </w:pPr>
            <w:r w:rsidRPr="006F69FD">
              <w:rPr>
                <w:rFonts w:ascii="Times New Roman" w:hAnsi="Times New Roman" w:cs="Times New Roman"/>
                <w:b/>
                <w:sz w:val="20"/>
                <w:szCs w:val="20"/>
              </w:rPr>
              <w:t>Majetok celkom</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b/>
                <w:sz w:val="20"/>
                <w:szCs w:val="20"/>
              </w:rPr>
            </w:pPr>
            <w:r w:rsidRPr="006F69FD">
              <w:rPr>
                <w:rFonts w:ascii="Times New Roman" w:hAnsi="Times New Roman" w:cs="Times New Roman"/>
                <w:b/>
                <w:sz w:val="20"/>
                <w:szCs w:val="20"/>
              </w:rPr>
              <w:t>579 158,0</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b/>
                <w:sz w:val="20"/>
                <w:szCs w:val="20"/>
              </w:rPr>
            </w:pPr>
            <w:r w:rsidRPr="006F69FD">
              <w:rPr>
                <w:rFonts w:ascii="Times New Roman" w:hAnsi="Times New Roman" w:cs="Times New Roman"/>
                <w:b/>
                <w:sz w:val="20"/>
                <w:szCs w:val="20"/>
              </w:rPr>
              <w:t>584 245,8</w:t>
            </w:r>
          </w:p>
        </w:tc>
        <w:tc>
          <w:tcPr>
            <w:tcW w:w="1724"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b/>
                <w:sz w:val="20"/>
                <w:szCs w:val="20"/>
              </w:rPr>
            </w:pPr>
            <w:r w:rsidRPr="006F69FD">
              <w:rPr>
                <w:rFonts w:ascii="Times New Roman" w:hAnsi="Times New Roman" w:cs="Times New Roman"/>
                <w:b/>
                <w:sz w:val="20"/>
                <w:szCs w:val="20"/>
              </w:rPr>
              <w:t>+ 5 087,8</w:t>
            </w:r>
          </w:p>
        </w:tc>
      </w:tr>
      <w:tr>
        <w:tblPrEx>
          <w:tblW w:w="9392" w:type="dxa"/>
        </w:tblPrEx>
        <w:trPr>
          <w:trHeight w:val="262"/>
        </w:trPr>
        <w:tc>
          <w:tcPr>
            <w:tcW w:w="334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6F69FD" w:rsidP="00116A29">
            <w:pPr>
              <w:spacing w:line="360" w:lineRule="auto"/>
              <w:jc w:val="center"/>
              <w:rPr>
                <w:rFonts w:ascii="Times New Roman" w:hAnsi="Times New Roman" w:cs="Times New Roman"/>
                <w:b/>
                <w:sz w:val="20"/>
                <w:szCs w:val="20"/>
              </w:rPr>
            </w:pPr>
            <w:r w:rsidRPr="006F69FD">
              <w:rPr>
                <w:rFonts w:ascii="Times New Roman" w:hAnsi="Times New Roman" w:cs="Times New Roman"/>
                <w:b/>
                <w:sz w:val="20"/>
                <w:szCs w:val="20"/>
              </w:rPr>
              <w:t>P A S Í V A</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center"/>
              <w:rPr>
                <w:rFonts w:ascii="Times New Roman" w:hAnsi="Times New Roman" w:cs="Times New Roman"/>
                <w:b/>
                <w:sz w:val="20"/>
                <w:szCs w:val="20"/>
              </w:rPr>
            </w:pP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center"/>
              <w:rPr>
                <w:rFonts w:ascii="Times New Roman" w:hAnsi="Times New Roman" w:cs="Times New Roman"/>
                <w:b/>
                <w:sz w:val="20"/>
                <w:szCs w:val="20"/>
              </w:rPr>
            </w:pPr>
          </w:p>
        </w:tc>
        <w:tc>
          <w:tcPr>
            <w:tcW w:w="1724"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6F69FD" w:rsidP="00B534F8">
            <w:pPr>
              <w:spacing w:line="360" w:lineRule="auto"/>
              <w:jc w:val="center"/>
              <w:rPr>
                <w:rFonts w:ascii="Times New Roman" w:hAnsi="Times New Roman" w:cs="Times New Roman"/>
                <w:b/>
                <w:sz w:val="20"/>
                <w:szCs w:val="20"/>
              </w:rPr>
            </w:pPr>
          </w:p>
        </w:tc>
      </w:tr>
      <w:tr>
        <w:tblPrEx>
          <w:tblW w:w="9392" w:type="dxa"/>
        </w:tblPrEx>
        <w:trPr>
          <w:trHeight w:val="334"/>
        </w:trPr>
        <w:tc>
          <w:tcPr>
            <w:tcW w:w="33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rPr>
                <w:rFonts w:ascii="Times New Roman" w:hAnsi="Times New Roman" w:cs="Times New Roman"/>
                <w:sz w:val="20"/>
                <w:szCs w:val="20"/>
              </w:rPr>
            </w:pPr>
            <w:r w:rsidRPr="006F69FD">
              <w:rPr>
                <w:rFonts w:ascii="Times New Roman" w:hAnsi="Times New Roman" w:cs="Times New Roman"/>
                <w:sz w:val="20"/>
                <w:szCs w:val="20"/>
              </w:rPr>
              <w:t xml:space="preserve">A. </w:t>
            </w:r>
            <w:r w:rsidRPr="006F69FD">
              <w:rPr>
                <w:rFonts w:ascii="Times New Roman" w:hAnsi="Times New Roman" w:cs="Times New Roman"/>
                <w:b/>
                <w:sz w:val="20"/>
                <w:szCs w:val="20"/>
              </w:rPr>
              <w:t>Vlastné zdroje</w:t>
            </w:r>
          </w:p>
          <w:p w:rsidR="00B534F8" w:rsidRPr="006F69FD" w:rsidP="00B534F8">
            <w:pPr>
              <w:spacing w:line="360" w:lineRule="auto"/>
              <w:rPr>
                <w:rFonts w:ascii="Times New Roman" w:hAnsi="Times New Roman" w:cs="Times New Roman"/>
                <w:sz w:val="20"/>
                <w:szCs w:val="20"/>
              </w:rPr>
            </w:pPr>
            <w:r w:rsidRPr="006F69FD">
              <w:rPr>
                <w:rFonts w:ascii="Times New Roman" w:hAnsi="Times New Roman" w:cs="Times New Roman"/>
                <w:sz w:val="20"/>
                <w:szCs w:val="20"/>
              </w:rPr>
              <w:t>v tom:</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b/>
                <w:sz w:val="20"/>
                <w:szCs w:val="20"/>
              </w:rPr>
            </w:pPr>
            <w:r w:rsidRPr="006F69FD">
              <w:rPr>
                <w:rFonts w:ascii="Times New Roman" w:hAnsi="Times New Roman" w:cs="Times New Roman"/>
                <w:b/>
                <w:sz w:val="20"/>
                <w:szCs w:val="20"/>
              </w:rPr>
              <w:t>1 216,0</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b/>
                <w:sz w:val="20"/>
                <w:szCs w:val="20"/>
              </w:rPr>
            </w:pPr>
            <w:r w:rsidRPr="006F69FD">
              <w:rPr>
                <w:rFonts w:ascii="Times New Roman" w:hAnsi="Times New Roman" w:cs="Times New Roman"/>
                <w:b/>
                <w:sz w:val="20"/>
                <w:szCs w:val="20"/>
              </w:rPr>
              <w:t>- 69 814,8</w:t>
            </w:r>
          </w:p>
        </w:tc>
        <w:tc>
          <w:tcPr>
            <w:tcW w:w="1724"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b/>
                <w:sz w:val="20"/>
                <w:szCs w:val="20"/>
              </w:rPr>
            </w:pPr>
            <w:r w:rsidRPr="006F69FD">
              <w:rPr>
                <w:rFonts w:ascii="Times New Roman" w:hAnsi="Times New Roman" w:cs="Times New Roman"/>
                <w:b/>
                <w:sz w:val="20"/>
                <w:szCs w:val="20"/>
              </w:rPr>
              <w:t>- 71 030,8</w:t>
            </w:r>
          </w:p>
        </w:tc>
      </w:tr>
      <w:tr>
        <w:tblPrEx>
          <w:tblW w:w="9392" w:type="dxa"/>
        </w:tblPrEx>
        <w:trPr>
          <w:trHeight w:hRule="auto" w:val="0"/>
        </w:trPr>
        <w:tc>
          <w:tcPr>
            <w:tcW w:w="33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rPr>
                <w:rFonts w:ascii="Times New Roman" w:hAnsi="Times New Roman" w:cs="Times New Roman"/>
                <w:sz w:val="20"/>
                <w:szCs w:val="20"/>
              </w:rPr>
            </w:pPr>
            <w:r w:rsidRPr="006F69FD">
              <w:rPr>
                <w:rFonts w:ascii="Times New Roman" w:hAnsi="Times New Roman" w:cs="Times New Roman"/>
                <w:sz w:val="20"/>
                <w:szCs w:val="20"/>
              </w:rPr>
              <w:t>fondy účtovnej jednotky</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- 62 729,2</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- 132 523,6</w:t>
            </w:r>
          </w:p>
        </w:tc>
        <w:tc>
          <w:tcPr>
            <w:tcW w:w="1724"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- 69 794,4</w:t>
            </w:r>
          </w:p>
        </w:tc>
      </w:tr>
      <w:tr>
        <w:tblPrEx>
          <w:tblW w:w="9392" w:type="dxa"/>
        </w:tblPrEx>
        <w:trPr>
          <w:trHeight w:hRule="auto" w:val="0"/>
        </w:trPr>
        <w:tc>
          <w:tcPr>
            <w:tcW w:w="33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rPr>
                <w:rFonts w:ascii="Times New Roman" w:hAnsi="Times New Roman" w:cs="Times New Roman"/>
                <w:sz w:val="20"/>
                <w:szCs w:val="20"/>
              </w:rPr>
            </w:pPr>
            <w:r w:rsidRPr="006F69FD">
              <w:rPr>
                <w:rFonts w:ascii="Times New Roman" w:hAnsi="Times New Roman" w:cs="Times New Roman"/>
                <w:sz w:val="20"/>
                <w:szCs w:val="20"/>
              </w:rPr>
              <w:t>výsledok hospodárenia</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63 945,2</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62 708,8</w:t>
            </w:r>
          </w:p>
        </w:tc>
        <w:tc>
          <w:tcPr>
            <w:tcW w:w="1724"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- 1 236,4</w:t>
            </w:r>
          </w:p>
        </w:tc>
      </w:tr>
      <w:tr>
        <w:tblPrEx>
          <w:tblW w:w="9392" w:type="dxa"/>
        </w:tblPrEx>
        <w:trPr>
          <w:trHeight w:val="308"/>
        </w:trPr>
        <w:tc>
          <w:tcPr>
            <w:tcW w:w="33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rPr>
                <w:rFonts w:ascii="Times New Roman" w:hAnsi="Times New Roman" w:cs="Times New Roman"/>
                <w:b/>
                <w:sz w:val="20"/>
                <w:szCs w:val="20"/>
              </w:rPr>
            </w:pPr>
            <w:r w:rsidRPr="006F69FD">
              <w:rPr>
                <w:rFonts w:ascii="Times New Roman" w:hAnsi="Times New Roman" w:cs="Times New Roman"/>
                <w:b/>
                <w:sz w:val="20"/>
                <w:szCs w:val="20"/>
              </w:rPr>
              <w:t>B. Cudzie zdroje:</w:t>
            </w:r>
          </w:p>
          <w:p w:rsidR="00B534F8" w:rsidRPr="006F69FD" w:rsidP="00B534F8">
            <w:pPr>
              <w:spacing w:line="360" w:lineRule="auto"/>
              <w:rPr>
                <w:rFonts w:ascii="Times New Roman" w:hAnsi="Times New Roman" w:cs="Times New Roman"/>
                <w:sz w:val="20"/>
                <w:szCs w:val="20"/>
              </w:rPr>
            </w:pPr>
            <w:r w:rsidRPr="006F69FD">
              <w:rPr>
                <w:rFonts w:ascii="Times New Roman" w:hAnsi="Times New Roman" w:cs="Times New Roman"/>
                <w:sz w:val="20"/>
                <w:szCs w:val="20"/>
              </w:rPr>
              <w:t>v tom:</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b/>
                <w:sz w:val="20"/>
                <w:szCs w:val="20"/>
              </w:rPr>
            </w:pPr>
            <w:r w:rsidRPr="006F69FD">
              <w:rPr>
                <w:rFonts w:ascii="Times New Roman" w:hAnsi="Times New Roman" w:cs="Times New Roman"/>
                <w:b/>
                <w:sz w:val="20"/>
                <w:szCs w:val="20"/>
              </w:rPr>
              <w:t>572 942,0</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b/>
                <w:sz w:val="20"/>
                <w:szCs w:val="20"/>
              </w:rPr>
            </w:pPr>
            <w:r w:rsidRPr="006F69FD">
              <w:rPr>
                <w:rFonts w:ascii="Times New Roman" w:hAnsi="Times New Roman" w:cs="Times New Roman"/>
                <w:b/>
                <w:sz w:val="20"/>
                <w:szCs w:val="20"/>
              </w:rPr>
              <w:t>654 060,6</w:t>
            </w:r>
          </w:p>
        </w:tc>
        <w:tc>
          <w:tcPr>
            <w:tcW w:w="1724"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b/>
                <w:sz w:val="20"/>
                <w:szCs w:val="20"/>
              </w:rPr>
            </w:pPr>
            <w:r w:rsidRPr="006F69FD">
              <w:rPr>
                <w:rFonts w:ascii="Times New Roman" w:hAnsi="Times New Roman" w:cs="Times New Roman"/>
                <w:b/>
                <w:sz w:val="20"/>
                <w:szCs w:val="20"/>
              </w:rPr>
              <w:t>+ 76 118,6</w:t>
            </w:r>
          </w:p>
        </w:tc>
      </w:tr>
      <w:tr>
        <w:tblPrEx>
          <w:tblW w:w="9392" w:type="dxa"/>
        </w:tblPrEx>
        <w:trPr>
          <w:trHeight w:hRule="auto" w:val="0"/>
        </w:trPr>
        <w:tc>
          <w:tcPr>
            <w:tcW w:w="33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rPr>
                <w:rFonts w:ascii="Times New Roman" w:hAnsi="Times New Roman" w:cs="Times New Roman"/>
                <w:sz w:val="20"/>
                <w:szCs w:val="20"/>
              </w:rPr>
            </w:pPr>
            <w:r w:rsidRPr="006F69FD">
              <w:rPr>
                <w:rFonts w:ascii="Times New Roman" w:hAnsi="Times New Roman" w:cs="Times New Roman"/>
                <w:sz w:val="20"/>
                <w:szCs w:val="20"/>
              </w:rPr>
              <w:t>dlhodobé záväzky</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466 495,9</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478 415,5</w:t>
            </w:r>
          </w:p>
        </w:tc>
        <w:tc>
          <w:tcPr>
            <w:tcW w:w="1724"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+ 11 919,6</w:t>
            </w:r>
          </w:p>
        </w:tc>
      </w:tr>
      <w:tr>
        <w:tblPrEx>
          <w:tblW w:w="9392" w:type="dxa"/>
        </w:tblPrEx>
        <w:trPr>
          <w:trHeight w:hRule="auto" w:val="0"/>
        </w:trPr>
        <w:tc>
          <w:tcPr>
            <w:tcW w:w="33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rPr>
                <w:rFonts w:ascii="Times New Roman" w:hAnsi="Times New Roman" w:cs="Times New Roman"/>
                <w:sz w:val="20"/>
                <w:szCs w:val="20"/>
              </w:rPr>
            </w:pPr>
            <w:r w:rsidRPr="006F69FD">
              <w:rPr>
                <w:rFonts w:ascii="Times New Roman" w:hAnsi="Times New Roman" w:cs="Times New Roman"/>
                <w:sz w:val="20"/>
                <w:szCs w:val="20"/>
              </w:rPr>
              <w:t>krátkodobé záväzky</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105 678,6</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175 612,3</w:t>
            </w:r>
          </w:p>
        </w:tc>
        <w:tc>
          <w:tcPr>
            <w:tcW w:w="1724"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+ 69 933,7</w:t>
            </w:r>
          </w:p>
        </w:tc>
      </w:tr>
      <w:tr>
        <w:tblPrEx>
          <w:tblW w:w="9392" w:type="dxa"/>
        </w:tblPrEx>
        <w:trPr>
          <w:trHeight w:val="234"/>
        </w:trPr>
        <w:tc>
          <w:tcPr>
            <w:tcW w:w="33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6F69FD" w:rsidP="00116A29">
            <w:pPr>
              <w:spacing w:line="360" w:lineRule="auto"/>
              <w:rPr>
                <w:rFonts w:ascii="Times New Roman" w:hAnsi="Times New Roman" w:cs="Times New Roman"/>
                <w:sz w:val="20"/>
                <w:szCs w:val="20"/>
              </w:rPr>
            </w:pPr>
            <w:r w:rsidRPr="006F69FD">
              <w:rPr>
                <w:rFonts w:ascii="Times New Roman" w:hAnsi="Times New Roman" w:cs="Times New Roman"/>
                <w:sz w:val="20"/>
                <w:szCs w:val="20"/>
              </w:rPr>
              <w:t xml:space="preserve">bankové úvery a pôžičky </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5 742,1</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0</w:t>
            </w:r>
          </w:p>
        </w:tc>
        <w:tc>
          <w:tcPr>
            <w:tcW w:w="1724"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- 5 742,1</w:t>
            </w:r>
          </w:p>
        </w:tc>
      </w:tr>
      <w:tr>
        <w:tblPrEx>
          <w:tblW w:w="9392" w:type="dxa"/>
        </w:tblPrEx>
        <w:trPr>
          <w:trHeight w:val="70"/>
        </w:trPr>
        <w:tc>
          <w:tcPr>
            <w:tcW w:w="33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rPr>
                <w:rFonts w:ascii="Times New Roman" w:hAnsi="Times New Roman" w:cs="Times New Roman"/>
                <w:sz w:val="20"/>
                <w:szCs w:val="20"/>
              </w:rPr>
            </w:pPr>
            <w:r w:rsidRPr="006F69FD">
              <w:rPr>
                <w:rFonts w:ascii="Times New Roman" w:hAnsi="Times New Roman" w:cs="Times New Roman"/>
                <w:sz w:val="20"/>
                <w:szCs w:val="20"/>
              </w:rPr>
              <w:t>ostatné zdroje</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25,4</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32,9</w:t>
            </w:r>
          </w:p>
        </w:tc>
        <w:tc>
          <w:tcPr>
            <w:tcW w:w="1724"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6F69FD" w:rsidP="00B534F8">
            <w:pPr>
              <w:spacing w:line="360" w:lineRule="auto"/>
              <w:jc w:val="right"/>
              <w:rPr>
                <w:rFonts w:ascii="Times New Roman" w:hAnsi="Times New Roman" w:cs="Times New Roman"/>
                <w:sz w:val="20"/>
                <w:szCs w:val="20"/>
              </w:rPr>
            </w:pPr>
            <w:r w:rsidRPr="006F69FD">
              <w:rPr>
                <w:rFonts w:ascii="Times New Roman" w:hAnsi="Times New Roman" w:cs="Times New Roman"/>
                <w:sz w:val="20"/>
                <w:szCs w:val="20"/>
              </w:rPr>
              <w:t>+ 7,5</w:t>
            </w:r>
          </w:p>
        </w:tc>
      </w:tr>
      <w:tr>
        <w:tblPrEx>
          <w:tblW w:w="9392" w:type="dxa"/>
        </w:tblPrEx>
        <w:trPr>
          <w:trHeight w:val="70"/>
        </w:trPr>
        <w:tc>
          <w:tcPr>
            <w:tcW w:w="3348" w:type="dxa"/>
            <w:tcBorders>
              <w:top w:val="single" w:sz="4" w:space="0" w:color="auto"/>
              <w:left w:val="single" w:sz="8" w:space="0" w:color="auto"/>
              <w:bottom w:val="double" w:sz="6" w:space="0" w:color="auto"/>
              <w:right w:val="single" w:sz="4" w:space="0" w:color="auto"/>
              <w:tl2br w:val="nil"/>
              <w:tr2bl w:val="nil"/>
            </w:tcBorders>
            <w:textDirection w:val="lrTb"/>
            <w:vAlign w:val="bottom"/>
          </w:tcPr>
          <w:p w:rsidR="00B534F8" w:rsidRPr="006F69FD" w:rsidP="001B0C2D">
            <w:pPr>
              <w:spacing w:line="360" w:lineRule="auto"/>
              <w:rPr>
                <w:rFonts w:ascii="Times New Roman" w:hAnsi="Times New Roman" w:cs="Times New Roman"/>
                <w:b/>
                <w:sz w:val="20"/>
                <w:szCs w:val="20"/>
              </w:rPr>
            </w:pPr>
            <w:r w:rsidRPr="006F69FD">
              <w:rPr>
                <w:rFonts w:ascii="Times New Roman" w:hAnsi="Times New Roman" w:cs="Times New Roman"/>
                <w:b/>
                <w:sz w:val="20"/>
                <w:szCs w:val="20"/>
              </w:rPr>
              <w:t>Pasíva  celkom</w:t>
            </w:r>
          </w:p>
        </w:tc>
        <w:tc>
          <w:tcPr>
            <w:tcW w:w="1980"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B534F8" w:rsidRPr="006F69FD" w:rsidP="001B0C2D">
            <w:pPr>
              <w:spacing w:line="360" w:lineRule="auto"/>
              <w:jc w:val="right"/>
              <w:rPr>
                <w:rFonts w:ascii="Times New Roman" w:hAnsi="Times New Roman" w:cs="Times New Roman"/>
                <w:b/>
                <w:sz w:val="20"/>
                <w:szCs w:val="20"/>
              </w:rPr>
            </w:pPr>
            <w:r w:rsidRPr="006F69FD">
              <w:rPr>
                <w:rFonts w:ascii="Times New Roman" w:hAnsi="Times New Roman" w:cs="Times New Roman"/>
                <w:b/>
                <w:sz w:val="20"/>
                <w:szCs w:val="20"/>
              </w:rPr>
              <w:t>579 158,0</w:t>
            </w:r>
          </w:p>
        </w:tc>
        <w:tc>
          <w:tcPr>
            <w:tcW w:w="2340"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B534F8" w:rsidRPr="006F69FD" w:rsidP="001B0C2D">
            <w:pPr>
              <w:spacing w:line="360" w:lineRule="auto"/>
              <w:jc w:val="right"/>
              <w:rPr>
                <w:rFonts w:ascii="Times New Roman" w:hAnsi="Times New Roman" w:cs="Times New Roman"/>
                <w:b/>
                <w:sz w:val="20"/>
                <w:szCs w:val="20"/>
              </w:rPr>
            </w:pPr>
            <w:r w:rsidRPr="006F69FD">
              <w:rPr>
                <w:rFonts w:ascii="Times New Roman" w:hAnsi="Times New Roman" w:cs="Times New Roman"/>
                <w:b/>
                <w:sz w:val="20"/>
                <w:szCs w:val="20"/>
              </w:rPr>
              <w:t>584 245,8</w:t>
            </w:r>
          </w:p>
        </w:tc>
        <w:tc>
          <w:tcPr>
            <w:tcW w:w="1724" w:type="dxa"/>
            <w:tcBorders>
              <w:top w:val="single" w:sz="4" w:space="0" w:color="auto"/>
              <w:left w:val="single" w:sz="4" w:space="0" w:color="auto"/>
              <w:bottom w:val="double" w:sz="6" w:space="0" w:color="auto"/>
              <w:right w:val="single" w:sz="8" w:space="0" w:color="auto"/>
              <w:tl2br w:val="nil"/>
              <w:tr2bl w:val="nil"/>
            </w:tcBorders>
            <w:textDirection w:val="lrTb"/>
            <w:vAlign w:val="bottom"/>
          </w:tcPr>
          <w:p w:rsidR="00B534F8" w:rsidRPr="006F69FD" w:rsidP="001B0C2D">
            <w:pPr>
              <w:spacing w:line="360" w:lineRule="auto"/>
              <w:jc w:val="right"/>
              <w:rPr>
                <w:rFonts w:ascii="Times New Roman" w:hAnsi="Times New Roman" w:cs="Times New Roman"/>
                <w:b/>
                <w:sz w:val="20"/>
                <w:szCs w:val="20"/>
              </w:rPr>
            </w:pPr>
            <w:r w:rsidRPr="006F69FD">
              <w:rPr>
                <w:rFonts w:ascii="Times New Roman" w:hAnsi="Times New Roman" w:cs="Times New Roman"/>
                <w:b/>
                <w:sz w:val="20"/>
                <w:szCs w:val="20"/>
              </w:rPr>
              <w:t>+ 5 087,8</w:t>
            </w:r>
          </w:p>
        </w:tc>
      </w:tr>
    </w:tbl>
    <w:p w:rsidR="00B534F8" w:rsidP="00B534F8">
      <w:pPr>
        <w:spacing w:line="360" w:lineRule="auto"/>
        <w:jc w:val="both"/>
        <w:rPr>
          <w:rFonts w:ascii="Times New Roman" w:hAnsi="Times New Roman" w:cs="Times New Roman"/>
          <w:sz w:val="20"/>
          <w:szCs w:val="20"/>
        </w:rPr>
      </w:pPr>
      <w:r w:rsidRPr="001C694E">
        <w:rPr>
          <w:rFonts w:ascii="Times New Roman" w:hAnsi="Times New Roman" w:cs="Times New Roman"/>
          <w:sz w:val="20"/>
          <w:szCs w:val="20"/>
        </w:rPr>
        <w:t>Zdroj: M</w:t>
      </w:r>
      <w:r>
        <w:rPr>
          <w:rFonts w:ascii="Times New Roman" w:hAnsi="Times New Roman" w:cs="Times New Roman"/>
          <w:sz w:val="20"/>
          <w:szCs w:val="20"/>
        </w:rPr>
        <w:t>inisterstvo financií</w:t>
      </w:r>
      <w:r w:rsidRPr="001C694E">
        <w:rPr>
          <w:rFonts w:ascii="Times New Roman" w:hAnsi="Times New Roman" w:cs="Times New Roman"/>
          <w:sz w:val="20"/>
          <w:szCs w:val="20"/>
        </w:rPr>
        <w:t xml:space="preserve"> SR</w:t>
      </w:r>
    </w:p>
    <w:p w:rsidR="00B534F8" w:rsidRPr="001C694E" w:rsidP="00B534F8">
      <w:pPr>
        <w:jc w:val="both"/>
        <w:rPr>
          <w:rFonts w:ascii="Times New Roman" w:hAnsi="Times New Roman" w:cs="Times New Roman"/>
          <w:sz w:val="20"/>
          <w:szCs w:val="20"/>
        </w:rPr>
      </w:pPr>
      <w:r>
        <w:rPr>
          <w:rFonts w:ascii="Times New Roman" w:hAnsi="Times New Roman" w:cs="Times New Roman"/>
          <w:sz w:val="20"/>
          <w:szCs w:val="20"/>
        </w:rPr>
        <w:t xml:space="preserve">* V súvahe RO v tabuľke č. 24 tohto materiálu je vykázaný začiatočný stav majetku RO v sume 580 632,4 mil. Sk. Rozdiel vo výške 1 474,4 mil. Sk súvisí predovšetkým s tým, že majetok Centrálnej platobnej jednotky Schengenského prechodného fondu v rezorte MV SR nebol v roku 2005 zahrnutý do súvahy tohto rezortu.   </w:t>
      </w:r>
    </w:p>
    <w:p w:rsidR="00B534F8" w:rsidP="00B534F8">
      <w:pPr>
        <w:spacing w:line="360" w:lineRule="auto"/>
        <w:jc w:val="both"/>
        <w:rPr>
          <w:rFonts w:ascii="Times New Roman" w:hAnsi="Times New Roman" w:cs="Times New Roman"/>
        </w:rPr>
      </w:pPr>
    </w:p>
    <w:p w:rsidR="00B534F8" w:rsidRPr="00FE04E6" w:rsidP="00B534F8">
      <w:pPr>
        <w:numPr>
          <w:ilvl w:val="0"/>
          <w:numId w:val="21"/>
        </w:numPr>
        <w:tabs>
          <w:tab w:val="left" w:pos="360"/>
        </w:tabs>
        <w:spacing w:line="360" w:lineRule="auto"/>
        <w:jc w:val="both"/>
        <w:rPr>
          <w:rFonts w:ascii="Times New Roman" w:hAnsi="Times New Roman" w:cs="Times New Roman"/>
          <w:u w:val="single"/>
        </w:rPr>
      </w:pPr>
      <w:r w:rsidRPr="00A871C2">
        <w:rPr>
          <w:rFonts w:ascii="Times New Roman" w:hAnsi="Times New Roman" w:cs="Times New Roman"/>
          <w:u w:val="single"/>
        </w:rPr>
        <w:t>Majetok štátnych rozpočtových organizácií</w:t>
      </w:r>
      <w:r>
        <w:rPr>
          <w:rFonts w:ascii="Times New Roman" w:hAnsi="Times New Roman" w:cs="Times New Roman"/>
        </w:rPr>
        <w:t xml:space="preserve"> zaznamenal v porovnaní s predchádzajúcim účtovným obdobím mierny nárast o 5 087,8 mil. Sk. Na tomto náraste majetku sa v podstatnej miere podieľalo zvýšenie obežného majetku o 10 946,9 mil. Sk a to najmä vo forme pohľadávok a krátkodobého finančného majetku, zatiaľ čo neobežný majetok sa medziročne znížil o 5 859,1 mil. Sk.</w:t>
      </w:r>
    </w:p>
    <w:p w:rsidR="00B534F8" w:rsidP="00B534F8">
      <w:pPr>
        <w:spacing w:line="360" w:lineRule="auto"/>
        <w:ind w:firstLine="360"/>
        <w:jc w:val="both"/>
        <w:rPr>
          <w:rFonts w:ascii="Times New Roman" w:hAnsi="Times New Roman" w:cs="Times New Roman"/>
        </w:rPr>
      </w:pPr>
      <w:r w:rsidRPr="00FE04E6">
        <w:rPr>
          <w:rFonts w:ascii="Times New Roman" w:hAnsi="Times New Roman" w:cs="Times New Roman"/>
        </w:rPr>
        <w:t xml:space="preserve">V porovnaní </w:t>
      </w:r>
      <w:r>
        <w:rPr>
          <w:rFonts w:ascii="Times New Roman" w:hAnsi="Times New Roman" w:cs="Times New Roman"/>
        </w:rPr>
        <w:t>s predchádzajúcim účtovným obdobím sa v rámci neobežného majetku zvýšil dlhodobý hmotný a dlhodobý nehmotný majetok o 2 693,4 mil. Sk, zatiaľ čo dlhodobý finančný majetok sa znížil o 8 552,5 mil. Sk.</w:t>
      </w:r>
    </w:p>
    <w:p w:rsidR="00B534F8" w:rsidP="00B534F8">
      <w:pPr>
        <w:spacing w:line="360" w:lineRule="auto"/>
        <w:ind w:firstLine="360"/>
        <w:jc w:val="both"/>
        <w:rPr>
          <w:rFonts w:ascii="Times New Roman" w:hAnsi="Times New Roman" w:cs="Times New Roman"/>
        </w:rPr>
      </w:pPr>
      <w:r>
        <w:rPr>
          <w:rFonts w:ascii="Times New Roman" w:hAnsi="Times New Roman" w:cs="Times New Roman"/>
        </w:rPr>
        <w:t>Zníženie dlhodobého finančného majetku je vykázané v kapitolách Úradu vlády SR, Ministerstva financií SR, Ministerstva zdravotníctva SR, Ministerstva dopravy, pôšt a telekomunikácií SR, Ministerstva pôdohospodárstva SR a v kapitole VPS. V týchto kapitolách došlo k zníženiu finančného majetku vo forme podielov a podielových cenných papierov. Medziročné zvýšenie dlhodobého finančného majetku bolo vykázané v kapitolách Ministerstva hospodárstva SR a Ministerstva obrany SR z dôvodu vkladu peňažných prostriedkov do základného imania obchodných spoločností v ktorých tieto ministerstvá vykonávajú svoje akcionárske práva. Na medziročnej zmene dlhodobého finančného majetku sa jednotlivé rozpočtové kapitoly podieľajú takto (v mil. Sk ):</w:t>
      </w:r>
    </w:p>
    <w:p w:rsidR="00B534F8" w:rsidP="006E21FF">
      <w:pPr>
        <w:spacing w:line="360" w:lineRule="auto"/>
        <w:ind w:firstLine="360"/>
        <w:jc w:val="both"/>
        <w:rPr>
          <w:rFonts w:ascii="Times New Roman" w:hAnsi="Times New Roman" w:cs="Times New Roman"/>
        </w:rPr>
      </w:pPr>
      <w:r>
        <w:rPr>
          <w:rFonts w:ascii="Times New Roman" w:hAnsi="Times New Roman" w:cs="Times New Roman"/>
        </w:rPr>
        <w:t>- kapitola ministerstva financií</w:t>
        <w:tab/>
        <w:tab/>
        <w:tab/>
        <w:tab/>
        <w:tab/>
        <w:tab/>
        <w:t xml:space="preserve">- 1 795,5 </w:t>
      </w:r>
    </w:p>
    <w:p w:rsidR="00B534F8" w:rsidP="006E21FF">
      <w:pPr>
        <w:spacing w:line="360" w:lineRule="auto"/>
        <w:ind w:firstLine="360"/>
        <w:jc w:val="both"/>
        <w:rPr>
          <w:rFonts w:ascii="Times New Roman" w:hAnsi="Times New Roman" w:cs="Times New Roman"/>
        </w:rPr>
      </w:pPr>
      <w:r>
        <w:rPr>
          <w:rFonts w:ascii="Times New Roman" w:hAnsi="Times New Roman" w:cs="Times New Roman"/>
        </w:rPr>
        <w:t>- kapitol</w:t>
      </w:r>
      <w:r w:rsidR="006E21FF">
        <w:rPr>
          <w:rFonts w:ascii="Times New Roman" w:hAnsi="Times New Roman" w:cs="Times New Roman"/>
        </w:rPr>
        <w:t>a ministerstva zdravotníctva</w:t>
        <w:tab/>
        <w:tab/>
        <w:tab/>
      </w:r>
      <w:r>
        <w:rPr>
          <w:rFonts w:ascii="Times New Roman" w:hAnsi="Times New Roman" w:cs="Times New Roman"/>
        </w:rPr>
        <w:tab/>
        <w:tab/>
        <w:t>- 1 718,1</w:t>
      </w:r>
    </w:p>
    <w:p w:rsidR="00B534F8" w:rsidP="006E21FF">
      <w:pPr>
        <w:spacing w:line="360" w:lineRule="auto"/>
        <w:ind w:firstLine="360"/>
        <w:jc w:val="both"/>
        <w:rPr>
          <w:rFonts w:ascii="Times New Roman" w:hAnsi="Times New Roman" w:cs="Times New Roman"/>
        </w:rPr>
      </w:pPr>
      <w:r>
        <w:rPr>
          <w:rFonts w:ascii="Times New Roman" w:hAnsi="Times New Roman" w:cs="Times New Roman"/>
        </w:rPr>
        <w:t>- kapitola ministerstva dop</w:t>
      </w:r>
      <w:r w:rsidR="006E21FF">
        <w:rPr>
          <w:rFonts w:ascii="Times New Roman" w:hAnsi="Times New Roman" w:cs="Times New Roman"/>
        </w:rPr>
        <w:t xml:space="preserve">ravy, pôšt a telekomunikácií </w:t>
        <w:tab/>
        <w:tab/>
      </w:r>
      <w:r>
        <w:rPr>
          <w:rFonts w:ascii="Times New Roman" w:hAnsi="Times New Roman" w:cs="Times New Roman"/>
        </w:rPr>
        <w:t>- 6 497,4</w:t>
      </w:r>
    </w:p>
    <w:p w:rsidR="00B534F8" w:rsidP="006E21FF">
      <w:pPr>
        <w:spacing w:line="360" w:lineRule="auto"/>
        <w:ind w:firstLine="360"/>
        <w:jc w:val="both"/>
        <w:rPr>
          <w:rFonts w:ascii="Times New Roman" w:hAnsi="Times New Roman" w:cs="Times New Roman"/>
        </w:rPr>
      </w:pPr>
      <w:r w:rsidR="006E21FF">
        <w:rPr>
          <w:rFonts w:ascii="Times New Roman" w:hAnsi="Times New Roman" w:cs="Times New Roman"/>
        </w:rPr>
        <w:t>- kapitola VPS</w:t>
        <w:tab/>
        <w:tab/>
        <w:tab/>
        <w:tab/>
        <w:tab/>
        <w:tab/>
        <w:tab/>
        <w:tab/>
      </w:r>
      <w:r>
        <w:rPr>
          <w:rFonts w:ascii="Times New Roman" w:hAnsi="Times New Roman" w:cs="Times New Roman"/>
        </w:rPr>
        <w:t>- 1 974,1</w:t>
      </w:r>
    </w:p>
    <w:p w:rsidR="00B534F8" w:rsidP="006E21FF">
      <w:pPr>
        <w:spacing w:line="360" w:lineRule="auto"/>
        <w:ind w:firstLine="360"/>
        <w:jc w:val="both"/>
        <w:rPr>
          <w:rFonts w:ascii="Times New Roman" w:hAnsi="Times New Roman" w:cs="Times New Roman"/>
        </w:rPr>
      </w:pPr>
      <w:r>
        <w:rPr>
          <w:rFonts w:ascii="Times New Roman" w:hAnsi="Times New Roman" w:cs="Times New Roman"/>
        </w:rPr>
        <w:t>- kapitola minister</w:t>
      </w:r>
      <w:r w:rsidR="006E21FF">
        <w:rPr>
          <w:rFonts w:ascii="Times New Roman" w:hAnsi="Times New Roman" w:cs="Times New Roman"/>
        </w:rPr>
        <w:t>stva pôdohospodárstva</w:t>
        <w:tab/>
        <w:tab/>
        <w:tab/>
        <w:tab/>
        <w:t xml:space="preserve">    </w:t>
      </w:r>
      <w:r>
        <w:rPr>
          <w:rFonts w:ascii="Times New Roman" w:hAnsi="Times New Roman" w:cs="Times New Roman"/>
        </w:rPr>
        <w:t xml:space="preserve">   - 2,7</w:t>
      </w:r>
    </w:p>
    <w:p w:rsidR="00B534F8" w:rsidP="006E21FF">
      <w:pPr>
        <w:spacing w:line="360" w:lineRule="auto"/>
        <w:ind w:firstLine="360"/>
        <w:jc w:val="both"/>
        <w:rPr>
          <w:rFonts w:ascii="Times New Roman" w:hAnsi="Times New Roman" w:cs="Times New Roman"/>
        </w:rPr>
      </w:pPr>
      <w:r>
        <w:rPr>
          <w:rFonts w:ascii="Times New Roman" w:hAnsi="Times New Roman" w:cs="Times New Roman"/>
        </w:rPr>
        <w:t>- kapito</w:t>
      </w:r>
      <w:r w:rsidR="006E21FF">
        <w:rPr>
          <w:rFonts w:ascii="Times New Roman" w:hAnsi="Times New Roman" w:cs="Times New Roman"/>
        </w:rPr>
        <w:t>la úradu vlády</w:t>
        <w:tab/>
        <w:tab/>
        <w:tab/>
        <w:tab/>
        <w:tab/>
        <w:tab/>
        <w:tab/>
        <w:t xml:space="preserve">    </w:t>
      </w:r>
      <w:r>
        <w:rPr>
          <w:rFonts w:ascii="Times New Roman" w:hAnsi="Times New Roman" w:cs="Times New Roman"/>
        </w:rPr>
        <w:t xml:space="preserve">   - 0,2</w:t>
      </w:r>
    </w:p>
    <w:p w:rsidR="00B534F8" w:rsidP="006E21FF">
      <w:pPr>
        <w:spacing w:line="360" w:lineRule="auto"/>
        <w:ind w:firstLine="360"/>
        <w:jc w:val="both"/>
        <w:rPr>
          <w:rFonts w:ascii="Times New Roman" w:hAnsi="Times New Roman" w:cs="Times New Roman"/>
        </w:rPr>
      </w:pPr>
      <w:r>
        <w:rPr>
          <w:rFonts w:ascii="Times New Roman" w:hAnsi="Times New Roman" w:cs="Times New Roman"/>
        </w:rPr>
        <w:t>- ka</w:t>
      </w:r>
      <w:r w:rsidR="006E21FF">
        <w:rPr>
          <w:rFonts w:ascii="Times New Roman" w:hAnsi="Times New Roman" w:cs="Times New Roman"/>
        </w:rPr>
        <w:t>pitola ministerstva obrany</w:t>
        <w:tab/>
        <w:tab/>
        <w:tab/>
        <w:tab/>
        <w:tab/>
        <w:tab/>
      </w:r>
      <w:r>
        <w:rPr>
          <w:rFonts w:ascii="Times New Roman" w:hAnsi="Times New Roman" w:cs="Times New Roman"/>
        </w:rPr>
        <w:t>+</w:t>
      </w:r>
      <w:r w:rsidR="006E21FF">
        <w:rPr>
          <w:rFonts w:ascii="Times New Roman" w:hAnsi="Times New Roman" w:cs="Times New Roman"/>
        </w:rPr>
        <w:t xml:space="preserve"> </w:t>
      </w:r>
      <w:r>
        <w:rPr>
          <w:rFonts w:ascii="Times New Roman" w:hAnsi="Times New Roman" w:cs="Times New Roman"/>
        </w:rPr>
        <w:t>2 245,4</w:t>
      </w:r>
    </w:p>
    <w:p w:rsidR="00B534F8" w:rsidP="006E21FF">
      <w:pPr>
        <w:spacing w:line="360" w:lineRule="auto"/>
        <w:ind w:firstLine="360"/>
        <w:jc w:val="both"/>
        <w:rPr>
          <w:rFonts w:ascii="Times New Roman" w:hAnsi="Times New Roman" w:cs="Times New Roman"/>
        </w:rPr>
      </w:pPr>
      <w:r>
        <w:rPr>
          <w:rFonts w:ascii="Times New Roman" w:hAnsi="Times New Roman" w:cs="Times New Roman"/>
        </w:rPr>
        <w:t xml:space="preserve">- kapitola </w:t>
      </w:r>
      <w:r w:rsidR="006E21FF">
        <w:rPr>
          <w:rFonts w:ascii="Times New Roman" w:hAnsi="Times New Roman" w:cs="Times New Roman"/>
        </w:rPr>
        <w:t>ministerstva hospodárstva</w:t>
        <w:tab/>
        <w:tab/>
        <w:tab/>
        <w:tab/>
        <w:tab/>
        <w:t xml:space="preserve">+ </w:t>
      </w:r>
      <w:r>
        <w:rPr>
          <w:rFonts w:ascii="Times New Roman" w:hAnsi="Times New Roman" w:cs="Times New Roman"/>
        </w:rPr>
        <w:t>1 190,1</w:t>
      </w:r>
    </w:p>
    <w:p w:rsidR="00B534F8" w:rsidP="00B534F8">
      <w:pPr>
        <w:spacing w:line="360" w:lineRule="auto"/>
        <w:jc w:val="both"/>
        <w:rPr>
          <w:rFonts w:ascii="Times New Roman" w:hAnsi="Times New Roman" w:cs="Times New Roman"/>
        </w:rPr>
      </w:pPr>
    </w:p>
    <w:p w:rsidR="00B534F8" w:rsidP="00B534F8">
      <w:pPr>
        <w:spacing w:line="360" w:lineRule="auto"/>
        <w:jc w:val="both"/>
        <w:rPr>
          <w:rFonts w:ascii="Times New Roman" w:hAnsi="Times New Roman" w:cs="Times New Roman"/>
        </w:rPr>
      </w:pPr>
      <w:r>
        <w:rPr>
          <w:rFonts w:ascii="Times New Roman" w:hAnsi="Times New Roman" w:cs="Times New Roman"/>
        </w:rPr>
        <w:tab/>
        <w:t>V</w:t>
      </w:r>
      <w:r w:rsidR="00F410C9">
        <w:rPr>
          <w:rFonts w:ascii="Times New Roman" w:hAnsi="Times New Roman" w:cs="Times New Roman"/>
        </w:rPr>
        <w:t xml:space="preserve"> </w:t>
      </w:r>
      <w:r>
        <w:rPr>
          <w:rFonts w:ascii="Times New Roman" w:hAnsi="Times New Roman" w:cs="Times New Roman"/>
        </w:rPr>
        <w:t>rámci obežného majetku v porovnaní s predchádzajúcim rokom došlo k týmto zmenám:</w:t>
      </w:r>
    </w:p>
    <w:p w:rsidR="00B534F8" w:rsidP="00B534F8">
      <w:pPr>
        <w:numPr>
          <w:ilvl w:val="0"/>
          <w:numId w:val="22"/>
        </w:numPr>
        <w:tabs>
          <w:tab w:val="left" w:pos="720"/>
        </w:tabs>
        <w:spacing w:line="360" w:lineRule="auto"/>
        <w:jc w:val="both"/>
        <w:rPr>
          <w:rFonts w:ascii="Times New Roman" w:hAnsi="Times New Roman" w:cs="Times New Roman"/>
        </w:rPr>
      </w:pPr>
      <w:r>
        <w:rPr>
          <w:rFonts w:ascii="Times New Roman" w:hAnsi="Times New Roman" w:cs="Times New Roman"/>
        </w:rPr>
        <w:t>zásoby štátnych rozpočtových organizácií sa znížili celkom o 1 927,0 mil. Sk, z toho materiál na sklade sa znížil o 2 804,0 mil. Sk a ostatné druhy zásob sa zvýšili o 877,0 mil. Sk,</w:t>
      </w:r>
    </w:p>
    <w:p w:rsidR="00B534F8" w:rsidP="00B534F8">
      <w:pPr>
        <w:numPr>
          <w:ilvl w:val="0"/>
          <w:numId w:val="22"/>
        </w:numPr>
        <w:tabs>
          <w:tab w:val="left" w:pos="720"/>
        </w:tabs>
        <w:spacing w:line="360" w:lineRule="auto"/>
        <w:jc w:val="both"/>
        <w:rPr>
          <w:rFonts w:ascii="Times New Roman" w:hAnsi="Times New Roman" w:cs="Times New Roman"/>
        </w:rPr>
      </w:pPr>
      <w:r>
        <w:rPr>
          <w:rFonts w:ascii="Times New Roman" w:hAnsi="Times New Roman" w:cs="Times New Roman"/>
        </w:rPr>
        <w:t>pohľadávky sa zvýšili o 45 787 mil. Sk, z toho v kapitole VPS o 42 382,2 mil. Sk a v ostatných rozpočtových kapitolách o 3 404,8 mil. Sk. V kapitole VPS sa zvýšila celková suma pohľadávok i napriek medziročnému poklesu pohľadávok z colných a daňových príjmov o 4 987,2 mil. Sk,</w:t>
      </w:r>
    </w:p>
    <w:p w:rsidR="00B534F8" w:rsidP="00B534F8">
      <w:pPr>
        <w:numPr>
          <w:ilvl w:val="0"/>
          <w:numId w:val="22"/>
        </w:numPr>
        <w:tabs>
          <w:tab w:val="left" w:pos="720"/>
        </w:tabs>
        <w:spacing w:line="360" w:lineRule="auto"/>
        <w:jc w:val="both"/>
        <w:rPr>
          <w:rFonts w:ascii="Times New Roman" w:hAnsi="Times New Roman" w:cs="Times New Roman"/>
        </w:rPr>
      </w:pPr>
      <w:r>
        <w:rPr>
          <w:rFonts w:ascii="Times New Roman" w:hAnsi="Times New Roman" w:cs="Times New Roman"/>
        </w:rPr>
        <w:t>krátkodobý finančný majetok sa zvýšil o 822,6 mil. Sk. Tento majetok štátnych rozpočtových organizácií v úhrnnej výške 102 725,5 mil. Sk tvorili krátkodobé finančné investície nadobudnuté do portfólia  MF SR v kapitole VPS 16 450,0 mil. Sk a peňažné prostriedky na mimorozpočtových bankových účtoch vrátane  hotovosti rozpočtových kapitol v sume 86 275,5 mil. Sk. Najväčší objem peňažných prostriedkov na mimorozpočtových bankových účtoch je vykázaný v rozpočtovej kapitole VPS vo výške 63 687,2 mil. Sk. Časť týchto prostriedkov v kapitole VPS bola spravovaná ministerstvom financií v sume 61 984,4 mil. Sk a zostávajúcu časť vo výške 1 702,8 mil. Sk tvorili prostriedky ostatných rozpočtových organizácií tejto kapitoly. Všetky ostatné rozpočtové kapitoly vykázali v rámci krátkodobého finančného majetku svoje peňažné prostriedky na bankových účtoch vo výške 22 588,3 mil. Sk.</w:t>
      </w:r>
    </w:p>
    <w:p w:rsidR="00B534F8" w:rsidP="00B534F8">
      <w:pPr>
        <w:numPr>
          <w:ilvl w:val="0"/>
          <w:numId w:val="22"/>
        </w:numPr>
        <w:tabs>
          <w:tab w:val="left" w:pos="720"/>
        </w:tabs>
        <w:spacing w:line="360" w:lineRule="auto"/>
        <w:jc w:val="both"/>
        <w:rPr>
          <w:rFonts w:ascii="Times New Roman" w:hAnsi="Times New Roman" w:cs="Times New Roman"/>
        </w:rPr>
      </w:pPr>
      <w:r>
        <w:rPr>
          <w:rFonts w:ascii="Times New Roman" w:hAnsi="Times New Roman" w:cs="Times New Roman"/>
        </w:rPr>
        <w:t>poskytnuté návratné finančné výpomoci sa znížili v kapitole VPS o 33 735,7 mil. Sk, z toho voči subjektom verejnej správy o 5 865,4 mil. Sk, voči podnikateľským subjektom o 2 591,5 mil. Sk a voči Slovenskej inkasnej spoločnosti, s.r.o. Bratislava o 25 278,8 mil. Sk</w:t>
      </w:r>
    </w:p>
    <w:p w:rsidR="00B534F8" w:rsidP="004D0F37">
      <w:pPr>
        <w:spacing w:line="360" w:lineRule="auto"/>
        <w:ind w:firstLine="720"/>
        <w:jc w:val="both"/>
        <w:rPr>
          <w:rFonts w:ascii="Times New Roman" w:hAnsi="Times New Roman" w:cs="Times New Roman"/>
        </w:rPr>
      </w:pPr>
      <w:r>
        <w:rPr>
          <w:rFonts w:ascii="Times New Roman" w:hAnsi="Times New Roman" w:cs="Times New Roman"/>
        </w:rPr>
        <w:t>Stav opotrebenia majetku v štátnych rozpočtových organizácií ku koncu roka 2006 vyjadrený podielom oprávok k obstarávacej cene tohto majetku dosiahol úroveň opotrebenia u dlhodobého nehmotného majetku 48,0 % (v roku 2005: 40,2 %) a u dlhodobého hmotného majetku 58,3 % (v roku 2005 : 57,3 %).</w:t>
      </w:r>
    </w:p>
    <w:p w:rsidR="00B534F8" w:rsidP="00B534F8">
      <w:pPr>
        <w:spacing w:line="360" w:lineRule="auto"/>
        <w:ind w:left="708"/>
        <w:jc w:val="both"/>
        <w:rPr>
          <w:rFonts w:ascii="Times New Roman" w:hAnsi="Times New Roman" w:cs="Times New Roman"/>
        </w:rPr>
      </w:pPr>
    </w:p>
    <w:p w:rsidR="00B534F8" w:rsidRPr="0001680D" w:rsidP="00B534F8">
      <w:pPr>
        <w:numPr>
          <w:ilvl w:val="0"/>
          <w:numId w:val="38"/>
        </w:numPr>
        <w:tabs>
          <w:tab w:val="left" w:pos="360"/>
        </w:tabs>
        <w:spacing w:line="360" w:lineRule="auto"/>
        <w:jc w:val="both"/>
        <w:rPr>
          <w:rFonts w:ascii="Times New Roman" w:hAnsi="Times New Roman" w:cs="Times New Roman"/>
          <w:u w:val="single"/>
        </w:rPr>
      </w:pPr>
      <w:r w:rsidRPr="0001680D">
        <w:rPr>
          <w:rFonts w:ascii="Times New Roman" w:hAnsi="Times New Roman" w:cs="Times New Roman"/>
          <w:u w:val="single"/>
        </w:rPr>
        <w:t>Pasíva štátnych rozpočtových organizácií</w:t>
      </w:r>
      <w:r>
        <w:rPr>
          <w:rFonts w:ascii="Times New Roman" w:hAnsi="Times New Roman" w:cs="Times New Roman"/>
          <w:u w:val="single"/>
        </w:rPr>
        <w:t xml:space="preserve"> </w:t>
      </w:r>
      <w:r>
        <w:rPr>
          <w:rFonts w:ascii="Times New Roman" w:hAnsi="Times New Roman" w:cs="Times New Roman"/>
        </w:rPr>
        <w:t>zaznamenali k 31.12.2006 zhodne s aktívami zvýšenie o 5 087,8 mil. Sk, pričom vlastné zdroje krytia majetku sa znížili v porovnaní s predchádzajúcim účtovným obdobím o 71 030,8 mil. Sk a naopak cudzie zdroje krytia majetku sa zvýšili o 76 118,6 mil. Sk. Zníženie vlastných zdrojov výrazne ovplyvnil pokles stavu fondov štátnych rozpočtových organizácií o 69 794,4 mil. Sk a v menšej miere aj zníženie medziročného výsledku hospodárenia štátnych rozpočtových organizácií o 1 236,4 mil. Sk.</w:t>
      </w:r>
    </w:p>
    <w:p w:rsidR="00B534F8" w:rsidP="00B534F8">
      <w:pPr>
        <w:spacing w:line="360" w:lineRule="auto"/>
        <w:jc w:val="both"/>
        <w:rPr>
          <w:rFonts w:ascii="Times New Roman" w:hAnsi="Times New Roman" w:cs="Times New Roman"/>
        </w:rPr>
      </w:pPr>
    </w:p>
    <w:p w:rsidR="00B534F8" w:rsidP="00B534F8">
      <w:pPr>
        <w:spacing w:line="360" w:lineRule="auto"/>
        <w:ind w:firstLine="708"/>
        <w:jc w:val="both"/>
        <w:rPr>
          <w:rFonts w:ascii="Times New Roman" w:hAnsi="Times New Roman" w:cs="Times New Roman"/>
        </w:rPr>
      </w:pPr>
      <w:r w:rsidRPr="0001680D">
        <w:rPr>
          <w:rFonts w:ascii="Times New Roman" w:hAnsi="Times New Roman" w:cs="Times New Roman"/>
        </w:rPr>
        <w:t>V rámci cudzích zdrojov krytia majetku sa zvýšili dlhodobé z</w:t>
      </w:r>
      <w:r>
        <w:rPr>
          <w:rFonts w:ascii="Times New Roman" w:hAnsi="Times New Roman" w:cs="Times New Roman"/>
        </w:rPr>
        <w:t>áväzky o 11 919,6 mil. Sk predovšetkým v dôsledku emisií štátnych dlhopisov a čerpaných úverov zo zahraničia. Medziročný nárast krátkodobých záväzkov o 69 933,7 mil. Sk bol spôsobený predovšetkým</w:t>
      </w:r>
    </w:p>
    <w:p w:rsidR="00B534F8" w:rsidP="00B534F8">
      <w:pPr>
        <w:spacing w:line="360" w:lineRule="auto"/>
        <w:jc w:val="both"/>
        <w:rPr>
          <w:rFonts w:ascii="Times New Roman" w:hAnsi="Times New Roman" w:cs="Times New Roman"/>
        </w:rPr>
      </w:pPr>
      <w:r>
        <w:rPr>
          <w:rFonts w:ascii="Times New Roman" w:hAnsi="Times New Roman" w:cs="Times New Roman"/>
        </w:rPr>
        <w:t>čerpaním krátkodobých pôžičiek od Štátnej pokladnice v rám</w:t>
      </w:r>
      <w:r w:rsidR="00A01DC4">
        <w:rPr>
          <w:rFonts w:ascii="Times New Roman" w:hAnsi="Times New Roman" w:cs="Times New Roman"/>
        </w:rPr>
        <w:t>ci uplatňovaného refinancovania, ktoré boli kompenzované pohľadávkami v kapitole VPS.</w:t>
      </w:r>
      <w:r>
        <w:rPr>
          <w:rFonts w:ascii="Times New Roman" w:hAnsi="Times New Roman" w:cs="Times New Roman"/>
        </w:rPr>
        <w:t xml:space="preserve"> Ostatné cudzie zdroje z prijatých pôžičiek sa znížili v dôsledku splatenia emitovaných štátnych pokladničných poukážok vo výške 5 742,1 mil. Sk.</w:t>
      </w:r>
    </w:p>
    <w:p w:rsidR="00B534F8" w:rsidP="00B534F8">
      <w:pPr>
        <w:spacing w:line="360" w:lineRule="auto"/>
        <w:jc w:val="both"/>
        <w:rPr>
          <w:rFonts w:ascii="Times New Roman" w:hAnsi="Times New Roman" w:cs="Times New Roman"/>
        </w:rPr>
      </w:pPr>
    </w:p>
    <w:p w:rsidR="00B534F8" w:rsidRPr="004843D5" w:rsidP="00B534F8">
      <w:pPr>
        <w:numPr>
          <w:ilvl w:val="0"/>
          <w:numId w:val="38"/>
        </w:numPr>
        <w:tabs>
          <w:tab w:val="left" w:pos="360"/>
        </w:tabs>
        <w:spacing w:before="240" w:after="120" w:line="360" w:lineRule="auto"/>
        <w:jc w:val="both"/>
        <w:rPr>
          <w:rFonts w:ascii="Times New Roman" w:hAnsi="Times New Roman" w:cs="Times New Roman"/>
        </w:rPr>
      </w:pPr>
      <w:r w:rsidRPr="0052591C">
        <w:rPr>
          <w:rFonts w:ascii="Times New Roman" w:hAnsi="Times New Roman" w:cs="Times New Roman"/>
          <w:u w:val="single"/>
        </w:rPr>
        <w:t>Odhadovaná reálna hodnota majetku štátnych rozpočtových organizácií</w:t>
      </w:r>
      <w:r>
        <w:rPr>
          <w:rFonts w:ascii="Times New Roman" w:hAnsi="Times New Roman" w:cs="Times New Roman"/>
          <w:u w:val="single"/>
        </w:rPr>
        <w:t xml:space="preserve"> </w:t>
      </w:r>
      <w:r w:rsidRPr="004843D5">
        <w:rPr>
          <w:rFonts w:ascii="Times New Roman" w:hAnsi="Times New Roman" w:cs="Times New Roman"/>
        </w:rPr>
        <w:t>vychádzajúca z agregovaných súvah k 31.12.200</w:t>
      </w:r>
      <w:r>
        <w:rPr>
          <w:rFonts w:ascii="Times New Roman" w:hAnsi="Times New Roman" w:cs="Times New Roman"/>
        </w:rPr>
        <w:t>6,</w:t>
      </w:r>
      <w:r w:rsidRPr="004843D5">
        <w:rPr>
          <w:rFonts w:ascii="Times New Roman" w:hAnsi="Times New Roman" w:cs="Times New Roman"/>
        </w:rPr>
        <w:t xml:space="preserve"> predstavuje </w:t>
      </w:r>
      <w:r>
        <w:rPr>
          <w:rFonts w:ascii="Times New Roman" w:hAnsi="Times New Roman" w:cs="Times New Roman"/>
        </w:rPr>
        <w:t xml:space="preserve">529 730 </w:t>
      </w:r>
      <w:r w:rsidRPr="004843D5">
        <w:rPr>
          <w:rFonts w:ascii="Times New Roman" w:hAnsi="Times New Roman" w:cs="Times New Roman"/>
        </w:rPr>
        <w:t>mil. Sk, čo je v porovnaní s účtovnou hodnotou majetku v netto vyjadrení menej o</w:t>
      </w:r>
      <w:r>
        <w:rPr>
          <w:rFonts w:ascii="Times New Roman" w:hAnsi="Times New Roman" w:cs="Times New Roman"/>
        </w:rPr>
        <w:t xml:space="preserve"> 54 516 </w:t>
      </w:r>
      <w:r w:rsidRPr="004843D5">
        <w:rPr>
          <w:rFonts w:ascii="Times New Roman" w:hAnsi="Times New Roman" w:cs="Times New Roman"/>
        </w:rPr>
        <w:t>mil. Sk. V porovnaní s brutto hodnotu majetku je odhad</w:t>
      </w:r>
      <w:r>
        <w:rPr>
          <w:rFonts w:ascii="Times New Roman" w:hAnsi="Times New Roman" w:cs="Times New Roman"/>
        </w:rPr>
        <w:t>nutá</w:t>
      </w:r>
      <w:r w:rsidRPr="004843D5">
        <w:rPr>
          <w:rFonts w:ascii="Times New Roman" w:hAnsi="Times New Roman" w:cs="Times New Roman"/>
        </w:rPr>
        <w:t xml:space="preserve"> reálna hodn</w:t>
      </w:r>
      <w:r>
        <w:rPr>
          <w:rFonts w:ascii="Times New Roman" w:hAnsi="Times New Roman" w:cs="Times New Roman"/>
        </w:rPr>
        <w:t xml:space="preserve">ota majetku nižšia </w:t>
      </w:r>
      <w:r w:rsidRPr="004843D5">
        <w:rPr>
          <w:rFonts w:ascii="Times New Roman" w:hAnsi="Times New Roman" w:cs="Times New Roman"/>
        </w:rPr>
        <w:t>o</w:t>
      </w:r>
      <w:r>
        <w:rPr>
          <w:rFonts w:ascii="Times New Roman" w:hAnsi="Times New Roman" w:cs="Times New Roman"/>
        </w:rPr>
        <w:t xml:space="preserve"> 213 514 </w:t>
      </w:r>
      <w:r w:rsidRPr="004843D5">
        <w:rPr>
          <w:rFonts w:ascii="Times New Roman" w:hAnsi="Times New Roman" w:cs="Times New Roman"/>
        </w:rPr>
        <w:t xml:space="preserve">mil. Sk. </w:t>
      </w:r>
    </w:p>
    <w:p w:rsidR="00B534F8" w:rsidRPr="004843D5" w:rsidP="00B534F8">
      <w:pPr>
        <w:tabs>
          <w:tab w:val="left" w:pos="720"/>
        </w:tabs>
        <w:spacing w:before="120" w:after="120" w:line="360" w:lineRule="auto"/>
        <w:jc w:val="both"/>
        <w:rPr>
          <w:rFonts w:ascii="Times New Roman" w:hAnsi="Times New Roman" w:cs="Times New Roman"/>
        </w:rPr>
      </w:pPr>
      <w:r w:rsidRPr="004843D5">
        <w:rPr>
          <w:rFonts w:ascii="Times New Roman" w:hAnsi="Times New Roman" w:cs="Times New Roman"/>
        </w:rPr>
        <w:tab/>
        <w:t>Odhad</w:t>
      </w:r>
      <w:r>
        <w:rPr>
          <w:rFonts w:ascii="Times New Roman" w:hAnsi="Times New Roman" w:cs="Times New Roman"/>
        </w:rPr>
        <w:t>nuté</w:t>
      </w:r>
      <w:r w:rsidRPr="004843D5">
        <w:rPr>
          <w:rFonts w:ascii="Times New Roman" w:hAnsi="Times New Roman" w:cs="Times New Roman"/>
        </w:rPr>
        <w:t xml:space="preserve"> zníženie hodnoty majetku štátnych rozpočtových organizácií ovplyvnilo niekoľko faktorov:</w:t>
      </w:r>
    </w:p>
    <w:p w:rsidR="00B534F8" w:rsidRPr="004843D5" w:rsidP="00B534F8">
      <w:pPr>
        <w:spacing w:line="360" w:lineRule="auto"/>
        <w:jc w:val="both"/>
        <w:rPr>
          <w:rFonts w:ascii="Times New Roman" w:hAnsi="Times New Roman" w:cs="Times New Roman"/>
        </w:rPr>
      </w:pPr>
      <w:r w:rsidRPr="004843D5">
        <w:rPr>
          <w:rFonts w:ascii="Times New Roman" w:hAnsi="Times New Roman" w:cs="Times New Roman"/>
        </w:rPr>
        <w:t xml:space="preserve">     a) precenenie dlhodobého finančného majetku v celkovom objeme </w:t>
      </w:r>
      <w:r>
        <w:rPr>
          <w:rFonts w:ascii="Times New Roman" w:hAnsi="Times New Roman" w:cs="Times New Roman"/>
        </w:rPr>
        <w:t>7 545</w:t>
      </w:r>
      <w:r w:rsidRPr="004843D5">
        <w:rPr>
          <w:rFonts w:ascii="Times New Roman" w:hAnsi="Times New Roman" w:cs="Times New Roman"/>
        </w:rPr>
        <w:t xml:space="preserve"> mil. Sk, a to najmä zníženie hodnoty akcií v spoločnosti </w:t>
      </w:r>
      <w:r>
        <w:rPr>
          <w:rFonts w:ascii="Times New Roman" w:hAnsi="Times New Roman" w:cs="Times New Roman"/>
        </w:rPr>
        <w:t>Slovenská konsolidačná,</w:t>
      </w:r>
      <w:r w:rsidRPr="004843D5">
        <w:rPr>
          <w:rFonts w:ascii="Times New Roman" w:hAnsi="Times New Roman" w:cs="Times New Roman"/>
        </w:rPr>
        <w:t xml:space="preserve"> a.s. o</w:t>
      </w:r>
      <w:r>
        <w:rPr>
          <w:rFonts w:ascii="Times New Roman" w:hAnsi="Times New Roman" w:cs="Times New Roman"/>
        </w:rPr>
        <w:t xml:space="preserve"> 5 719 </w:t>
      </w:r>
      <w:r w:rsidRPr="004843D5">
        <w:rPr>
          <w:rFonts w:ascii="Times New Roman" w:hAnsi="Times New Roman" w:cs="Times New Roman"/>
        </w:rPr>
        <w:t>mil. Sk a v podnikoch ZŤS  o 1</w:t>
      </w:r>
      <w:r>
        <w:rPr>
          <w:rFonts w:ascii="Times New Roman" w:hAnsi="Times New Roman" w:cs="Times New Roman"/>
        </w:rPr>
        <w:t xml:space="preserve"> 826 </w:t>
      </w:r>
      <w:r w:rsidRPr="004843D5">
        <w:rPr>
          <w:rFonts w:ascii="Times New Roman" w:hAnsi="Times New Roman" w:cs="Times New Roman"/>
        </w:rPr>
        <w:t>mil. Sk</w:t>
      </w:r>
    </w:p>
    <w:p w:rsidR="00B534F8" w:rsidRPr="004843D5" w:rsidP="00B534F8">
      <w:pPr>
        <w:tabs>
          <w:tab w:val="left" w:pos="1080"/>
        </w:tabs>
        <w:spacing w:line="360" w:lineRule="auto"/>
        <w:jc w:val="both"/>
        <w:rPr>
          <w:rFonts w:ascii="Times New Roman" w:hAnsi="Times New Roman" w:cs="Times New Roman"/>
        </w:rPr>
      </w:pPr>
      <w:r w:rsidRPr="004843D5">
        <w:rPr>
          <w:rFonts w:ascii="Times New Roman" w:hAnsi="Times New Roman" w:cs="Times New Roman"/>
        </w:rPr>
        <w:t xml:space="preserve">     b) prehodnotenie pohľadávok a návratných finančných výpomocí v celkovom objeme     </w:t>
      </w:r>
      <w:r>
        <w:rPr>
          <w:rFonts w:ascii="Times New Roman" w:hAnsi="Times New Roman" w:cs="Times New Roman"/>
        </w:rPr>
        <w:t xml:space="preserve">46 971 </w:t>
      </w:r>
      <w:r w:rsidRPr="004843D5">
        <w:rPr>
          <w:rFonts w:ascii="Times New Roman" w:hAnsi="Times New Roman" w:cs="Times New Roman"/>
        </w:rPr>
        <w:t>mil. Sk, v tom:</w:t>
      </w:r>
    </w:p>
    <w:p w:rsidR="00B534F8" w:rsidRPr="004843D5" w:rsidP="00B534F8">
      <w:pPr>
        <w:tabs>
          <w:tab w:val="left" w:pos="1440"/>
        </w:tabs>
        <w:spacing w:line="360" w:lineRule="auto"/>
        <w:jc w:val="both"/>
        <w:rPr>
          <w:rFonts w:ascii="Times New Roman" w:hAnsi="Times New Roman" w:cs="Times New Roman"/>
        </w:rPr>
      </w:pPr>
      <w:r w:rsidRPr="004843D5">
        <w:rPr>
          <w:rFonts w:ascii="Arial" w:hAnsi="Arial" w:cs="Arial"/>
        </w:rPr>
        <w:t xml:space="preserve">     </w:t>
      </w:r>
      <w:r w:rsidR="005D061B">
        <w:rPr>
          <w:rFonts w:ascii="Arial" w:hAnsi="Arial" w:cs="Arial"/>
        </w:rPr>
        <w:t xml:space="preserve">- </w:t>
      </w:r>
      <w:r w:rsidRPr="004843D5">
        <w:rPr>
          <w:rFonts w:ascii="Times New Roman" w:hAnsi="Times New Roman" w:cs="Times New Roman"/>
        </w:rPr>
        <w:t>prehodnotenie návratnosti pohľadávok voči zahraničiu o</w:t>
      </w:r>
      <w:r>
        <w:rPr>
          <w:rFonts w:ascii="Times New Roman" w:hAnsi="Times New Roman" w:cs="Times New Roman"/>
        </w:rPr>
        <w:t> 8 332 mil. Sk v dôsledku kurzových rozdielov a odpustenia pohľadávok,</w:t>
      </w:r>
    </w:p>
    <w:p w:rsidR="00B534F8" w:rsidP="00B534F8">
      <w:pPr>
        <w:tabs>
          <w:tab w:val="left" w:pos="1440"/>
        </w:tabs>
        <w:spacing w:line="360" w:lineRule="auto"/>
        <w:jc w:val="both"/>
        <w:rPr>
          <w:rFonts w:ascii="Times New Roman" w:hAnsi="Times New Roman" w:cs="Times New Roman"/>
        </w:rPr>
      </w:pPr>
      <w:r w:rsidR="005D061B">
        <w:rPr>
          <w:rFonts w:ascii="Times New Roman" w:hAnsi="Times New Roman" w:cs="Times New Roman"/>
        </w:rPr>
        <w:t xml:space="preserve">     - </w:t>
      </w:r>
      <w:r w:rsidRPr="004843D5">
        <w:rPr>
          <w:rFonts w:ascii="Times New Roman" w:hAnsi="Times New Roman" w:cs="Times New Roman"/>
        </w:rPr>
        <w:t xml:space="preserve">prehodnotenie </w:t>
      </w:r>
      <w:r>
        <w:rPr>
          <w:rFonts w:ascii="Times New Roman" w:hAnsi="Times New Roman" w:cs="Times New Roman"/>
        </w:rPr>
        <w:t xml:space="preserve">vymožiteľnosti </w:t>
      </w:r>
      <w:r w:rsidRPr="004843D5">
        <w:rPr>
          <w:rFonts w:ascii="Times New Roman" w:hAnsi="Times New Roman" w:cs="Times New Roman"/>
        </w:rPr>
        <w:t>daňových a colných pohľadávok o</w:t>
      </w:r>
      <w:r>
        <w:rPr>
          <w:rFonts w:ascii="Times New Roman" w:hAnsi="Times New Roman" w:cs="Times New Roman"/>
        </w:rPr>
        <w:t xml:space="preserve"> 29 726 mil. Sk. </w:t>
      </w:r>
      <w:r w:rsidRPr="007E5A3B">
        <w:rPr>
          <w:rFonts w:ascii="Times New Roman" w:hAnsi="Times New Roman" w:cs="Times New Roman"/>
        </w:rPr>
        <w:t>Výpočet reálnej</w:t>
      </w:r>
      <w:r w:rsidR="00A01DC4">
        <w:rPr>
          <w:rFonts w:ascii="Times New Roman" w:hAnsi="Times New Roman" w:cs="Times New Roman"/>
        </w:rPr>
        <w:t xml:space="preserve"> </w:t>
      </w:r>
      <w:r w:rsidRPr="007E5A3B">
        <w:rPr>
          <w:rFonts w:ascii="Times New Roman" w:hAnsi="Times New Roman" w:cs="Times New Roman"/>
        </w:rPr>
        <w:t xml:space="preserve">hodnoty daňových a colných pohľadávok vychádza z analýzy ich vymožiteľnosti aplikovanej pri výpočte deficitu verejných financií za predchádzajúce roky </w:t>
      </w:r>
      <w:r>
        <w:rPr>
          <w:rFonts w:ascii="Times New Roman" w:hAnsi="Times New Roman" w:cs="Times New Roman"/>
        </w:rPr>
        <w:t>a úpravy tejto hodnoty o</w:t>
      </w:r>
      <w:r w:rsidRPr="00091D7B">
        <w:rPr>
          <w:rFonts w:ascii="Times New Roman" w:hAnsi="Times New Roman" w:cs="Times New Roman"/>
        </w:rPr>
        <w:t xml:space="preserve"> </w:t>
      </w:r>
      <w:r>
        <w:rPr>
          <w:rFonts w:ascii="Times New Roman" w:hAnsi="Times New Roman" w:cs="Times New Roman"/>
        </w:rPr>
        <w:t>odpustené a postúpené pohľadávky na Slovenskú konsolidačnú a.s.,</w:t>
      </w:r>
    </w:p>
    <w:p w:rsidR="00B534F8" w:rsidRPr="004843D5" w:rsidP="005D061B">
      <w:pPr>
        <w:tabs>
          <w:tab w:val="left" w:pos="540"/>
        </w:tabs>
        <w:spacing w:line="360" w:lineRule="auto"/>
        <w:jc w:val="both"/>
        <w:rPr>
          <w:rFonts w:ascii="Times New Roman" w:hAnsi="Times New Roman" w:cs="Times New Roman"/>
        </w:rPr>
      </w:pPr>
      <w:r w:rsidRPr="004843D5">
        <w:rPr>
          <w:rFonts w:ascii="Arial" w:hAnsi="Arial" w:cs="Arial"/>
        </w:rPr>
        <w:t xml:space="preserve">     </w:t>
      </w:r>
      <w:r w:rsidR="005D061B">
        <w:rPr>
          <w:rFonts w:ascii="Arial" w:hAnsi="Arial" w:cs="Arial"/>
        </w:rPr>
        <w:t xml:space="preserve">- </w:t>
      </w:r>
      <w:r w:rsidRPr="004843D5">
        <w:rPr>
          <w:rFonts w:ascii="Times New Roman" w:hAnsi="Times New Roman" w:cs="Times New Roman"/>
        </w:rPr>
        <w:t xml:space="preserve">prehodnotenie vymožiteľnosti návratných finančných výpomocí súvisiacich so zrealizovanými štátnymi zárukami v objeme 8 </w:t>
      </w:r>
      <w:r>
        <w:rPr>
          <w:rFonts w:ascii="Times New Roman" w:hAnsi="Times New Roman" w:cs="Times New Roman"/>
        </w:rPr>
        <w:t>913</w:t>
      </w:r>
      <w:r w:rsidRPr="004843D5">
        <w:rPr>
          <w:rFonts w:ascii="Times New Roman" w:hAnsi="Times New Roman" w:cs="Times New Roman"/>
        </w:rPr>
        <w:t xml:space="preserve"> mil. Sk. Uvedené pohľadávky sú najmä voči podnikom</w:t>
      </w:r>
      <w:r>
        <w:rPr>
          <w:rFonts w:ascii="Times New Roman" w:hAnsi="Times New Roman" w:cs="Times New Roman"/>
        </w:rPr>
        <w:t xml:space="preserve"> v konkurze a v správnom konaní.</w:t>
      </w:r>
      <w:r w:rsidRPr="004843D5">
        <w:rPr>
          <w:rFonts w:ascii="Times New Roman" w:hAnsi="Times New Roman" w:cs="Times New Roman"/>
        </w:rPr>
        <w:t xml:space="preserve">  </w:t>
      </w:r>
      <w:r>
        <w:rPr>
          <w:rFonts w:ascii="Times New Roman" w:hAnsi="Times New Roman" w:cs="Times New Roman"/>
        </w:rPr>
        <w:t xml:space="preserve"> </w:t>
      </w:r>
    </w:p>
    <w:p w:rsidR="00B534F8" w:rsidP="00B534F8">
      <w:pPr>
        <w:spacing w:before="120" w:line="360" w:lineRule="auto"/>
        <w:jc w:val="both"/>
        <w:rPr>
          <w:rFonts w:ascii="Times New Roman" w:hAnsi="Times New Roman" w:cs="Times New Roman"/>
          <w:sz w:val="20"/>
          <w:szCs w:val="20"/>
        </w:rPr>
      </w:pPr>
    </w:p>
    <w:tbl>
      <w:tblPr>
        <w:tblpPr w:leftFromText="141" w:rightFromText="141" w:vertAnchor="page" w:horzAnchor="margin" w:tblpY="1779"/>
        <w:tblW w:w="9430" w:type="dxa"/>
        <w:tblCellMar>
          <w:left w:w="70" w:type="dxa"/>
          <w:right w:w="70" w:type="dxa"/>
        </w:tblCellMar>
      </w:tblPr>
      <w:tblGrid>
        <w:gridCol w:w="2590"/>
        <w:gridCol w:w="1260"/>
        <w:gridCol w:w="1440"/>
        <w:gridCol w:w="1260"/>
        <w:gridCol w:w="1440"/>
        <w:gridCol w:w="1440"/>
      </w:tblGrid>
      <w:tr>
        <w:tblPrEx>
          <w:tblW w:w="9430" w:type="dxa"/>
          <w:tblCellMar>
            <w:left w:w="70" w:type="dxa"/>
            <w:right w:w="70" w:type="dxa"/>
          </w:tblCellMar>
        </w:tblPrEx>
        <w:trPr>
          <w:trHeight w:val="175"/>
        </w:trPr>
        <w:tc>
          <w:tcPr>
            <w:tcW w:w="9430" w:type="dxa"/>
            <w:gridSpan w:val="6"/>
            <w:tcBorders>
              <w:top w:val="nil"/>
              <w:left w:val="nil"/>
              <w:bottom w:val="nil"/>
              <w:right w:val="nil"/>
              <w:tl2br w:val="nil"/>
              <w:tr2bl w:val="nil"/>
            </w:tcBorders>
            <w:noWrap/>
            <w:textDirection w:val="lrTb"/>
            <w:vAlign w:val="bottom"/>
          </w:tcPr>
          <w:p w:rsidR="00A01DC4" w:rsidP="00A01DC4">
            <w:pPr>
              <w:rPr>
                <w:rFonts w:ascii="Times New Roman" w:hAnsi="Times New Roman" w:cs="Times New Roman"/>
                <w:sz w:val="20"/>
                <w:szCs w:val="20"/>
              </w:rPr>
            </w:pPr>
            <w:r w:rsidRPr="0057579C">
              <w:rPr>
                <w:rFonts w:ascii="Times New Roman" w:hAnsi="Times New Roman" w:cs="Times New Roman"/>
                <w:b/>
                <w:bCs/>
                <w:sz w:val="20"/>
                <w:szCs w:val="20"/>
              </w:rPr>
              <w:t>Precenenie aktív štátneho rozpočtu k 31. 12. 2006 (v mil. Sk)</w:t>
            </w:r>
          </w:p>
        </w:tc>
      </w:tr>
      <w:tr>
        <w:tblPrEx>
          <w:tblW w:w="9430" w:type="dxa"/>
          <w:tblCellMar>
            <w:left w:w="70" w:type="dxa"/>
            <w:right w:w="70" w:type="dxa"/>
          </w:tblCellMar>
        </w:tblPrEx>
        <w:trPr>
          <w:trHeight w:val="80"/>
        </w:trPr>
        <w:tc>
          <w:tcPr>
            <w:tcW w:w="9430" w:type="dxa"/>
            <w:gridSpan w:val="6"/>
            <w:tcBorders>
              <w:top w:val="nil"/>
              <w:left w:val="nil"/>
              <w:bottom w:val="single" w:sz="8" w:space="0" w:color="auto"/>
              <w:right w:val="nil"/>
              <w:tl2br w:val="nil"/>
              <w:tr2bl w:val="nil"/>
            </w:tcBorders>
            <w:noWrap/>
            <w:textDirection w:val="lrTb"/>
            <w:vAlign w:val="bottom"/>
          </w:tcPr>
          <w:p w:rsidR="00A01DC4" w:rsidP="00A01DC4">
            <w:pPr>
              <w:jc w:val="center"/>
              <w:rPr>
                <w:rFonts w:ascii="Times New Roman" w:hAnsi="Times New Roman" w:cs="Times New Roman"/>
                <w:sz w:val="20"/>
                <w:szCs w:val="20"/>
              </w:rPr>
            </w:pPr>
          </w:p>
        </w:tc>
      </w:tr>
      <w:tr>
        <w:tblPrEx>
          <w:tblW w:w="9430" w:type="dxa"/>
          <w:tblCellMar>
            <w:left w:w="70" w:type="dxa"/>
            <w:right w:w="70" w:type="dxa"/>
          </w:tblCellMar>
        </w:tblPrEx>
        <w:trPr>
          <w:trHeight w:val="315"/>
        </w:trPr>
        <w:tc>
          <w:tcPr>
            <w:tcW w:w="2590" w:type="dxa"/>
            <w:vMerge w:val="restart"/>
            <w:tcBorders>
              <w:top w:val="single" w:sz="8" w:space="0" w:color="auto"/>
              <w:left w:val="single" w:sz="8" w:space="0" w:color="auto"/>
              <w:bottom w:val="single" w:sz="4" w:space="0" w:color="000000"/>
              <w:right w:val="single" w:sz="4" w:space="0" w:color="000000"/>
              <w:tl2br w:val="nil"/>
              <w:tr2bl w:val="nil"/>
            </w:tcBorders>
            <w:noWrap/>
            <w:textDirection w:val="lrTb"/>
            <w:vAlign w:val="bottom"/>
          </w:tcPr>
          <w:p w:rsidR="00A01DC4" w:rsidRPr="0057579C" w:rsidP="00A01DC4">
            <w:pPr>
              <w:rPr>
                <w:rFonts w:ascii="Times New Roman" w:hAnsi="Times New Roman" w:cs="Times New Roman"/>
                <w:i/>
                <w:iCs/>
                <w:sz w:val="20"/>
                <w:szCs w:val="20"/>
              </w:rPr>
            </w:pPr>
            <w:r w:rsidRPr="0057579C">
              <w:rPr>
                <w:rFonts w:ascii="Times New Roman" w:hAnsi="Times New Roman" w:cs="Times New Roman"/>
                <w:i/>
                <w:iCs/>
                <w:sz w:val="20"/>
                <w:szCs w:val="20"/>
              </w:rPr>
              <w:t> </w:t>
            </w:r>
          </w:p>
        </w:tc>
        <w:tc>
          <w:tcPr>
            <w:tcW w:w="1260" w:type="dxa"/>
            <w:vMerge w:val="restart"/>
            <w:tcBorders>
              <w:top w:val="single" w:sz="8" w:space="0" w:color="auto"/>
              <w:left w:val="single" w:sz="4" w:space="0" w:color="auto"/>
              <w:bottom w:val="single" w:sz="4" w:space="0" w:color="000000"/>
              <w:right w:val="single" w:sz="4" w:space="0" w:color="auto"/>
              <w:tl2br w:val="nil"/>
              <w:tr2bl w:val="nil"/>
            </w:tcBorders>
            <w:textDirection w:val="lrTb"/>
            <w:vAlign w:val="center"/>
          </w:tcPr>
          <w:p w:rsidR="00A01DC4" w:rsidRPr="0057579C" w:rsidP="00A01DC4">
            <w:pPr>
              <w:jc w:val="center"/>
              <w:rPr>
                <w:rFonts w:ascii="Times New Roman" w:hAnsi="Times New Roman" w:cs="Times New Roman"/>
                <w:sz w:val="20"/>
                <w:szCs w:val="20"/>
              </w:rPr>
            </w:pPr>
            <w:r w:rsidRPr="0057579C">
              <w:rPr>
                <w:rFonts w:ascii="Times New Roman" w:hAnsi="Times New Roman" w:cs="Times New Roman"/>
                <w:sz w:val="20"/>
                <w:szCs w:val="20"/>
              </w:rPr>
              <w:t>účtovný stav k 31.12.2006 brutto</w:t>
            </w:r>
          </w:p>
        </w:tc>
        <w:tc>
          <w:tcPr>
            <w:tcW w:w="1440" w:type="dxa"/>
            <w:vMerge w:val="restart"/>
            <w:tcBorders>
              <w:top w:val="single" w:sz="8" w:space="0" w:color="auto"/>
              <w:left w:val="single" w:sz="4" w:space="0" w:color="auto"/>
              <w:bottom w:val="single" w:sz="4" w:space="0" w:color="000000"/>
              <w:right w:val="single" w:sz="4" w:space="0" w:color="auto"/>
              <w:tl2br w:val="nil"/>
              <w:tr2bl w:val="nil"/>
            </w:tcBorders>
            <w:textDirection w:val="lrTb"/>
            <w:vAlign w:val="center"/>
          </w:tcPr>
          <w:p w:rsidR="00A01DC4" w:rsidRPr="0057579C" w:rsidP="00A01DC4">
            <w:pPr>
              <w:jc w:val="center"/>
              <w:rPr>
                <w:rFonts w:ascii="Times New Roman" w:hAnsi="Times New Roman" w:cs="Times New Roman"/>
                <w:sz w:val="20"/>
                <w:szCs w:val="20"/>
              </w:rPr>
            </w:pPr>
            <w:r w:rsidRPr="0057579C">
              <w:rPr>
                <w:rFonts w:ascii="Times New Roman" w:hAnsi="Times New Roman" w:cs="Times New Roman"/>
                <w:sz w:val="20"/>
                <w:szCs w:val="20"/>
              </w:rPr>
              <w:t>zníženie hodnoty spolu</w:t>
            </w:r>
          </w:p>
        </w:tc>
        <w:tc>
          <w:tcPr>
            <w:tcW w:w="2700" w:type="dxa"/>
            <w:gridSpan w:val="2"/>
            <w:tcBorders>
              <w:top w:val="single" w:sz="8" w:space="0" w:color="auto"/>
              <w:left w:val="nil"/>
              <w:bottom w:val="nil"/>
              <w:right w:val="nil"/>
              <w:tl2br w:val="nil"/>
              <w:tr2bl w:val="nil"/>
            </w:tcBorders>
            <w:textDirection w:val="lrTb"/>
            <w:vAlign w:val="center"/>
          </w:tcPr>
          <w:p w:rsidR="00A01DC4" w:rsidRPr="0057579C" w:rsidP="00A01DC4">
            <w:pPr>
              <w:jc w:val="center"/>
              <w:rPr>
                <w:rFonts w:ascii="Times New Roman" w:hAnsi="Times New Roman" w:cs="Times New Roman"/>
                <w:sz w:val="20"/>
                <w:szCs w:val="20"/>
              </w:rPr>
            </w:pPr>
            <w:r w:rsidRPr="0057579C">
              <w:rPr>
                <w:rFonts w:ascii="Times New Roman" w:hAnsi="Times New Roman" w:cs="Times New Roman"/>
                <w:sz w:val="20"/>
                <w:szCs w:val="20"/>
              </w:rPr>
              <w:t>v tom:</w:t>
            </w:r>
          </w:p>
        </w:tc>
        <w:tc>
          <w:tcPr>
            <w:tcW w:w="1440" w:type="dxa"/>
            <w:vMerge w:val="restart"/>
            <w:tcBorders>
              <w:top w:val="single" w:sz="8" w:space="0" w:color="auto"/>
              <w:left w:val="single" w:sz="4" w:space="0" w:color="auto"/>
              <w:bottom w:val="single" w:sz="4" w:space="0" w:color="000000"/>
              <w:right w:val="single" w:sz="8" w:space="0" w:color="auto"/>
              <w:tl2br w:val="nil"/>
              <w:tr2bl w:val="nil"/>
            </w:tcBorders>
            <w:textDirection w:val="lrTb"/>
            <w:vAlign w:val="center"/>
          </w:tcPr>
          <w:p w:rsidR="00A01DC4" w:rsidRPr="0057579C" w:rsidP="00A01DC4">
            <w:pPr>
              <w:jc w:val="center"/>
              <w:rPr>
                <w:rFonts w:ascii="Times New Roman" w:hAnsi="Times New Roman" w:cs="Times New Roman"/>
                <w:sz w:val="20"/>
                <w:szCs w:val="20"/>
              </w:rPr>
            </w:pPr>
            <w:r w:rsidRPr="0057579C">
              <w:rPr>
                <w:rFonts w:ascii="Times New Roman" w:hAnsi="Times New Roman" w:cs="Times New Roman"/>
                <w:sz w:val="20"/>
                <w:szCs w:val="20"/>
              </w:rPr>
              <w:t>reálna hodnota k 31.12.2006</w:t>
            </w:r>
          </w:p>
        </w:tc>
      </w:tr>
      <w:tr>
        <w:tblPrEx>
          <w:tblW w:w="9430" w:type="dxa"/>
          <w:tblCellMar>
            <w:left w:w="70" w:type="dxa"/>
            <w:right w:w="70" w:type="dxa"/>
          </w:tblCellMar>
        </w:tblPrEx>
        <w:trPr>
          <w:trHeight w:val="531"/>
        </w:trPr>
        <w:tc>
          <w:tcPr>
            <w:tcW w:w="2590" w:type="dxa"/>
            <w:vMerge/>
            <w:tcBorders>
              <w:top w:val="single" w:sz="4" w:space="0" w:color="auto"/>
              <w:left w:val="single" w:sz="8" w:space="0" w:color="auto"/>
              <w:bottom w:val="single" w:sz="4" w:space="0" w:color="000000"/>
              <w:right w:val="single" w:sz="4" w:space="0" w:color="000000"/>
              <w:tl2br w:val="nil"/>
              <w:tr2bl w:val="nil"/>
            </w:tcBorders>
            <w:textDirection w:val="lrTb"/>
            <w:vAlign w:val="center"/>
          </w:tcPr>
          <w:p w:rsidR="00A01DC4" w:rsidRPr="0057579C" w:rsidP="00A01DC4">
            <w:pPr>
              <w:rPr>
                <w:rFonts w:ascii="Times New Roman" w:hAnsi="Times New Roman" w:cs="Times New Roman"/>
                <w:i/>
                <w:iCs/>
                <w:sz w:val="20"/>
                <w:szCs w:val="20"/>
              </w:rPr>
            </w:pPr>
          </w:p>
        </w:tc>
        <w:tc>
          <w:tcPr>
            <w:tcW w:w="1260"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A01DC4" w:rsidRPr="0057579C" w:rsidP="00A01DC4">
            <w:pPr>
              <w:rPr>
                <w:rFonts w:ascii="Times New Roman" w:hAnsi="Times New Roman" w:cs="Times New Roman"/>
                <w:sz w:val="20"/>
                <w:szCs w:val="20"/>
              </w:rPr>
            </w:pPr>
          </w:p>
        </w:tc>
        <w:tc>
          <w:tcPr>
            <w:tcW w:w="1440"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A01DC4" w:rsidRPr="0057579C" w:rsidP="00A01DC4">
            <w:pPr>
              <w:rPr>
                <w:rFonts w:ascii="Times New Roman" w:hAnsi="Times New Roman" w:cs="Times New Roman"/>
                <w:sz w:val="20"/>
                <w:szCs w:val="20"/>
              </w:rPr>
            </w:pPr>
          </w:p>
        </w:tc>
        <w:tc>
          <w:tcPr>
            <w:tcW w:w="1260" w:type="dxa"/>
            <w:tcBorders>
              <w:top w:val="single" w:sz="4" w:space="0" w:color="auto"/>
              <w:left w:val="nil"/>
              <w:bottom w:val="single" w:sz="4" w:space="0" w:color="auto"/>
              <w:right w:val="single" w:sz="4" w:space="0" w:color="auto"/>
              <w:tl2br w:val="nil"/>
              <w:tr2bl w:val="nil"/>
            </w:tcBorders>
            <w:textDirection w:val="lrTb"/>
            <w:vAlign w:val="center"/>
          </w:tcPr>
          <w:p w:rsidR="00A01DC4" w:rsidRPr="0057579C" w:rsidP="00A01DC4">
            <w:pPr>
              <w:jc w:val="center"/>
              <w:rPr>
                <w:rFonts w:ascii="Times New Roman" w:hAnsi="Times New Roman" w:cs="Times New Roman"/>
                <w:sz w:val="20"/>
                <w:szCs w:val="20"/>
              </w:rPr>
            </w:pPr>
            <w:r w:rsidRPr="0057579C">
              <w:rPr>
                <w:rFonts w:ascii="Times New Roman" w:hAnsi="Times New Roman" w:cs="Times New Roman"/>
                <w:sz w:val="20"/>
                <w:szCs w:val="20"/>
              </w:rPr>
              <w:t>zohľadnené v účtovníctve (korekcie)</w:t>
            </w:r>
          </w:p>
        </w:tc>
        <w:tc>
          <w:tcPr>
            <w:tcW w:w="1440" w:type="dxa"/>
            <w:tcBorders>
              <w:top w:val="single" w:sz="4" w:space="0" w:color="auto"/>
              <w:left w:val="nil"/>
              <w:bottom w:val="single" w:sz="4" w:space="0" w:color="auto"/>
              <w:right w:val="single" w:sz="4" w:space="0" w:color="auto"/>
              <w:tl2br w:val="nil"/>
              <w:tr2bl w:val="nil"/>
            </w:tcBorders>
            <w:textDirection w:val="lrTb"/>
            <w:vAlign w:val="center"/>
          </w:tcPr>
          <w:p w:rsidR="00A01DC4" w:rsidRPr="0057579C" w:rsidP="00A01DC4">
            <w:pPr>
              <w:jc w:val="center"/>
              <w:rPr>
                <w:rFonts w:ascii="Times New Roman" w:hAnsi="Times New Roman" w:cs="Times New Roman"/>
                <w:sz w:val="20"/>
                <w:szCs w:val="20"/>
              </w:rPr>
            </w:pPr>
            <w:r w:rsidRPr="0057579C">
              <w:rPr>
                <w:rFonts w:ascii="Times New Roman" w:hAnsi="Times New Roman" w:cs="Times New Roman"/>
                <w:sz w:val="20"/>
                <w:szCs w:val="20"/>
              </w:rPr>
              <w:t xml:space="preserve">nezohľadnené v účtovníctve </w:t>
            </w:r>
          </w:p>
        </w:tc>
        <w:tc>
          <w:tcPr>
            <w:tcW w:w="1440" w:type="dxa"/>
            <w:vMerge/>
            <w:tcBorders>
              <w:top w:val="single" w:sz="4" w:space="0" w:color="auto"/>
              <w:left w:val="single" w:sz="4" w:space="0" w:color="auto"/>
              <w:bottom w:val="single" w:sz="4" w:space="0" w:color="000000"/>
              <w:right w:val="single" w:sz="8" w:space="0" w:color="auto"/>
              <w:tl2br w:val="nil"/>
              <w:tr2bl w:val="nil"/>
            </w:tcBorders>
            <w:textDirection w:val="lrTb"/>
            <w:vAlign w:val="center"/>
          </w:tcPr>
          <w:p w:rsidR="00A01DC4" w:rsidRPr="0057579C" w:rsidP="00A01DC4">
            <w:pPr>
              <w:rPr>
                <w:rFonts w:ascii="Times New Roman" w:hAnsi="Times New Roman" w:cs="Times New Roman"/>
                <w:sz w:val="20"/>
                <w:szCs w:val="20"/>
              </w:rPr>
            </w:pPr>
          </w:p>
        </w:tc>
      </w:tr>
      <w:tr>
        <w:tblPrEx>
          <w:tblW w:w="9430" w:type="dxa"/>
          <w:tblCellMar>
            <w:left w:w="70" w:type="dxa"/>
            <w:right w:w="70" w:type="dxa"/>
          </w:tblCellMar>
        </w:tblPrEx>
        <w:trPr>
          <w:trHeight w:val="120"/>
        </w:trPr>
        <w:tc>
          <w:tcPr>
            <w:tcW w:w="2590" w:type="dxa"/>
            <w:tcBorders>
              <w:top w:val="single" w:sz="4" w:space="0" w:color="auto"/>
              <w:left w:val="single" w:sz="8" w:space="0" w:color="auto"/>
              <w:bottom w:val="nil"/>
              <w:right w:val="single" w:sz="4" w:space="0" w:color="000000"/>
              <w:tl2br w:val="nil"/>
              <w:tr2bl w:val="nil"/>
            </w:tcBorders>
            <w:noWrap/>
            <w:textDirection w:val="lrTb"/>
            <w:vAlign w:val="bottom"/>
          </w:tcPr>
          <w:p w:rsidR="00A01DC4" w:rsidRPr="0057579C" w:rsidP="00A01DC4">
            <w:pPr>
              <w:rPr>
                <w:rFonts w:ascii="Times New Roman" w:hAnsi="Times New Roman" w:cs="Times New Roman"/>
                <w:sz w:val="20"/>
                <w:szCs w:val="20"/>
              </w:rPr>
            </w:pPr>
            <w:r w:rsidRPr="0057579C">
              <w:rPr>
                <w:rFonts w:ascii="Times New Roman" w:hAnsi="Times New Roman" w:cs="Times New Roman"/>
                <w:sz w:val="20"/>
                <w:szCs w:val="20"/>
              </w:rPr>
              <w:t> </w:t>
            </w:r>
          </w:p>
        </w:tc>
        <w:tc>
          <w:tcPr>
            <w:tcW w:w="1260" w:type="dxa"/>
            <w:tcBorders>
              <w:top w:val="nil"/>
              <w:left w:val="nil"/>
              <w:bottom w:val="nil"/>
              <w:right w:val="single" w:sz="4" w:space="0" w:color="auto"/>
              <w:tl2br w:val="nil"/>
              <w:tr2bl w:val="nil"/>
            </w:tcBorders>
            <w:textDirection w:val="lrTb"/>
            <w:vAlign w:val="bottom"/>
          </w:tcPr>
          <w:p w:rsidR="00A01DC4" w:rsidRPr="0057579C" w:rsidP="00A01DC4">
            <w:pPr>
              <w:jc w:val="center"/>
              <w:rPr>
                <w:rFonts w:ascii="Times New Roman" w:hAnsi="Times New Roman" w:cs="Times New Roman"/>
                <w:sz w:val="20"/>
                <w:szCs w:val="20"/>
              </w:rPr>
            </w:pPr>
            <w:r w:rsidRPr="0057579C">
              <w:rPr>
                <w:rFonts w:ascii="Times New Roman" w:hAnsi="Times New Roman" w:cs="Times New Roman"/>
                <w:sz w:val="20"/>
                <w:szCs w:val="20"/>
              </w:rPr>
              <w:t> </w:t>
            </w:r>
          </w:p>
        </w:tc>
        <w:tc>
          <w:tcPr>
            <w:tcW w:w="1440" w:type="dxa"/>
            <w:tcBorders>
              <w:top w:val="nil"/>
              <w:left w:val="nil"/>
              <w:bottom w:val="nil"/>
              <w:right w:val="single" w:sz="4" w:space="0" w:color="auto"/>
              <w:tl2br w:val="nil"/>
              <w:tr2bl w:val="nil"/>
            </w:tcBorders>
            <w:textDirection w:val="lrTb"/>
            <w:vAlign w:val="bottom"/>
          </w:tcPr>
          <w:p w:rsidR="00A01DC4" w:rsidRPr="0057579C" w:rsidP="00A01DC4">
            <w:pPr>
              <w:jc w:val="center"/>
              <w:rPr>
                <w:rFonts w:ascii="Times New Roman" w:hAnsi="Times New Roman" w:cs="Times New Roman"/>
                <w:sz w:val="20"/>
                <w:szCs w:val="20"/>
              </w:rPr>
            </w:pPr>
            <w:r w:rsidRPr="0057579C">
              <w:rPr>
                <w:rFonts w:ascii="Times New Roman" w:hAnsi="Times New Roman" w:cs="Times New Roman"/>
                <w:sz w:val="20"/>
                <w:szCs w:val="20"/>
              </w:rPr>
              <w:t> </w:t>
            </w:r>
          </w:p>
        </w:tc>
        <w:tc>
          <w:tcPr>
            <w:tcW w:w="1260" w:type="dxa"/>
            <w:tcBorders>
              <w:top w:val="nil"/>
              <w:left w:val="nil"/>
              <w:bottom w:val="nil"/>
              <w:right w:val="single" w:sz="4" w:space="0" w:color="auto"/>
              <w:tl2br w:val="nil"/>
              <w:tr2bl w:val="nil"/>
            </w:tcBorders>
            <w:textDirection w:val="lrTb"/>
            <w:vAlign w:val="center"/>
          </w:tcPr>
          <w:p w:rsidR="00A01DC4" w:rsidRPr="0057579C" w:rsidP="00A01DC4">
            <w:pPr>
              <w:jc w:val="center"/>
              <w:rPr>
                <w:rFonts w:ascii="Times New Roman" w:hAnsi="Times New Roman" w:cs="Times New Roman"/>
                <w:sz w:val="20"/>
                <w:szCs w:val="20"/>
              </w:rPr>
            </w:pPr>
            <w:r w:rsidRPr="0057579C">
              <w:rPr>
                <w:rFonts w:ascii="Times New Roman" w:hAnsi="Times New Roman" w:cs="Times New Roman"/>
                <w:sz w:val="20"/>
                <w:szCs w:val="20"/>
              </w:rPr>
              <w:t> </w:t>
            </w:r>
          </w:p>
        </w:tc>
        <w:tc>
          <w:tcPr>
            <w:tcW w:w="1440" w:type="dxa"/>
            <w:tcBorders>
              <w:top w:val="nil"/>
              <w:left w:val="nil"/>
              <w:bottom w:val="nil"/>
              <w:right w:val="single" w:sz="4" w:space="0" w:color="auto"/>
              <w:tl2br w:val="nil"/>
              <w:tr2bl w:val="nil"/>
            </w:tcBorders>
            <w:textDirection w:val="lrTb"/>
            <w:vAlign w:val="bottom"/>
          </w:tcPr>
          <w:p w:rsidR="00A01DC4" w:rsidRPr="0057579C" w:rsidP="00A01DC4">
            <w:pPr>
              <w:jc w:val="center"/>
              <w:rPr>
                <w:rFonts w:ascii="Times New Roman" w:hAnsi="Times New Roman" w:cs="Times New Roman"/>
                <w:sz w:val="20"/>
                <w:szCs w:val="20"/>
              </w:rPr>
            </w:pPr>
            <w:r w:rsidRPr="0057579C">
              <w:rPr>
                <w:rFonts w:ascii="Times New Roman" w:hAnsi="Times New Roman" w:cs="Times New Roman"/>
                <w:sz w:val="20"/>
                <w:szCs w:val="20"/>
              </w:rPr>
              <w:t> </w:t>
            </w:r>
          </w:p>
        </w:tc>
        <w:tc>
          <w:tcPr>
            <w:tcW w:w="1440" w:type="dxa"/>
            <w:tcBorders>
              <w:top w:val="nil"/>
              <w:left w:val="nil"/>
              <w:bottom w:val="nil"/>
              <w:right w:val="single" w:sz="8" w:space="0" w:color="auto"/>
              <w:tl2br w:val="nil"/>
              <w:tr2bl w:val="nil"/>
            </w:tcBorders>
            <w:textDirection w:val="lrTb"/>
            <w:vAlign w:val="bottom"/>
          </w:tcPr>
          <w:p w:rsidR="00A01DC4" w:rsidRPr="0057579C" w:rsidP="00A01DC4">
            <w:pPr>
              <w:jc w:val="center"/>
              <w:rPr>
                <w:rFonts w:ascii="Times New Roman" w:hAnsi="Times New Roman" w:cs="Times New Roman"/>
                <w:sz w:val="20"/>
                <w:szCs w:val="20"/>
              </w:rPr>
            </w:pPr>
            <w:r w:rsidRPr="0057579C">
              <w:rPr>
                <w:rFonts w:ascii="Times New Roman" w:hAnsi="Times New Roman" w:cs="Times New Roman"/>
                <w:sz w:val="20"/>
                <w:szCs w:val="20"/>
              </w:rPr>
              <w:t> </w:t>
            </w:r>
          </w:p>
        </w:tc>
      </w:tr>
      <w:tr>
        <w:tblPrEx>
          <w:tblW w:w="9430" w:type="dxa"/>
          <w:tblCellMar>
            <w:left w:w="70" w:type="dxa"/>
            <w:right w:w="70" w:type="dxa"/>
          </w:tblCellMar>
        </w:tblPrEx>
        <w:trPr>
          <w:trHeight w:val="315"/>
        </w:trPr>
        <w:tc>
          <w:tcPr>
            <w:tcW w:w="2590" w:type="dxa"/>
            <w:tcBorders>
              <w:top w:val="nil"/>
              <w:left w:val="single" w:sz="8" w:space="0" w:color="auto"/>
              <w:bottom w:val="nil"/>
              <w:right w:val="single" w:sz="4" w:space="0" w:color="000000"/>
              <w:tl2br w:val="nil"/>
              <w:tr2bl w:val="nil"/>
            </w:tcBorders>
            <w:noWrap/>
            <w:textDirection w:val="lrTb"/>
            <w:vAlign w:val="bottom"/>
          </w:tcPr>
          <w:p w:rsidR="00A01DC4" w:rsidRPr="0057579C" w:rsidP="00A01DC4">
            <w:pPr>
              <w:rPr>
                <w:rFonts w:ascii="Times New Roman" w:hAnsi="Times New Roman" w:cs="Times New Roman"/>
                <w:b/>
                <w:bCs/>
                <w:sz w:val="20"/>
                <w:szCs w:val="20"/>
              </w:rPr>
            </w:pPr>
            <w:r w:rsidRPr="0057579C">
              <w:rPr>
                <w:rFonts w:ascii="Times New Roman" w:hAnsi="Times New Roman" w:cs="Times New Roman"/>
                <w:b/>
                <w:bCs/>
                <w:sz w:val="20"/>
                <w:szCs w:val="20"/>
              </w:rPr>
              <w:t xml:space="preserve"> NEOBEŽNÝ  MAJETOK</w:t>
            </w:r>
          </w:p>
        </w:tc>
        <w:tc>
          <w:tcPr>
            <w:tcW w:w="126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b/>
                <w:bCs/>
                <w:sz w:val="20"/>
                <w:szCs w:val="20"/>
              </w:rPr>
            </w:pPr>
            <w:r w:rsidRPr="0057579C">
              <w:rPr>
                <w:rFonts w:ascii="Times New Roman" w:hAnsi="Times New Roman" w:cs="Times New Roman"/>
                <w:b/>
                <w:bCs/>
                <w:sz w:val="20"/>
                <w:szCs w:val="20"/>
              </w:rPr>
              <w:t>425 901</w:t>
            </w:r>
          </w:p>
        </w:tc>
        <w:tc>
          <w:tcPr>
            <w:tcW w:w="144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b/>
                <w:bCs/>
                <w:sz w:val="20"/>
                <w:szCs w:val="20"/>
              </w:rPr>
            </w:pPr>
            <w:r w:rsidRPr="0057579C">
              <w:rPr>
                <w:rFonts w:ascii="Times New Roman" w:hAnsi="Times New Roman" w:cs="Times New Roman"/>
                <w:b/>
                <w:bCs/>
                <w:sz w:val="20"/>
                <w:szCs w:val="20"/>
              </w:rPr>
              <w:t>-166 542</w:t>
            </w:r>
          </w:p>
        </w:tc>
        <w:tc>
          <w:tcPr>
            <w:tcW w:w="126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b/>
                <w:bCs/>
                <w:sz w:val="20"/>
                <w:szCs w:val="20"/>
              </w:rPr>
            </w:pPr>
            <w:r w:rsidRPr="0057579C">
              <w:rPr>
                <w:rFonts w:ascii="Times New Roman" w:hAnsi="Times New Roman" w:cs="Times New Roman"/>
                <w:b/>
                <w:bCs/>
                <w:sz w:val="20"/>
                <w:szCs w:val="20"/>
              </w:rPr>
              <w:t>-158 997</w:t>
            </w:r>
          </w:p>
        </w:tc>
        <w:tc>
          <w:tcPr>
            <w:tcW w:w="144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b/>
                <w:bCs/>
                <w:sz w:val="20"/>
                <w:szCs w:val="20"/>
              </w:rPr>
            </w:pPr>
            <w:r w:rsidRPr="0057579C">
              <w:rPr>
                <w:rFonts w:ascii="Times New Roman" w:hAnsi="Times New Roman" w:cs="Times New Roman"/>
                <w:b/>
                <w:bCs/>
                <w:sz w:val="20"/>
                <w:szCs w:val="20"/>
              </w:rPr>
              <w:t>-7 545</w:t>
            </w:r>
          </w:p>
        </w:tc>
        <w:tc>
          <w:tcPr>
            <w:tcW w:w="1440" w:type="dxa"/>
            <w:tcBorders>
              <w:top w:val="nil"/>
              <w:left w:val="nil"/>
              <w:bottom w:val="nil"/>
              <w:right w:val="single" w:sz="8" w:space="0" w:color="auto"/>
              <w:tl2br w:val="nil"/>
              <w:tr2bl w:val="nil"/>
            </w:tcBorders>
            <w:noWrap/>
            <w:textDirection w:val="lrTb"/>
            <w:vAlign w:val="bottom"/>
          </w:tcPr>
          <w:p w:rsidR="00A01DC4" w:rsidRPr="0057579C" w:rsidP="00A01DC4">
            <w:pPr>
              <w:jc w:val="right"/>
              <w:rPr>
                <w:rFonts w:ascii="Times New Roman" w:hAnsi="Times New Roman" w:cs="Times New Roman"/>
                <w:b/>
                <w:bCs/>
                <w:sz w:val="20"/>
                <w:szCs w:val="20"/>
              </w:rPr>
            </w:pPr>
            <w:r w:rsidRPr="0057579C">
              <w:rPr>
                <w:rFonts w:ascii="Times New Roman" w:hAnsi="Times New Roman" w:cs="Times New Roman"/>
                <w:b/>
                <w:bCs/>
                <w:sz w:val="20"/>
                <w:szCs w:val="20"/>
              </w:rPr>
              <w:t>259 359</w:t>
            </w:r>
          </w:p>
        </w:tc>
      </w:tr>
      <w:tr>
        <w:tblPrEx>
          <w:tblW w:w="9430" w:type="dxa"/>
          <w:tblCellMar>
            <w:left w:w="70" w:type="dxa"/>
            <w:right w:w="70" w:type="dxa"/>
          </w:tblCellMar>
        </w:tblPrEx>
        <w:trPr>
          <w:trHeight w:val="111"/>
        </w:trPr>
        <w:tc>
          <w:tcPr>
            <w:tcW w:w="2590" w:type="dxa"/>
            <w:tcBorders>
              <w:top w:val="nil"/>
              <w:left w:val="single" w:sz="8" w:space="0" w:color="auto"/>
              <w:bottom w:val="nil"/>
              <w:right w:val="single" w:sz="4" w:space="0" w:color="000000"/>
              <w:tl2br w:val="nil"/>
              <w:tr2bl w:val="nil"/>
            </w:tcBorders>
            <w:noWrap/>
            <w:textDirection w:val="lrTb"/>
            <w:vAlign w:val="bottom"/>
          </w:tcPr>
          <w:p w:rsidR="00A01DC4" w:rsidRPr="0057579C" w:rsidP="00A01DC4">
            <w:pPr>
              <w:rPr>
                <w:rFonts w:ascii="Times New Roman" w:hAnsi="Times New Roman" w:cs="Times New Roman"/>
                <w:sz w:val="20"/>
                <w:szCs w:val="20"/>
              </w:rPr>
            </w:pPr>
            <w:r w:rsidRPr="0057579C">
              <w:rPr>
                <w:rFonts w:ascii="Times New Roman" w:hAnsi="Times New Roman" w:cs="Times New Roman"/>
                <w:sz w:val="20"/>
                <w:szCs w:val="20"/>
              </w:rPr>
              <w:t xml:space="preserve">  nehmotný</w:t>
            </w:r>
          </w:p>
        </w:tc>
        <w:tc>
          <w:tcPr>
            <w:tcW w:w="1260" w:type="dxa"/>
            <w:tcBorders>
              <w:top w:val="nil"/>
              <w:left w:val="nil"/>
              <w:bottom w:val="nil"/>
              <w:right w:val="single" w:sz="4" w:space="0" w:color="auto"/>
              <w:tl2br w:val="nil"/>
              <w:tr2bl w:val="nil"/>
            </w:tcBorders>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11 458</w:t>
            </w:r>
          </w:p>
        </w:tc>
        <w:tc>
          <w:tcPr>
            <w:tcW w:w="1440" w:type="dxa"/>
            <w:tcBorders>
              <w:top w:val="nil"/>
              <w:left w:val="nil"/>
              <w:bottom w:val="nil"/>
              <w:right w:val="single" w:sz="4" w:space="0" w:color="auto"/>
              <w:tl2br w:val="nil"/>
              <w:tr2bl w:val="nil"/>
            </w:tcBorders>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-5 493</w:t>
            </w:r>
          </w:p>
        </w:tc>
        <w:tc>
          <w:tcPr>
            <w:tcW w:w="1260" w:type="dxa"/>
            <w:tcBorders>
              <w:top w:val="nil"/>
              <w:left w:val="nil"/>
              <w:bottom w:val="nil"/>
              <w:right w:val="single" w:sz="4" w:space="0" w:color="auto"/>
              <w:tl2br w:val="nil"/>
              <w:tr2bl w:val="nil"/>
            </w:tcBorders>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-5 493</w:t>
            </w:r>
          </w:p>
        </w:tc>
        <w:tc>
          <w:tcPr>
            <w:tcW w:w="1440" w:type="dxa"/>
            <w:tcBorders>
              <w:top w:val="nil"/>
              <w:left w:val="nil"/>
              <w:bottom w:val="nil"/>
              <w:right w:val="single" w:sz="4" w:space="0" w:color="auto"/>
              <w:tl2br w:val="nil"/>
              <w:tr2bl w:val="nil"/>
            </w:tcBorders>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0</w:t>
            </w:r>
          </w:p>
        </w:tc>
        <w:tc>
          <w:tcPr>
            <w:tcW w:w="1440" w:type="dxa"/>
            <w:tcBorders>
              <w:top w:val="nil"/>
              <w:left w:val="nil"/>
              <w:bottom w:val="nil"/>
              <w:right w:val="single" w:sz="8" w:space="0" w:color="auto"/>
              <w:tl2br w:val="nil"/>
              <w:tr2bl w:val="nil"/>
            </w:tcBorders>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5 965</w:t>
            </w:r>
          </w:p>
        </w:tc>
      </w:tr>
      <w:tr>
        <w:tblPrEx>
          <w:tblW w:w="9430" w:type="dxa"/>
          <w:tblCellMar>
            <w:left w:w="70" w:type="dxa"/>
            <w:right w:w="70" w:type="dxa"/>
          </w:tblCellMar>
        </w:tblPrEx>
        <w:trPr>
          <w:trHeight w:val="232"/>
        </w:trPr>
        <w:tc>
          <w:tcPr>
            <w:tcW w:w="2590" w:type="dxa"/>
            <w:tcBorders>
              <w:top w:val="nil"/>
              <w:left w:val="single" w:sz="8" w:space="0" w:color="auto"/>
              <w:bottom w:val="nil"/>
              <w:right w:val="single" w:sz="4" w:space="0" w:color="000000"/>
              <w:tl2br w:val="nil"/>
              <w:tr2bl w:val="nil"/>
            </w:tcBorders>
            <w:noWrap/>
            <w:textDirection w:val="lrTb"/>
            <w:vAlign w:val="bottom"/>
          </w:tcPr>
          <w:p w:rsidR="00A01DC4" w:rsidRPr="0057579C" w:rsidP="00A01DC4">
            <w:pPr>
              <w:rPr>
                <w:rFonts w:ascii="Times New Roman" w:hAnsi="Times New Roman" w:cs="Times New Roman"/>
                <w:sz w:val="20"/>
                <w:szCs w:val="20"/>
              </w:rPr>
            </w:pPr>
            <w:r w:rsidRPr="0057579C">
              <w:rPr>
                <w:rFonts w:ascii="Times New Roman" w:hAnsi="Times New Roman" w:cs="Times New Roman"/>
                <w:sz w:val="20"/>
                <w:szCs w:val="20"/>
              </w:rPr>
              <w:t xml:space="preserve">  hmotný</w:t>
            </w:r>
          </w:p>
        </w:tc>
        <w:tc>
          <w:tcPr>
            <w:tcW w:w="1260" w:type="dxa"/>
            <w:tcBorders>
              <w:top w:val="nil"/>
              <w:left w:val="nil"/>
              <w:bottom w:val="nil"/>
              <w:right w:val="single" w:sz="4" w:space="0" w:color="auto"/>
              <w:tl2br w:val="nil"/>
              <w:tr2bl w:val="nil"/>
            </w:tcBorders>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263 192</w:t>
            </w:r>
          </w:p>
        </w:tc>
        <w:tc>
          <w:tcPr>
            <w:tcW w:w="1440" w:type="dxa"/>
            <w:tcBorders>
              <w:top w:val="nil"/>
              <w:left w:val="nil"/>
              <w:bottom w:val="nil"/>
              <w:right w:val="single" w:sz="4" w:space="0" w:color="auto"/>
              <w:tl2br w:val="nil"/>
              <w:tr2bl w:val="nil"/>
            </w:tcBorders>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-153 504</w:t>
            </w:r>
          </w:p>
        </w:tc>
        <w:tc>
          <w:tcPr>
            <w:tcW w:w="1260" w:type="dxa"/>
            <w:tcBorders>
              <w:top w:val="nil"/>
              <w:left w:val="nil"/>
              <w:bottom w:val="nil"/>
              <w:right w:val="single" w:sz="4" w:space="0" w:color="auto"/>
              <w:tl2br w:val="nil"/>
              <w:tr2bl w:val="nil"/>
            </w:tcBorders>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-153 504</w:t>
            </w:r>
          </w:p>
        </w:tc>
        <w:tc>
          <w:tcPr>
            <w:tcW w:w="1440" w:type="dxa"/>
            <w:tcBorders>
              <w:top w:val="nil"/>
              <w:left w:val="nil"/>
              <w:bottom w:val="nil"/>
              <w:right w:val="single" w:sz="4" w:space="0" w:color="auto"/>
              <w:tl2br w:val="nil"/>
              <w:tr2bl w:val="nil"/>
            </w:tcBorders>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0</w:t>
            </w:r>
          </w:p>
        </w:tc>
        <w:tc>
          <w:tcPr>
            <w:tcW w:w="1440" w:type="dxa"/>
            <w:tcBorders>
              <w:top w:val="nil"/>
              <w:left w:val="nil"/>
              <w:bottom w:val="nil"/>
              <w:right w:val="single" w:sz="8" w:space="0" w:color="auto"/>
              <w:tl2br w:val="nil"/>
              <w:tr2bl w:val="nil"/>
            </w:tcBorders>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109 688</w:t>
            </w:r>
          </w:p>
        </w:tc>
      </w:tr>
      <w:tr>
        <w:tblPrEx>
          <w:tblW w:w="9430" w:type="dxa"/>
          <w:tblCellMar>
            <w:left w:w="70" w:type="dxa"/>
            <w:right w:w="70" w:type="dxa"/>
          </w:tblCellMar>
        </w:tblPrEx>
        <w:trPr>
          <w:trHeight w:val="188"/>
        </w:trPr>
        <w:tc>
          <w:tcPr>
            <w:tcW w:w="2590" w:type="dxa"/>
            <w:tcBorders>
              <w:top w:val="nil"/>
              <w:left w:val="single" w:sz="8" w:space="0" w:color="auto"/>
              <w:bottom w:val="nil"/>
              <w:right w:val="single" w:sz="4" w:space="0" w:color="000000"/>
              <w:tl2br w:val="nil"/>
              <w:tr2bl w:val="nil"/>
            </w:tcBorders>
            <w:noWrap/>
            <w:textDirection w:val="lrTb"/>
            <w:vAlign w:val="bottom"/>
          </w:tcPr>
          <w:p w:rsidR="00A01DC4" w:rsidRPr="0057579C" w:rsidP="00A01DC4">
            <w:pPr>
              <w:rPr>
                <w:rFonts w:ascii="Times New Roman" w:hAnsi="Times New Roman" w:cs="Times New Roman"/>
                <w:sz w:val="20"/>
                <w:szCs w:val="20"/>
              </w:rPr>
            </w:pPr>
            <w:r w:rsidRPr="0057579C">
              <w:rPr>
                <w:rFonts w:ascii="Times New Roman" w:hAnsi="Times New Roman" w:cs="Times New Roman"/>
                <w:sz w:val="20"/>
                <w:szCs w:val="20"/>
              </w:rPr>
              <w:t xml:space="preserve">  finančný</w:t>
            </w:r>
          </w:p>
        </w:tc>
        <w:tc>
          <w:tcPr>
            <w:tcW w:w="126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151 251</w:t>
            </w:r>
          </w:p>
        </w:tc>
        <w:tc>
          <w:tcPr>
            <w:tcW w:w="1440" w:type="dxa"/>
            <w:tcBorders>
              <w:top w:val="nil"/>
              <w:left w:val="nil"/>
              <w:bottom w:val="nil"/>
              <w:right w:val="single" w:sz="4" w:space="0" w:color="auto"/>
              <w:tl2br w:val="nil"/>
              <w:tr2bl w:val="nil"/>
            </w:tcBorders>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-7 545</w:t>
            </w:r>
          </w:p>
        </w:tc>
        <w:tc>
          <w:tcPr>
            <w:tcW w:w="126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0</w:t>
            </w:r>
          </w:p>
        </w:tc>
        <w:tc>
          <w:tcPr>
            <w:tcW w:w="144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-7 545</w:t>
            </w:r>
          </w:p>
        </w:tc>
        <w:tc>
          <w:tcPr>
            <w:tcW w:w="1440" w:type="dxa"/>
            <w:tcBorders>
              <w:top w:val="nil"/>
              <w:left w:val="nil"/>
              <w:bottom w:val="nil"/>
              <w:right w:val="single" w:sz="8" w:space="0" w:color="auto"/>
              <w:tl2br w:val="nil"/>
              <w:tr2bl w:val="nil"/>
            </w:tcBorders>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143 706</w:t>
            </w:r>
          </w:p>
        </w:tc>
      </w:tr>
      <w:tr>
        <w:tblPrEx>
          <w:tblW w:w="9430" w:type="dxa"/>
          <w:tblCellMar>
            <w:left w:w="70" w:type="dxa"/>
            <w:right w:w="70" w:type="dxa"/>
          </w:tblCellMar>
        </w:tblPrEx>
        <w:trPr>
          <w:trHeight w:val="80"/>
        </w:trPr>
        <w:tc>
          <w:tcPr>
            <w:tcW w:w="2590" w:type="dxa"/>
            <w:tcBorders>
              <w:top w:val="nil"/>
              <w:left w:val="single" w:sz="8" w:space="0" w:color="auto"/>
              <w:bottom w:val="nil"/>
              <w:right w:val="single" w:sz="4" w:space="0" w:color="000000"/>
              <w:tl2br w:val="nil"/>
              <w:tr2bl w:val="nil"/>
            </w:tcBorders>
            <w:noWrap/>
            <w:textDirection w:val="lrTb"/>
            <w:vAlign w:val="bottom"/>
          </w:tcPr>
          <w:p w:rsidR="00A01DC4" w:rsidRPr="0057579C" w:rsidP="00A01DC4">
            <w:pPr>
              <w:rPr>
                <w:rFonts w:ascii="Times New Roman" w:hAnsi="Times New Roman" w:cs="Times New Roman"/>
                <w:sz w:val="20"/>
                <w:szCs w:val="20"/>
              </w:rPr>
            </w:pPr>
            <w:r w:rsidRPr="0057579C">
              <w:rPr>
                <w:rFonts w:ascii="Times New Roman" w:hAnsi="Times New Roman" w:cs="Times New Roman"/>
                <w:sz w:val="20"/>
                <w:szCs w:val="20"/>
              </w:rPr>
              <w:t> </w:t>
            </w:r>
          </w:p>
        </w:tc>
        <w:tc>
          <w:tcPr>
            <w:tcW w:w="1260" w:type="dxa"/>
            <w:tcBorders>
              <w:top w:val="nil"/>
              <w:left w:val="nil"/>
              <w:bottom w:val="nil"/>
              <w:right w:val="single" w:sz="4" w:space="0" w:color="auto"/>
              <w:tl2br w:val="nil"/>
              <w:tr2bl w:val="nil"/>
            </w:tcBorders>
            <w:noWrap/>
            <w:textDirection w:val="lrTb"/>
            <w:vAlign w:val="bottom"/>
          </w:tcPr>
          <w:p w:rsidR="00A01DC4" w:rsidRPr="0057579C" w:rsidP="00A01DC4">
            <w:pPr>
              <w:rPr>
                <w:rFonts w:ascii="Times New Roman" w:hAnsi="Times New Roman" w:cs="Times New Roman"/>
                <w:sz w:val="20"/>
                <w:szCs w:val="20"/>
              </w:rPr>
            </w:pPr>
            <w:r w:rsidRPr="0057579C">
              <w:rPr>
                <w:rFonts w:ascii="Times New Roman" w:hAnsi="Times New Roman" w:cs="Times New Roman"/>
                <w:sz w:val="20"/>
                <w:szCs w:val="20"/>
              </w:rPr>
              <w:t> </w:t>
            </w:r>
          </w:p>
        </w:tc>
        <w:tc>
          <w:tcPr>
            <w:tcW w:w="1440" w:type="dxa"/>
            <w:tcBorders>
              <w:top w:val="nil"/>
              <w:left w:val="nil"/>
              <w:bottom w:val="nil"/>
              <w:right w:val="single" w:sz="4" w:space="0" w:color="auto"/>
              <w:tl2br w:val="nil"/>
              <w:tr2bl w:val="nil"/>
            </w:tcBorders>
            <w:noWrap/>
            <w:textDirection w:val="lrTb"/>
            <w:vAlign w:val="bottom"/>
          </w:tcPr>
          <w:p w:rsidR="00A01DC4" w:rsidRPr="0057579C" w:rsidP="00A01DC4">
            <w:pPr>
              <w:rPr>
                <w:rFonts w:ascii="Times New Roman" w:hAnsi="Times New Roman" w:cs="Times New Roman"/>
                <w:sz w:val="20"/>
                <w:szCs w:val="20"/>
              </w:rPr>
            </w:pPr>
            <w:r w:rsidRPr="0057579C">
              <w:rPr>
                <w:rFonts w:ascii="Times New Roman" w:hAnsi="Times New Roman" w:cs="Times New Roman"/>
                <w:sz w:val="20"/>
                <w:szCs w:val="20"/>
              </w:rPr>
              <w:t> </w:t>
            </w:r>
          </w:p>
        </w:tc>
        <w:tc>
          <w:tcPr>
            <w:tcW w:w="1260" w:type="dxa"/>
            <w:tcBorders>
              <w:top w:val="nil"/>
              <w:left w:val="nil"/>
              <w:bottom w:val="nil"/>
              <w:right w:val="single" w:sz="4" w:space="0" w:color="auto"/>
              <w:tl2br w:val="nil"/>
              <w:tr2bl w:val="nil"/>
            </w:tcBorders>
            <w:noWrap/>
            <w:textDirection w:val="lrTb"/>
            <w:vAlign w:val="bottom"/>
          </w:tcPr>
          <w:p w:rsidR="00A01DC4" w:rsidRPr="0057579C" w:rsidP="00A01DC4">
            <w:pPr>
              <w:rPr>
                <w:rFonts w:ascii="Times New Roman" w:hAnsi="Times New Roman" w:cs="Times New Roman"/>
                <w:sz w:val="20"/>
                <w:szCs w:val="20"/>
              </w:rPr>
            </w:pPr>
            <w:r w:rsidRPr="0057579C">
              <w:rPr>
                <w:rFonts w:ascii="Times New Roman" w:hAnsi="Times New Roman" w:cs="Times New Roman"/>
                <w:sz w:val="20"/>
                <w:szCs w:val="20"/>
              </w:rPr>
              <w:t> </w:t>
            </w:r>
          </w:p>
        </w:tc>
        <w:tc>
          <w:tcPr>
            <w:tcW w:w="1440" w:type="dxa"/>
            <w:tcBorders>
              <w:top w:val="nil"/>
              <w:left w:val="nil"/>
              <w:bottom w:val="nil"/>
              <w:right w:val="single" w:sz="4" w:space="0" w:color="auto"/>
              <w:tl2br w:val="nil"/>
              <w:tr2bl w:val="nil"/>
            </w:tcBorders>
            <w:noWrap/>
            <w:textDirection w:val="lrTb"/>
            <w:vAlign w:val="bottom"/>
          </w:tcPr>
          <w:p w:rsidR="00A01DC4" w:rsidRPr="0057579C" w:rsidP="00A01DC4">
            <w:pPr>
              <w:rPr>
                <w:rFonts w:ascii="Times New Roman" w:hAnsi="Times New Roman" w:cs="Times New Roman"/>
                <w:sz w:val="20"/>
                <w:szCs w:val="20"/>
              </w:rPr>
            </w:pPr>
            <w:r w:rsidRPr="0057579C">
              <w:rPr>
                <w:rFonts w:ascii="Times New Roman" w:hAnsi="Times New Roman" w:cs="Times New Roman"/>
                <w:sz w:val="20"/>
                <w:szCs w:val="20"/>
              </w:rPr>
              <w:t> </w:t>
            </w:r>
          </w:p>
        </w:tc>
        <w:tc>
          <w:tcPr>
            <w:tcW w:w="1440" w:type="dxa"/>
            <w:tcBorders>
              <w:top w:val="nil"/>
              <w:left w:val="nil"/>
              <w:bottom w:val="nil"/>
              <w:right w:val="single" w:sz="8" w:space="0" w:color="auto"/>
              <w:tl2br w:val="nil"/>
              <w:tr2bl w:val="nil"/>
            </w:tcBorders>
            <w:noWrap/>
            <w:textDirection w:val="lrTb"/>
            <w:vAlign w:val="bottom"/>
          </w:tcPr>
          <w:p w:rsidR="00A01DC4" w:rsidRPr="0057579C" w:rsidP="00A01DC4">
            <w:pPr>
              <w:rPr>
                <w:rFonts w:ascii="Times New Roman" w:hAnsi="Times New Roman" w:cs="Times New Roman"/>
                <w:sz w:val="20"/>
                <w:szCs w:val="20"/>
              </w:rPr>
            </w:pPr>
            <w:r w:rsidRPr="0057579C">
              <w:rPr>
                <w:rFonts w:ascii="Times New Roman" w:hAnsi="Times New Roman" w:cs="Times New Roman"/>
                <w:sz w:val="20"/>
                <w:szCs w:val="20"/>
              </w:rPr>
              <w:t> </w:t>
            </w:r>
          </w:p>
        </w:tc>
      </w:tr>
      <w:tr>
        <w:tblPrEx>
          <w:tblW w:w="9430" w:type="dxa"/>
          <w:tblCellMar>
            <w:left w:w="70" w:type="dxa"/>
            <w:right w:w="70" w:type="dxa"/>
          </w:tblCellMar>
        </w:tblPrEx>
        <w:trPr>
          <w:trHeight w:val="315"/>
        </w:trPr>
        <w:tc>
          <w:tcPr>
            <w:tcW w:w="2590" w:type="dxa"/>
            <w:tcBorders>
              <w:top w:val="nil"/>
              <w:left w:val="single" w:sz="8" w:space="0" w:color="auto"/>
              <w:bottom w:val="nil"/>
              <w:right w:val="single" w:sz="4" w:space="0" w:color="000000"/>
              <w:tl2br w:val="nil"/>
              <w:tr2bl w:val="nil"/>
            </w:tcBorders>
            <w:noWrap/>
            <w:textDirection w:val="lrTb"/>
            <w:vAlign w:val="bottom"/>
          </w:tcPr>
          <w:p w:rsidR="00A01DC4" w:rsidRPr="0057579C" w:rsidP="00A01DC4">
            <w:pPr>
              <w:rPr>
                <w:rFonts w:ascii="Times New Roman" w:hAnsi="Times New Roman" w:cs="Times New Roman"/>
                <w:b/>
                <w:bCs/>
                <w:sz w:val="20"/>
                <w:szCs w:val="20"/>
              </w:rPr>
            </w:pPr>
            <w:r w:rsidRPr="0057579C">
              <w:rPr>
                <w:rFonts w:ascii="Times New Roman" w:hAnsi="Times New Roman" w:cs="Times New Roman"/>
                <w:b/>
                <w:bCs/>
                <w:sz w:val="20"/>
                <w:szCs w:val="20"/>
              </w:rPr>
              <w:t xml:space="preserve"> OBEŽNÝ MAJETOK</w:t>
            </w:r>
          </w:p>
        </w:tc>
        <w:tc>
          <w:tcPr>
            <w:tcW w:w="126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b/>
                <w:bCs/>
                <w:sz w:val="20"/>
                <w:szCs w:val="20"/>
              </w:rPr>
            </w:pPr>
            <w:r w:rsidRPr="0057579C">
              <w:rPr>
                <w:rFonts w:ascii="Times New Roman" w:hAnsi="Times New Roman" w:cs="Times New Roman"/>
                <w:b/>
                <w:bCs/>
                <w:sz w:val="20"/>
                <w:szCs w:val="20"/>
              </w:rPr>
              <w:t>317 343</w:t>
            </w:r>
          </w:p>
        </w:tc>
        <w:tc>
          <w:tcPr>
            <w:tcW w:w="144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b/>
                <w:bCs/>
                <w:sz w:val="20"/>
                <w:szCs w:val="20"/>
              </w:rPr>
            </w:pPr>
            <w:r w:rsidRPr="0057579C">
              <w:rPr>
                <w:rFonts w:ascii="Times New Roman" w:hAnsi="Times New Roman" w:cs="Times New Roman"/>
                <w:b/>
                <w:bCs/>
                <w:sz w:val="20"/>
                <w:szCs w:val="20"/>
              </w:rPr>
              <w:t>-46 972</w:t>
            </w:r>
          </w:p>
        </w:tc>
        <w:tc>
          <w:tcPr>
            <w:tcW w:w="126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b/>
                <w:bCs/>
                <w:sz w:val="20"/>
                <w:szCs w:val="20"/>
              </w:rPr>
            </w:pPr>
            <w:r w:rsidRPr="0057579C">
              <w:rPr>
                <w:rFonts w:ascii="Times New Roman" w:hAnsi="Times New Roman" w:cs="Times New Roman"/>
                <w:b/>
                <w:bCs/>
                <w:sz w:val="20"/>
                <w:szCs w:val="20"/>
              </w:rPr>
              <w:t>-1</w:t>
            </w:r>
          </w:p>
        </w:tc>
        <w:tc>
          <w:tcPr>
            <w:tcW w:w="144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b/>
                <w:bCs/>
                <w:sz w:val="20"/>
                <w:szCs w:val="20"/>
              </w:rPr>
            </w:pPr>
            <w:r w:rsidRPr="0057579C">
              <w:rPr>
                <w:rFonts w:ascii="Times New Roman" w:hAnsi="Times New Roman" w:cs="Times New Roman"/>
                <w:b/>
                <w:bCs/>
                <w:sz w:val="20"/>
                <w:szCs w:val="20"/>
              </w:rPr>
              <w:t>-46 971</w:t>
            </w:r>
          </w:p>
        </w:tc>
        <w:tc>
          <w:tcPr>
            <w:tcW w:w="1440" w:type="dxa"/>
            <w:tcBorders>
              <w:top w:val="nil"/>
              <w:left w:val="nil"/>
              <w:bottom w:val="nil"/>
              <w:right w:val="single" w:sz="8" w:space="0" w:color="auto"/>
              <w:tl2br w:val="nil"/>
              <w:tr2bl w:val="nil"/>
            </w:tcBorders>
            <w:noWrap/>
            <w:textDirection w:val="lrTb"/>
            <w:vAlign w:val="bottom"/>
          </w:tcPr>
          <w:p w:rsidR="00A01DC4" w:rsidRPr="0057579C" w:rsidP="00A01DC4">
            <w:pPr>
              <w:jc w:val="right"/>
              <w:rPr>
                <w:rFonts w:ascii="Times New Roman" w:hAnsi="Times New Roman" w:cs="Times New Roman"/>
                <w:b/>
                <w:bCs/>
                <w:sz w:val="20"/>
                <w:szCs w:val="20"/>
              </w:rPr>
            </w:pPr>
            <w:r w:rsidRPr="0057579C">
              <w:rPr>
                <w:rFonts w:ascii="Times New Roman" w:hAnsi="Times New Roman" w:cs="Times New Roman"/>
                <w:b/>
                <w:bCs/>
                <w:sz w:val="20"/>
                <w:szCs w:val="20"/>
              </w:rPr>
              <w:t>270 371</w:t>
            </w:r>
          </w:p>
        </w:tc>
      </w:tr>
      <w:tr>
        <w:tblPrEx>
          <w:tblW w:w="9430" w:type="dxa"/>
          <w:tblCellMar>
            <w:left w:w="70" w:type="dxa"/>
            <w:right w:w="70" w:type="dxa"/>
          </w:tblCellMar>
        </w:tblPrEx>
        <w:trPr>
          <w:trHeight w:val="124"/>
        </w:trPr>
        <w:tc>
          <w:tcPr>
            <w:tcW w:w="2590" w:type="dxa"/>
            <w:tcBorders>
              <w:top w:val="nil"/>
              <w:left w:val="single" w:sz="8" w:space="0" w:color="auto"/>
              <w:bottom w:val="nil"/>
              <w:right w:val="single" w:sz="4" w:space="0" w:color="000000"/>
              <w:tl2br w:val="nil"/>
              <w:tr2bl w:val="nil"/>
            </w:tcBorders>
            <w:noWrap/>
            <w:textDirection w:val="lrTb"/>
            <w:vAlign w:val="bottom"/>
          </w:tcPr>
          <w:p w:rsidR="00A01DC4" w:rsidRPr="0057579C" w:rsidP="00A01DC4">
            <w:pPr>
              <w:rPr>
                <w:rFonts w:ascii="Times New Roman" w:hAnsi="Times New Roman" w:cs="Times New Roman"/>
                <w:sz w:val="20"/>
                <w:szCs w:val="20"/>
              </w:rPr>
            </w:pPr>
            <w:r w:rsidRPr="0057579C">
              <w:rPr>
                <w:rFonts w:ascii="Times New Roman" w:hAnsi="Times New Roman" w:cs="Times New Roman"/>
                <w:sz w:val="20"/>
                <w:szCs w:val="20"/>
              </w:rPr>
              <w:t xml:space="preserve">  zásoby</w:t>
            </w:r>
          </w:p>
        </w:tc>
        <w:tc>
          <w:tcPr>
            <w:tcW w:w="126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63 078</w:t>
            </w:r>
          </w:p>
        </w:tc>
        <w:tc>
          <w:tcPr>
            <w:tcW w:w="1440" w:type="dxa"/>
            <w:tcBorders>
              <w:top w:val="nil"/>
              <w:left w:val="nil"/>
              <w:bottom w:val="nil"/>
              <w:right w:val="single" w:sz="4" w:space="0" w:color="auto"/>
              <w:tl2br w:val="nil"/>
              <w:tr2bl w:val="nil"/>
            </w:tcBorders>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0</w:t>
            </w:r>
          </w:p>
        </w:tc>
        <w:tc>
          <w:tcPr>
            <w:tcW w:w="126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0</w:t>
            </w:r>
          </w:p>
        </w:tc>
        <w:tc>
          <w:tcPr>
            <w:tcW w:w="144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0</w:t>
            </w:r>
          </w:p>
        </w:tc>
        <w:tc>
          <w:tcPr>
            <w:tcW w:w="1440" w:type="dxa"/>
            <w:tcBorders>
              <w:top w:val="nil"/>
              <w:left w:val="nil"/>
              <w:bottom w:val="nil"/>
              <w:right w:val="single" w:sz="8" w:space="0" w:color="auto"/>
              <w:tl2br w:val="nil"/>
              <w:tr2bl w:val="nil"/>
            </w:tcBorders>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63 078</w:t>
            </w:r>
          </w:p>
        </w:tc>
      </w:tr>
      <w:tr>
        <w:tblPrEx>
          <w:tblW w:w="9430" w:type="dxa"/>
          <w:tblCellMar>
            <w:left w:w="70" w:type="dxa"/>
            <w:right w:w="70" w:type="dxa"/>
          </w:tblCellMar>
        </w:tblPrEx>
        <w:trPr>
          <w:trHeight w:val="80"/>
        </w:trPr>
        <w:tc>
          <w:tcPr>
            <w:tcW w:w="2590" w:type="dxa"/>
            <w:tcBorders>
              <w:top w:val="nil"/>
              <w:left w:val="single" w:sz="8" w:space="0" w:color="auto"/>
              <w:bottom w:val="nil"/>
              <w:right w:val="single" w:sz="4" w:space="0" w:color="000000"/>
              <w:tl2br w:val="nil"/>
              <w:tr2bl w:val="nil"/>
            </w:tcBorders>
            <w:noWrap/>
            <w:textDirection w:val="lrTb"/>
            <w:vAlign w:val="bottom"/>
          </w:tcPr>
          <w:p w:rsidR="00A01DC4" w:rsidRPr="0057579C" w:rsidP="00A01DC4">
            <w:pPr>
              <w:rPr>
                <w:rFonts w:ascii="Times New Roman" w:hAnsi="Times New Roman" w:cs="Times New Roman"/>
                <w:sz w:val="20"/>
                <w:szCs w:val="20"/>
              </w:rPr>
            </w:pPr>
            <w:r w:rsidRPr="0057579C">
              <w:rPr>
                <w:rFonts w:ascii="Times New Roman" w:hAnsi="Times New Roman" w:cs="Times New Roman"/>
                <w:sz w:val="20"/>
                <w:szCs w:val="20"/>
              </w:rPr>
              <w:t xml:space="preserve">  pohľadávky</w:t>
            </w:r>
          </w:p>
        </w:tc>
        <w:tc>
          <w:tcPr>
            <w:tcW w:w="126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151 539</w:t>
            </w:r>
          </w:p>
        </w:tc>
        <w:tc>
          <w:tcPr>
            <w:tcW w:w="1440" w:type="dxa"/>
            <w:tcBorders>
              <w:top w:val="nil"/>
              <w:left w:val="nil"/>
              <w:bottom w:val="nil"/>
              <w:right w:val="single" w:sz="4" w:space="0" w:color="auto"/>
              <w:tl2br w:val="nil"/>
              <w:tr2bl w:val="nil"/>
            </w:tcBorders>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-46 972</w:t>
            </w:r>
          </w:p>
        </w:tc>
        <w:tc>
          <w:tcPr>
            <w:tcW w:w="126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-1</w:t>
            </w:r>
          </w:p>
        </w:tc>
        <w:tc>
          <w:tcPr>
            <w:tcW w:w="144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-46 971</w:t>
            </w:r>
          </w:p>
        </w:tc>
        <w:tc>
          <w:tcPr>
            <w:tcW w:w="1440" w:type="dxa"/>
            <w:tcBorders>
              <w:top w:val="nil"/>
              <w:left w:val="nil"/>
              <w:bottom w:val="nil"/>
              <w:right w:val="single" w:sz="8" w:space="0" w:color="auto"/>
              <w:tl2br w:val="nil"/>
              <w:tr2bl w:val="nil"/>
            </w:tcBorders>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104 567</w:t>
            </w:r>
          </w:p>
        </w:tc>
      </w:tr>
      <w:tr>
        <w:tblPrEx>
          <w:tblW w:w="9430" w:type="dxa"/>
          <w:tblCellMar>
            <w:left w:w="70" w:type="dxa"/>
            <w:right w:w="70" w:type="dxa"/>
          </w:tblCellMar>
        </w:tblPrEx>
        <w:trPr>
          <w:trHeight w:val="202"/>
        </w:trPr>
        <w:tc>
          <w:tcPr>
            <w:tcW w:w="2590" w:type="dxa"/>
            <w:tcBorders>
              <w:top w:val="nil"/>
              <w:left w:val="single" w:sz="8" w:space="0" w:color="auto"/>
              <w:bottom w:val="nil"/>
              <w:right w:val="single" w:sz="4" w:space="0" w:color="000000"/>
              <w:tl2br w:val="nil"/>
              <w:tr2bl w:val="nil"/>
            </w:tcBorders>
            <w:noWrap/>
            <w:textDirection w:val="lrTb"/>
            <w:vAlign w:val="bottom"/>
          </w:tcPr>
          <w:p w:rsidR="00A01DC4" w:rsidRPr="0057579C" w:rsidP="00A01DC4">
            <w:pPr>
              <w:rPr>
                <w:rFonts w:ascii="Times New Roman" w:hAnsi="Times New Roman" w:cs="Times New Roman"/>
                <w:sz w:val="20"/>
                <w:szCs w:val="20"/>
              </w:rPr>
            </w:pPr>
            <w:r w:rsidRPr="0057579C">
              <w:rPr>
                <w:rFonts w:ascii="Times New Roman" w:hAnsi="Times New Roman" w:cs="Times New Roman"/>
                <w:sz w:val="20"/>
                <w:szCs w:val="20"/>
              </w:rPr>
              <w:t xml:space="preserve">  finančný majetok</w:t>
            </w:r>
          </w:p>
        </w:tc>
        <w:tc>
          <w:tcPr>
            <w:tcW w:w="126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102 726</w:t>
            </w:r>
          </w:p>
        </w:tc>
        <w:tc>
          <w:tcPr>
            <w:tcW w:w="1440" w:type="dxa"/>
            <w:tcBorders>
              <w:top w:val="nil"/>
              <w:left w:val="nil"/>
              <w:bottom w:val="nil"/>
              <w:right w:val="single" w:sz="4" w:space="0" w:color="auto"/>
              <w:tl2br w:val="nil"/>
              <w:tr2bl w:val="nil"/>
            </w:tcBorders>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0</w:t>
            </w:r>
          </w:p>
        </w:tc>
        <w:tc>
          <w:tcPr>
            <w:tcW w:w="126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0</w:t>
            </w:r>
          </w:p>
        </w:tc>
        <w:tc>
          <w:tcPr>
            <w:tcW w:w="144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0</w:t>
            </w:r>
          </w:p>
        </w:tc>
        <w:tc>
          <w:tcPr>
            <w:tcW w:w="1440" w:type="dxa"/>
            <w:tcBorders>
              <w:top w:val="nil"/>
              <w:left w:val="nil"/>
              <w:bottom w:val="nil"/>
              <w:right w:val="single" w:sz="8" w:space="0" w:color="auto"/>
              <w:tl2br w:val="nil"/>
              <w:tr2bl w:val="nil"/>
            </w:tcBorders>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102 726</w:t>
            </w:r>
          </w:p>
        </w:tc>
      </w:tr>
      <w:tr>
        <w:tblPrEx>
          <w:tblW w:w="9430" w:type="dxa"/>
          <w:tblCellMar>
            <w:left w:w="70" w:type="dxa"/>
            <w:right w:w="70" w:type="dxa"/>
          </w:tblCellMar>
        </w:tblPrEx>
        <w:trPr>
          <w:trHeight w:val="158"/>
        </w:trPr>
        <w:tc>
          <w:tcPr>
            <w:tcW w:w="2590" w:type="dxa"/>
            <w:tcBorders>
              <w:top w:val="nil"/>
              <w:left w:val="single" w:sz="8" w:space="0" w:color="auto"/>
              <w:bottom w:val="nil"/>
              <w:right w:val="single" w:sz="4" w:space="0" w:color="000000"/>
              <w:tl2br w:val="nil"/>
              <w:tr2bl w:val="nil"/>
            </w:tcBorders>
            <w:noWrap/>
            <w:textDirection w:val="lrTb"/>
            <w:vAlign w:val="bottom"/>
          </w:tcPr>
          <w:p w:rsidR="00A01DC4" w:rsidRPr="0057579C" w:rsidP="00A01DC4">
            <w:pPr>
              <w:rPr>
                <w:rFonts w:ascii="Times New Roman" w:hAnsi="Times New Roman" w:cs="Times New Roman"/>
                <w:sz w:val="20"/>
                <w:szCs w:val="20"/>
              </w:rPr>
            </w:pPr>
            <w:r w:rsidRPr="0057579C">
              <w:rPr>
                <w:rFonts w:ascii="Times New Roman" w:hAnsi="Times New Roman" w:cs="Times New Roman"/>
                <w:sz w:val="20"/>
                <w:szCs w:val="20"/>
              </w:rPr>
              <w:t xml:space="preserve">  účty časového rozlíšenia</w:t>
            </w:r>
          </w:p>
        </w:tc>
        <w:tc>
          <w:tcPr>
            <w:tcW w:w="126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0</w:t>
            </w:r>
          </w:p>
        </w:tc>
        <w:tc>
          <w:tcPr>
            <w:tcW w:w="144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0</w:t>
            </w:r>
          </w:p>
        </w:tc>
        <w:tc>
          <w:tcPr>
            <w:tcW w:w="126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0</w:t>
            </w:r>
          </w:p>
        </w:tc>
        <w:tc>
          <w:tcPr>
            <w:tcW w:w="1440" w:type="dxa"/>
            <w:tcBorders>
              <w:top w:val="nil"/>
              <w:left w:val="nil"/>
              <w:bottom w:val="nil"/>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0</w:t>
            </w:r>
          </w:p>
        </w:tc>
        <w:tc>
          <w:tcPr>
            <w:tcW w:w="1440" w:type="dxa"/>
            <w:tcBorders>
              <w:top w:val="nil"/>
              <w:left w:val="nil"/>
              <w:bottom w:val="nil"/>
              <w:right w:val="single" w:sz="8" w:space="0" w:color="auto"/>
              <w:tl2br w:val="nil"/>
              <w:tr2bl w:val="nil"/>
            </w:tcBorders>
            <w:noWrap/>
            <w:textDirection w:val="lrTb"/>
            <w:vAlign w:val="bottom"/>
          </w:tcPr>
          <w:p w:rsidR="00A01DC4" w:rsidRPr="0057579C" w:rsidP="00A01DC4">
            <w:pPr>
              <w:jc w:val="right"/>
              <w:rPr>
                <w:rFonts w:ascii="Times New Roman" w:hAnsi="Times New Roman" w:cs="Times New Roman"/>
                <w:sz w:val="20"/>
                <w:szCs w:val="20"/>
              </w:rPr>
            </w:pPr>
            <w:r w:rsidRPr="0057579C">
              <w:rPr>
                <w:rFonts w:ascii="Times New Roman" w:hAnsi="Times New Roman" w:cs="Times New Roman"/>
                <w:sz w:val="20"/>
                <w:szCs w:val="20"/>
              </w:rPr>
              <w:t>0</w:t>
            </w:r>
          </w:p>
        </w:tc>
      </w:tr>
      <w:tr>
        <w:tblPrEx>
          <w:tblW w:w="9430" w:type="dxa"/>
          <w:tblCellMar>
            <w:left w:w="70" w:type="dxa"/>
            <w:right w:w="70" w:type="dxa"/>
          </w:tblCellMar>
        </w:tblPrEx>
        <w:trPr>
          <w:trHeight w:val="112"/>
        </w:trPr>
        <w:tc>
          <w:tcPr>
            <w:tcW w:w="2590" w:type="dxa"/>
            <w:tcBorders>
              <w:top w:val="nil"/>
              <w:left w:val="single" w:sz="8" w:space="0" w:color="auto"/>
              <w:bottom w:val="single" w:sz="4" w:space="0" w:color="auto"/>
              <w:right w:val="single" w:sz="4" w:space="0" w:color="000000"/>
              <w:tl2br w:val="nil"/>
              <w:tr2bl w:val="nil"/>
            </w:tcBorders>
            <w:noWrap/>
            <w:textDirection w:val="lrTb"/>
            <w:vAlign w:val="bottom"/>
          </w:tcPr>
          <w:p w:rsidR="00A01DC4" w:rsidRPr="0057579C" w:rsidP="00A01DC4">
            <w:pPr>
              <w:rPr>
                <w:rFonts w:ascii="Arial" w:hAnsi="Arial" w:cs="Arial"/>
                <w:sz w:val="20"/>
                <w:szCs w:val="20"/>
              </w:rPr>
            </w:pPr>
            <w:r w:rsidRPr="0057579C">
              <w:rPr>
                <w:rFonts w:ascii="Arial" w:hAnsi="Arial" w:cs="Arial"/>
                <w:sz w:val="20"/>
                <w:szCs w:val="20"/>
              </w:rPr>
              <w:t> </w:t>
            </w:r>
          </w:p>
        </w:tc>
        <w:tc>
          <w:tcPr>
            <w:tcW w:w="1260" w:type="dxa"/>
            <w:tcBorders>
              <w:top w:val="nil"/>
              <w:left w:val="nil"/>
              <w:bottom w:val="single" w:sz="4" w:space="0" w:color="auto"/>
              <w:right w:val="single" w:sz="4" w:space="0" w:color="auto"/>
              <w:tl2br w:val="nil"/>
              <w:tr2bl w:val="nil"/>
            </w:tcBorders>
            <w:noWrap/>
            <w:textDirection w:val="lrTb"/>
            <w:vAlign w:val="bottom"/>
          </w:tcPr>
          <w:p w:rsidR="00A01DC4" w:rsidRPr="0057579C" w:rsidP="00A01DC4">
            <w:pPr>
              <w:rPr>
                <w:rFonts w:ascii="Arial" w:hAnsi="Arial" w:cs="Arial"/>
                <w:sz w:val="20"/>
                <w:szCs w:val="20"/>
              </w:rPr>
            </w:pPr>
            <w:r w:rsidRPr="0057579C">
              <w:rPr>
                <w:rFonts w:ascii="Arial" w:hAnsi="Arial" w:cs="Arial"/>
                <w:sz w:val="20"/>
                <w:szCs w:val="20"/>
              </w:rPr>
              <w:t> </w:t>
            </w:r>
          </w:p>
        </w:tc>
        <w:tc>
          <w:tcPr>
            <w:tcW w:w="1440" w:type="dxa"/>
            <w:tcBorders>
              <w:top w:val="nil"/>
              <w:left w:val="nil"/>
              <w:bottom w:val="single" w:sz="4" w:space="0" w:color="auto"/>
              <w:right w:val="single" w:sz="4" w:space="0" w:color="auto"/>
              <w:tl2br w:val="nil"/>
              <w:tr2bl w:val="nil"/>
            </w:tcBorders>
            <w:noWrap/>
            <w:textDirection w:val="lrTb"/>
            <w:vAlign w:val="bottom"/>
          </w:tcPr>
          <w:p w:rsidR="00A01DC4" w:rsidRPr="0057579C" w:rsidP="00A01DC4">
            <w:pPr>
              <w:rPr>
                <w:rFonts w:ascii="Arial" w:hAnsi="Arial" w:cs="Arial"/>
                <w:sz w:val="20"/>
                <w:szCs w:val="20"/>
              </w:rPr>
            </w:pPr>
            <w:r w:rsidRPr="0057579C">
              <w:rPr>
                <w:rFonts w:ascii="Arial" w:hAnsi="Arial" w:cs="Arial"/>
                <w:sz w:val="20"/>
                <w:szCs w:val="20"/>
              </w:rPr>
              <w:t> </w:t>
            </w:r>
          </w:p>
        </w:tc>
        <w:tc>
          <w:tcPr>
            <w:tcW w:w="1260" w:type="dxa"/>
            <w:tcBorders>
              <w:top w:val="nil"/>
              <w:left w:val="nil"/>
              <w:bottom w:val="single" w:sz="4" w:space="0" w:color="auto"/>
              <w:right w:val="single" w:sz="4" w:space="0" w:color="auto"/>
              <w:tl2br w:val="nil"/>
              <w:tr2bl w:val="nil"/>
            </w:tcBorders>
            <w:noWrap/>
            <w:textDirection w:val="lrTb"/>
            <w:vAlign w:val="bottom"/>
          </w:tcPr>
          <w:p w:rsidR="00A01DC4" w:rsidRPr="0057579C" w:rsidP="00A01DC4">
            <w:pPr>
              <w:rPr>
                <w:rFonts w:ascii="Arial" w:hAnsi="Arial" w:cs="Arial"/>
                <w:sz w:val="20"/>
                <w:szCs w:val="20"/>
              </w:rPr>
            </w:pPr>
            <w:r w:rsidRPr="0057579C">
              <w:rPr>
                <w:rFonts w:ascii="Arial" w:hAnsi="Arial" w:cs="Arial"/>
                <w:sz w:val="20"/>
                <w:szCs w:val="20"/>
              </w:rPr>
              <w:t> </w:t>
            </w:r>
          </w:p>
        </w:tc>
        <w:tc>
          <w:tcPr>
            <w:tcW w:w="1440" w:type="dxa"/>
            <w:tcBorders>
              <w:top w:val="nil"/>
              <w:left w:val="nil"/>
              <w:bottom w:val="single" w:sz="4" w:space="0" w:color="auto"/>
              <w:right w:val="single" w:sz="4" w:space="0" w:color="auto"/>
              <w:tl2br w:val="nil"/>
              <w:tr2bl w:val="nil"/>
            </w:tcBorders>
            <w:noWrap/>
            <w:textDirection w:val="lrTb"/>
            <w:vAlign w:val="bottom"/>
          </w:tcPr>
          <w:p w:rsidR="00A01DC4" w:rsidRPr="0057579C" w:rsidP="00A01DC4">
            <w:pPr>
              <w:rPr>
                <w:rFonts w:ascii="Arial" w:hAnsi="Arial" w:cs="Arial"/>
                <w:sz w:val="20"/>
                <w:szCs w:val="20"/>
              </w:rPr>
            </w:pPr>
            <w:r w:rsidRPr="0057579C">
              <w:rPr>
                <w:rFonts w:ascii="Arial" w:hAnsi="Arial" w:cs="Arial"/>
                <w:sz w:val="20"/>
                <w:szCs w:val="20"/>
              </w:rPr>
              <w:t> </w:t>
            </w:r>
          </w:p>
        </w:tc>
        <w:tc>
          <w:tcPr>
            <w:tcW w:w="1440" w:type="dxa"/>
            <w:tcBorders>
              <w:top w:val="nil"/>
              <w:left w:val="nil"/>
              <w:bottom w:val="single" w:sz="4" w:space="0" w:color="auto"/>
              <w:right w:val="single" w:sz="8" w:space="0" w:color="auto"/>
              <w:tl2br w:val="nil"/>
              <w:tr2bl w:val="nil"/>
            </w:tcBorders>
            <w:noWrap/>
            <w:textDirection w:val="lrTb"/>
            <w:vAlign w:val="bottom"/>
          </w:tcPr>
          <w:p w:rsidR="00A01DC4" w:rsidRPr="0057579C" w:rsidP="00A01DC4">
            <w:pPr>
              <w:rPr>
                <w:rFonts w:ascii="Arial" w:hAnsi="Arial" w:cs="Arial"/>
                <w:sz w:val="20"/>
                <w:szCs w:val="20"/>
              </w:rPr>
            </w:pPr>
            <w:r w:rsidRPr="0057579C">
              <w:rPr>
                <w:rFonts w:ascii="Arial" w:hAnsi="Arial" w:cs="Arial"/>
                <w:sz w:val="20"/>
                <w:szCs w:val="20"/>
              </w:rPr>
              <w:t> </w:t>
            </w:r>
          </w:p>
        </w:tc>
      </w:tr>
      <w:tr>
        <w:tblPrEx>
          <w:tblW w:w="9430" w:type="dxa"/>
          <w:tblCellMar>
            <w:left w:w="70" w:type="dxa"/>
            <w:right w:w="70" w:type="dxa"/>
          </w:tblCellMar>
        </w:tblPrEx>
        <w:trPr>
          <w:trHeight w:val="191"/>
        </w:trPr>
        <w:tc>
          <w:tcPr>
            <w:tcW w:w="2590" w:type="dxa"/>
            <w:tcBorders>
              <w:top w:val="single" w:sz="4" w:space="0" w:color="auto"/>
              <w:left w:val="single" w:sz="8" w:space="0" w:color="auto"/>
              <w:bottom w:val="double" w:sz="6" w:space="0" w:color="auto"/>
              <w:right w:val="single" w:sz="4" w:space="0" w:color="000000"/>
              <w:tl2br w:val="nil"/>
              <w:tr2bl w:val="nil"/>
            </w:tcBorders>
            <w:noWrap/>
            <w:textDirection w:val="lrTb"/>
            <w:vAlign w:val="bottom"/>
          </w:tcPr>
          <w:p w:rsidR="00A01DC4" w:rsidRPr="0057579C" w:rsidP="00A01DC4">
            <w:pPr>
              <w:rPr>
                <w:rFonts w:ascii="Times New Roman" w:hAnsi="Times New Roman" w:cs="Times New Roman"/>
                <w:b/>
                <w:bCs/>
                <w:sz w:val="20"/>
                <w:szCs w:val="20"/>
              </w:rPr>
            </w:pPr>
            <w:r w:rsidRPr="0057579C">
              <w:rPr>
                <w:rFonts w:ascii="Times New Roman" w:hAnsi="Times New Roman" w:cs="Times New Roman"/>
                <w:b/>
                <w:bCs/>
                <w:sz w:val="20"/>
                <w:szCs w:val="20"/>
              </w:rPr>
              <w:t xml:space="preserve"> SPOLU</w:t>
            </w:r>
          </w:p>
        </w:tc>
        <w:tc>
          <w:tcPr>
            <w:tcW w:w="1260" w:type="dxa"/>
            <w:tcBorders>
              <w:top w:val="nil"/>
              <w:left w:val="nil"/>
              <w:bottom w:val="double" w:sz="6" w:space="0" w:color="auto"/>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b/>
                <w:bCs/>
                <w:sz w:val="20"/>
                <w:szCs w:val="20"/>
              </w:rPr>
            </w:pPr>
            <w:r w:rsidRPr="0057579C">
              <w:rPr>
                <w:rFonts w:ascii="Times New Roman" w:hAnsi="Times New Roman" w:cs="Times New Roman"/>
                <w:b/>
                <w:bCs/>
                <w:sz w:val="20"/>
                <w:szCs w:val="20"/>
              </w:rPr>
              <w:t>743 244</w:t>
            </w:r>
          </w:p>
        </w:tc>
        <w:tc>
          <w:tcPr>
            <w:tcW w:w="1440" w:type="dxa"/>
            <w:tcBorders>
              <w:top w:val="nil"/>
              <w:left w:val="nil"/>
              <w:bottom w:val="double" w:sz="6" w:space="0" w:color="auto"/>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b/>
                <w:bCs/>
                <w:sz w:val="20"/>
                <w:szCs w:val="20"/>
              </w:rPr>
            </w:pPr>
            <w:r w:rsidRPr="0057579C">
              <w:rPr>
                <w:rFonts w:ascii="Times New Roman" w:hAnsi="Times New Roman" w:cs="Times New Roman"/>
                <w:b/>
                <w:bCs/>
                <w:sz w:val="20"/>
                <w:szCs w:val="20"/>
              </w:rPr>
              <w:t>-213 514</w:t>
            </w:r>
          </w:p>
        </w:tc>
        <w:tc>
          <w:tcPr>
            <w:tcW w:w="1260" w:type="dxa"/>
            <w:tcBorders>
              <w:top w:val="nil"/>
              <w:left w:val="nil"/>
              <w:bottom w:val="double" w:sz="6" w:space="0" w:color="auto"/>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b/>
                <w:bCs/>
                <w:sz w:val="20"/>
                <w:szCs w:val="20"/>
              </w:rPr>
            </w:pPr>
            <w:r w:rsidRPr="0057579C">
              <w:rPr>
                <w:rFonts w:ascii="Times New Roman" w:hAnsi="Times New Roman" w:cs="Times New Roman"/>
                <w:b/>
                <w:bCs/>
                <w:sz w:val="20"/>
                <w:szCs w:val="20"/>
              </w:rPr>
              <w:t>-158 998</w:t>
            </w:r>
          </w:p>
        </w:tc>
        <w:tc>
          <w:tcPr>
            <w:tcW w:w="1440" w:type="dxa"/>
            <w:tcBorders>
              <w:top w:val="nil"/>
              <w:left w:val="nil"/>
              <w:bottom w:val="double" w:sz="6" w:space="0" w:color="auto"/>
              <w:right w:val="single" w:sz="4" w:space="0" w:color="auto"/>
              <w:tl2br w:val="nil"/>
              <w:tr2bl w:val="nil"/>
            </w:tcBorders>
            <w:noWrap/>
            <w:textDirection w:val="lrTb"/>
            <w:vAlign w:val="bottom"/>
          </w:tcPr>
          <w:p w:rsidR="00A01DC4" w:rsidRPr="0057579C" w:rsidP="00A01DC4">
            <w:pPr>
              <w:jc w:val="right"/>
              <w:rPr>
                <w:rFonts w:ascii="Times New Roman" w:hAnsi="Times New Roman" w:cs="Times New Roman"/>
                <w:b/>
                <w:bCs/>
                <w:sz w:val="20"/>
                <w:szCs w:val="20"/>
              </w:rPr>
            </w:pPr>
            <w:r w:rsidRPr="0057579C">
              <w:rPr>
                <w:rFonts w:ascii="Times New Roman" w:hAnsi="Times New Roman" w:cs="Times New Roman"/>
                <w:b/>
                <w:bCs/>
                <w:sz w:val="20"/>
                <w:szCs w:val="20"/>
              </w:rPr>
              <w:t>-54 516</w:t>
            </w:r>
          </w:p>
        </w:tc>
        <w:tc>
          <w:tcPr>
            <w:tcW w:w="1440" w:type="dxa"/>
            <w:tcBorders>
              <w:top w:val="nil"/>
              <w:left w:val="nil"/>
              <w:bottom w:val="double" w:sz="6" w:space="0" w:color="auto"/>
              <w:right w:val="single" w:sz="8" w:space="0" w:color="auto"/>
              <w:tl2br w:val="nil"/>
              <w:tr2bl w:val="nil"/>
            </w:tcBorders>
            <w:noWrap/>
            <w:textDirection w:val="lrTb"/>
            <w:vAlign w:val="bottom"/>
          </w:tcPr>
          <w:p w:rsidR="00A01DC4" w:rsidRPr="0057579C" w:rsidP="00A01DC4">
            <w:pPr>
              <w:jc w:val="right"/>
              <w:rPr>
                <w:rFonts w:ascii="Times New Roman" w:hAnsi="Times New Roman" w:cs="Times New Roman"/>
                <w:b/>
                <w:bCs/>
                <w:sz w:val="20"/>
                <w:szCs w:val="20"/>
              </w:rPr>
            </w:pPr>
            <w:r w:rsidRPr="0057579C">
              <w:rPr>
                <w:rFonts w:ascii="Times New Roman" w:hAnsi="Times New Roman" w:cs="Times New Roman"/>
                <w:b/>
                <w:bCs/>
                <w:sz w:val="20"/>
                <w:szCs w:val="20"/>
              </w:rPr>
              <w:t>529 730</w:t>
            </w:r>
          </w:p>
        </w:tc>
      </w:tr>
    </w:tbl>
    <w:p w:rsidR="00B534F8" w:rsidRPr="003A7719" w:rsidP="00B534F8">
      <w:pPr>
        <w:spacing w:before="120" w:line="360" w:lineRule="auto"/>
        <w:jc w:val="both"/>
        <w:rPr>
          <w:rFonts w:ascii="Times New Roman" w:hAnsi="Times New Roman" w:cs="Times New Roman"/>
          <w:sz w:val="20"/>
          <w:szCs w:val="20"/>
        </w:rPr>
      </w:pPr>
    </w:p>
    <w:p w:rsidR="00A01DC4" w:rsidP="00A01DC4">
      <w:pPr>
        <w:spacing w:before="120" w:line="360" w:lineRule="auto"/>
        <w:jc w:val="both"/>
        <w:rPr>
          <w:rFonts w:ascii="Times New Roman" w:hAnsi="Times New Roman" w:cs="Times New Roman"/>
        </w:rPr>
      </w:pPr>
      <w:r w:rsidRPr="004843D5">
        <w:rPr>
          <w:rFonts w:ascii="Times New Roman" w:hAnsi="Times New Roman" w:cs="Times New Roman"/>
          <w:sz w:val="20"/>
          <w:szCs w:val="20"/>
        </w:rPr>
        <w:t>Zdroj: Ministerstvo financií SR</w:t>
      </w:r>
      <w:r w:rsidRPr="004843D5">
        <w:rPr>
          <w:rFonts w:ascii="Times New Roman" w:hAnsi="Times New Roman" w:cs="Times New Roman"/>
        </w:rPr>
        <w:t xml:space="preserve"> </w:t>
      </w:r>
    </w:p>
    <w:p w:rsidR="00A01DC4" w:rsidP="00B534F8">
      <w:pPr>
        <w:spacing w:before="120" w:line="360" w:lineRule="auto"/>
        <w:ind w:firstLine="709"/>
        <w:jc w:val="both"/>
        <w:rPr>
          <w:rFonts w:ascii="Times New Roman" w:hAnsi="Times New Roman" w:cs="Times New Roman"/>
        </w:rPr>
      </w:pPr>
    </w:p>
    <w:p w:rsidR="00B534F8" w:rsidRPr="004843D5" w:rsidP="00B534F8">
      <w:pPr>
        <w:spacing w:before="120" w:line="360" w:lineRule="auto"/>
        <w:ind w:firstLine="709"/>
        <w:jc w:val="both"/>
        <w:rPr>
          <w:rFonts w:ascii="Times New Roman" w:hAnsi="Times New Roman" w:cs="Times New Roman"/>
        </w:rPr>
      </w:pPr>
      <w:r w:rsidRPr="004843D5">
        <w:rPr>
          <w:rFonts w:ascii="Times New Roman" w:hAnsi="Times New Roman" w:cs="Times New Roman"/>
        </w:rPr>
        <w:t xml:space="preserve">Súčasťou agregovanej súvahy štátnych rozpočtových organizácií sú aj aktíva Národného fondu, ktoré obsahujú peňažné prostriedky a pohľadávky EÚ v objeme  </w:t>
      </w:r>
      <w:r>
        <w:rPr>
          <w:rFonts w:ascii="Times New Roman" w:hAnsi="Times New Roman" w:cs="Times New Roman"/>
        </w:rPr>
        <w:t>8 735</w:t>
      </w:r>
      <w:r w:rsidRPr="004843D5">
        <w:rPr>
          <w:rFonts w:ascii="Times New Roman" w:hAnsi="Times New Roman" w:cs="Times New Roman"/>
        </w:rPr>
        <w:t xml:space="preserve"> mil. Sk. Po odpočítaní týchto aktív predstavuje reálna hodnota majetku štátnych rozpočtových organizácií  </w:t>
      </w:r>
      <w:r>
        <w:rPr>
          <w:rFonts w:ascii="Times New Roman" w:hAnsi="Times New Roman" w:cs="Times New Roman"/>
        </w:rPr>
        <w:t xml:space="preserve">520 995 </w:t>
      </w:r>
      <w:r w:rsidRPr="004843D5">
        <w:rPr>
          <w:rFonts w:ascii="Times New Roman" w:hAnsi="Times New Roman" w:cs="Times New Roman"/>
        </w:rPr>
        <w:t>mil. Sk.</w:t>
      </w:r>
    </w:p>
    <w:p w:rsidR="00B534F8" w:rsidRPr="004843D5" w:rsidP="00B534F8">
      <w:pPr>
        <w:spacing w:line="360" w:lineRule="auto"/>
        <w:ind w:firstLine="708"/>
        <w:jc w:val="both"/>
        <w:rPr>
          <w:rFonts w:ascii="Times New Roman" w:hAnsi="Times New Roman" w:cs="Times New Roman"/>
        </w:rPr>
      </w:pPr>
      <w:r w:rsidRPr="004843D5">
        <w:rPr>
          <w:rFonts w:ascii="Times New Roman" w:hAnsi="Times New Roman" w:cs="Times New Roman"/>
        </w:rPr>
        <w:t>V súvislosti s tým, že štátne rozpočtové organizácie sú klientmi Štátnej pokladnice, ktorá požičiava ich peňažné prostriedky na priebežné krytie schodku štátneho rozpočtu a splátky štátneho dlhu, reálna štruktúra ich majetku sa odlišuje od údajov z  agregovaných súvah. Požičané prostriedky nie sú v skutočnosti súčasťou majetku na bankových účtoch (krátkodobý finančný majetok), ale pohľadávkou Štátnej pokladnice. Uvedené preklasif</w:t>
      </w:r>
      <w:r w:rsidR="004D0F37">
        <w:rPr>
          <w:rFonts w:ascii="Times New Roman" w:hAnsi="Times New Roman" w:cs="Times New Roman"/>
        </w:rPr>
        <w:t>i</w:t>
      </w:r>
      <w:r w:rsidRPr="004843D5">
        <w:rPr>
          <w:rFonts w:ascii="Times New Roman" w:hAnsi="Times New Roman" w:cs="Times New Roman"/>
        </w:rPr>
        <w:t>kovanie nebolo zohľadnené vo vyššie uvedenej tabuľke o reálnej hodnote aktív štátneho rozpočtu.</w:t>
      </w:r>
    </w:p>
    <w:p w:rsidR="00B534F8" w:rsidP="00B534F8">
      <w:pPr>
        <w:spacing w:line="360" w:lineRule="auto"/>
        <w:rPr>
          <w:rFonts w:ascii="Times New Roman" w:hAnsi="Times New Roman" w:cs="Times New Roman"/>
          <w:b/>
          <w:sz w:val="28"/>
          <w:szCs w:val="28"/>
        </w:rPr>
      </w:pPr>
    </w:p>
    <w:p w:rsidR="00B534F8" w:rsidRPr="00E95DE1" w:rsidP="00B534F8">
      <w:pPr>
        <w:spacing w:line="360" w:lineRule="auto"/>
        <w:jc w:val="center"/>
        <w:rPr>
          <w:rFonts w:ascii="Times New Roman" w:hAnsi="Times New Roman" w:cs="Times New Roman"/>
          <w:b/>
        </w:rPr>
      </w:pPr>
      <w:r w:rsidR="00766559">
        <w:rPr>
          <w:rFonts w:ascii="Times New Roman" w:hAnsi="Times New Roman" w:cs="Times New Roman"/>
          <w:b/>
        </w:rPr>
        <w:t>4</w:t>
      </w:r>
      <w:r w:rsidRPr="00E95DE1">
        <w:rPr>
          <w:rFonts w:ascii="Times New Roman" w:hAnsi="Times New Roman" w:cs="Times New Roman"/>
          <w:b/>
        </w:rPr>
        <w:t>.2. Štátne finančné aktíva a pasíva v roku 2006</w:t>
      </w:r>
    </w:p>
    <w:p w:rsidR="00B534F8" w:rsidP="00B534F8">
      <w:pPr>
        <w:spacing w:line="360" w:lineRule="auto"/>
        <w:rPr>
          <w:rFonts w:ascii="Times New Roman" w:hAnsi="Times New Roman" w:cs="Times New Roman"/>
        </w:rPr>
      </w:pPr>
    </w:p>
    <w:p w:rsidR="00B534F8" w:rsidP="00B534F8">
      <w:pPr>
        <w:spacing w:line="360" w:lineRule="auto"/>
        <w:ind w:firstLine="708"/>
        <w:jc w:val="both"/>
        <w:rPr>
          <w:rFonts w:ascii="Times New Roman" w:hAnsi="Times New Roman" w:cs="Times New Roman"/>
        </w:rPr>
      </w:pPr>
      <w:r>
        <w:rPr>
          <w:rFonts w:ascii="Times New Roman" w:hAnsi="Times New Roman" w:cs="Times New Roman"/>
        </w:rPr>
        <w:t xml:space="preserve">Zákon o rozpočtových pravidlách verejnej správy vymedzuje štátne finančné aktíva ako peňažné prostriedky na bankových účtoch štátnych rozpočtových a príspevkových organizácií, majetkové účasti štátu, cenné papiere vo vlastníctva štátu, pohľadávky štátu z poskytnutých návratných finančných výpomocí, úverov a pôžičiek, ako aj peňažné prostriedky so splácania istín návratných finančných výpomocí, úverov a pôžičiek. Súčasťou štátnych finančných aktív sú aj hotovostné peňažné prostriedky. </w:t>
      </w:r>
    </w:p>
    <w:p w:rsidR="00B534F8" w:rsidP="00B534F8">
      <w:pPr>
        <w:spacing w:line="360" w:lineRule="auto"/>
        <w:jc w:val="both"/>
        <w:rPr>
          <w:rFonts w:ascii="Times New Roman" w:hAnsi="Times New Roman" w:cs="Times New Roman"/>
        </w:rPr>
      </w:pPr>
      <w:r>
        <w:rPr>
          <w:rFonts w:ascii="Times New Roman" w:hAnsi="Times New Roman" w:cs="Times New Roman"/>
        </w:rPr>
        <w:tab/>
        <w:t>Štátne finančné pasíva sú záväzky štátu s prijatých úverov vlády, z vydaných cenných papierov, ako aj záväzky štátnych príspevkových organizácií vzniknuté z úverových vzťahov.</w:t>
      </w:r>
    </w:p>
    <w:p w:rsidR="00B534F8" w:rsidP="00B534F8">
      <w:pPr>
        <w:spacing w:line="360" w:lineRule="auto"/>
        <w:jc w:val="both"/>
        <w:rPr>
          <w:rFonts w:ascii="Times New Roman" w:hAnsi="Times New Roman" w:cs="Times New Roman"/>
        </w:rPr>
      </w:pPr>
      <w:r>
        <w:rPr>
          <w:rFonts w:ascii="Times New Roman" w:hAnsi="Times New Roman" w:cs="Times New Roman"/>
        </w:rPr>
        <w:tab/>
        <w:t>V zmysle tohto vymedzenia dosiahli ku koncu roka 2006 štátne finančné aktíva a pasíva bilančnú hodnotu 344 217,2 mil. Sk v nasledujúcej štruktúre (v mil. Sk):</w:t>
      </w:r>
    </w:p>
    <w:p w:rsidR="00B534F8" w:rsidP="00B534F8">
      <w:pPr>
        <w:spacing w:line="360" w:lineRule="auto"/>
        <w:jc w:val="both"/>
        <w:rPr>
          <w:rFonts w:ascii="Times New Roman" w:hAnsi="Times New Roman" w:cs="Times New Roman"/>
        </w:rPr>
      </w:pPr>
    </w:p>
    <w:tbl>
      <w:tblPr>
        <w:tblW w:w="9440"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Pr>
      <w:tblGrid>
        <w:gridCol w:w="5148"/>
        <w:gridCol w:w="2146"/>
        <w:gridCol w:w="2146"/>
      </w:tblGrid>
      <w:tr>
        <w:tblPrEx>
          <w:tblW w:w="9440"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PrEx>
        <w:trPr>
          <w:trHeight w:hRule="auto" w:val="0"/>
        </w:trPr>
        <w:tc>
          <w:tcPr>
            <w:tcW w:w="5148"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B534F8" w:rsidRPr="004D0F37" w:rsidP="004D0F37">
            <w:pPr>
              <w:spacing w:line="360" w:lineRule="auto"/>
              <w:jc w:val="center"/>
              <w:rPr>
                <w:rFonts w:ascii="Times New Roman" w:hAnsi="Times New Roman" w:cs="Times New Roman"/>
                <w:b/>
                <w:sz w:val="20"/>
                <w:szCs w:val="20"/>
              </w:rPr>
            </w:pPr>
          </w:p>
          <w:p w:rsidR="00B534F8" w:rsidRPr="004D0F37" w:rsidP="004D0F37">
            <w:pPr>
              <w:spacing w:line="360" w:lineRule="auto"/>
              <w:jc w:val="center"/>
              <w:rPr>
                <w:rFonts w:ascii="Times New Roman" w:hAnsi="Times New Roman" w:cs="Times New Roman"/>
                <w:b/>
                <w:sz w:val="20"/>
                <w:szCs w:val="20"/>
              </w:rPr>
            </w:pPr>
            <w:r w:rsidRPr="004D0F37">
              <w:rPr>
                <w:rFonts w:ascii="Times New Roman" w:hAnsi="Times New Roman" w:cs="Times New Roman"/>
                <w:b/>
                <w:sz w:val="20"/>
                <w:szCs w:val="20"/>
              </w:rPr>
              <w:t>Druh aktív</w:t>
            </w:r>
          </w:p>
        </w:tc>
        <w:tc>
          <w:tcPr>
            <w:tcW w:w="2146"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5D061B" w:rsidP="005D061B">
            <w:pPr>
              <w:spacing w:line="360" w:lineRule="auto"/>
              <w:jc w:val="center"/>
              <w:rPr>
                <w:rFonts w:ascii="Times New Roman" w:hAnsi="Times New Roman" w:cs="Times New Roman"/>
                <w:b/>
                <w:sz w:val="20"/>
                <w:szCs w:val="20"/>
              </w:rPr>
            </w:pPr>
            <w:r w:rsidRPr="004D0F37" w:rsidR="00B534F8">
              <w:rPr>
                <w:rFonts w:ascii="Times New Roman" w:hAnsi="Times New Roman" w:cs="Times New Roman"/>
                <w:b/>
                <w:sz w:val="20"/>
                <w:szCs w:val="20"/>
              </w:rPr>
              <w:t>Stav</w:t>
            </w:r>
          </w:p>
          <w:p w:rsidR="00B534F8" w:rsidRPr="004D0F37" w:rsidP="005D061B">
            <w:pPr>
              <w:spacing w:line="360" w:lineRule="auto"/>
              <w:jc w:val="center"/>
              <w:rPr>
                <w:rFonts w:ascii="Times New Roman" w:hAnsi="Times New Roman" w:cs="Times New Roman"/>
                <w:b/>
                <w:sz w:val="20"/>
                <w:szCs w:val="20"/>
              </w:rPr>
            </w:pPr>
            <w:r w:rsidRPr="004D0F37">
              <w:rPr>
                <w:rFonts w:ascii="Times New Roman" w:hAnsi="Times New Roman" w:cs="Times New Roman"/>
                <w:b/>
                <w:sz w:val="20"/>
                <w:szCs w:val="20"/>
              </w:rPr>
              <w:t>31.12.2005</w:t>
            </w:r>
          </w:p>
        </w:tc>
        <w:tc>
          <w:tcPr>
            <w:tcW w:w="2146"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B534F8" w:rsidRPr="004D0F37" w:rsidP="004D0F37">
            <w:pPr>
              <w:spacing w:line="360" w:lineRule="auto"/>
              <w:jc w:val="center"/>
              <w:rPr>
                <w:rFonts w:ascii="Times New Roman" w:hAnsi="Times New Roman" w:cs="Times New Roman"/>
                <w:b/>
                <w:sz w:val="20"/>
                <w:szCs w:val="20"/>
              </w:rPr>
            </w:pPr>
            <w:r w:rsidRPr="004D0F37">
              <w:rPr>
                <w:rFonts w:ascii="Times New Roman" w:hAnsi="Times New Roman" w:cs="Times New Roman"/>
                <w:b/>
                <w:sz w:val="20"/>
                <w:szCs w:val="20"/>
              </w:rPr>
              <w:t>Stav</w:t>
            </w:r>
          </w:p>
          <w:p w:rsidR="00B534F8" w:rsidRPr="004D0F37" w:rsidP="004D0F37">
            <w:pPr>
              <w:spacing w:line="360" w:lineRule="auto"/>
              <w:jc w:val="center"/>
              <w:rPr>
                <w:rFonts w:ascii="Times New Roman" w:hAnsi="Times New Roman" w:cs="Times New Roman"/>
                <w:b/>
                <w:sz w:val="20"/>
                <w:szCs w:val="20"/>
              </w:rPr>
            </w:pPr>
            <w:r w:rsidRPr="004D0F37">
              <w:rPr>
                <w:rFonts w:ascii="Times New Roman" w:hAnsi="Times New Roman" w:cs="Times New Roman"/>
                <w:b/>
                <w:sz w:val="20"/>
                <w:szCs w:val="20"/>
              </w:rPr>
              <w:t>31.12.2006</w:t>
            </w:r>
          </w:p>
        </w:tc>
      </w:tr>
      <w:tr>
        <w:tblPrEx>
          <w:tblW w:w="9440" w:type="dxa"/>
          <w:tblLayout w:type="fixed"/>
        </w:tblPrEx>
        <w:trPr>
          <w:trHeight w:val="166"/>
        </w:trPr>
        <w:tc>
          <w:tcPr>
            <w:tcW w:w="51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4D0F37" w:rsidP="00B534F8">
            <w:pPr>
              <w:spacing w:line="360" w:lineRule="auto"/>
              <w:jc w:val="both"/>
              <w:rPr>
                <w:rFonts w:ascii="Times New Roman" w:hAnsi="Times New Roman" w:cs="Times New Roman"/>
                <w:b/>
                <w:sz w:val="20"/>
                <w:szCs w:val="20"/>
              </w:rPr>
            </w:pPr>
            <w:r w:rsidRPr="004D0F37">
              <w:rPr>
                <w:rFonts w:ascii="Times New Roman" w:hAnsi="Times New Roman" w:cs="Times New Roman"/>
                <w:b/>
                <w:sz w:val="20"/>
                <w:szCs w:val="20"/>
              </w:rPr>
              <w:t>ŠFA rozpočtových organizácií</w:t>
            </w:r>
          </w:p>
          <w:p w:rsidR="00B534F8" w:rsidRPr="004D0F37" w:rsidP="00B534F8">
            <w:pPr>
              <w:spacing w:line="360" w:lineRule="auto"/>
              <w:jc w:val="both"/>
              <w:rPr>
                <w:rFonts w:ascii="Times New Roman" w:hAnsi="Times New Roman" w:cs="Times New Roman"/>
                <w:b/>
                <w:sz w:val="20"/>
                <w:szCs w:val="20"/>
              </w:rPr>
            </w:pPr>
            <w:r w:rsidRPr="004D0F37">
              <w:rPr>
                <w:rFonts w:ascii="Times New Roman" w:hAnsi="Times New Roman" w:cs="Times New Roman"/>
                <w:b/>
                <w:sz w:val="20"/>
                <w:szCs w:val="20"/>
              </w:rPr>
              <w:t>v tom:</w:t>
            </w:r>
          </w:p>
        </w:tc>
        <w:tc>
          <w:tcPr>
            <w:tcW w:w="214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b/>
                <w:sz w:val="20"/>
                <w:szCs w:val="20"/>
              </w:rPr>
            </w:pPr>
            <w:r w:rsidRPr="004D0F37">
              <w:rPr>
                <w:rFonts w:ascii="Times New Roman" w:hAnsi="Times New Roman" w:cs="Times New Roman"/>
                <w:b/>
                <w:sz w:val="20"/>
                <w:szCs w:val="20"/>
              </w:rPr>
              <w:t>333 655,0</w:t>
            </w:r>
          </w:p>
        </w:tc>
        <w:tc>
          <w:tcPr>
            <w:tcW w:w="214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b/>
                <w:sz w:val="20"/>
                <w:szCs w:val="20"/>
              </w:rPr>
            </w:pPr>
            <w:r w:rsidRPr="004D0F37">
              <w:rPr>
                <w:rFonts w:ascii="Times New Roman" w:hAnsi="Times New Roman" w:cs="Times New Roman"/>
                <w:b/>
                <w:sz w:val="20"/>
                <w:szCs w:val="20"/>
              </w:rPr>
              <w:t>339 592,6</w:t>
            </w:r>
          </w:p>
        </w:tc>
      </w:tr>
      <w:tr>
        <w:tblPrEx>
          <w:tblW w:w="9440" w:type="dxa"/>
          <w:tblLayout w:type="fixed"/>
        </w:tblPrEx>
        <w:trPr>
          <w:trHeight w:hRule="auto" w:val="0"/>
        </w:trPr>
        <w:tc>
          <w:tcPr>
            <w:tcW w:w="51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4D0F37" w:rsidP="00B534F8">
            <w:pPr>
              <w:spacing w:line="360" w:lineRule="auto"/>
              <w:jc w:val="both"/>
              <w:rPr>
                <w:rFonts w:ascii="Times New Roman" w:hAnsi="Times New Roman" w:cs="Times New Roman"/>
                <w:sz w:val="20"/>
                <w:szCs w:val="20"/>
              </w:rPr>
            </w:pPr>
            <w:r w:rsidRPr="004D0F37">
              <w:rPr>
                <w:rFonts w:ascii="Times New Roman" w:hAnsi="Times New Roman" w:cs="Times New Roman"/>
                <w:sz w:val="20"/>
                <w:szCs w:val="20"/>
              </w:rPr>
              <w:t>peňažné prostriedky na bankových účtoch</w:t>
            </w:r>
          </w:p>
        </w:tc>
        <w:tc>
          <w:tcPr>
            <w:tcW w:w="214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sz w:val="20"/>
                <w:szCs w:val="20"/>
              </w:rPr>
            </w:pPr>
            <w:r w:rsidRPr="004D0F37">
              <w:rPr>
                <w:rFonts w:ascii="Times New Roman" w:hAnsi="Times New Roman" w:cs="Times New Roman"/>
                <w:sz w:val="20"/>
                <w:szCs w:val="20"/>
              </w:rPr>
              <w:t>101 902,9</w:t>
            </w:r>
          </w:p>
        </w:tc>
        <w:tc>
          <w:tcPr>
            <w:tcW w:w="214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sz w:val="20"/>
                <w:szCs w:val="20"/>
              </w:rPr>
            </w:pPr>
            <w:r w:rsidRPr="004D0F37">
              <w:rPr>
                <w:rFonts w:ascii="Times New Roman" w:hAnsi="Times New Roman" w:cs="Times New Roman"/>
                <w:sz w:val="20"/>
                <w:szCs w:val="20"/>
              </w:rPr>
              <w:t>86 055,5</w:t>
            </w:r>
          </w:p>
        </w:tc>
      </w:tr>
      <w:tr>
        <w:tblPrEx>
          <w:tblW w:w="9440" w:type="dxa"/>
          <w:tblLayout w:type="fixed"/>
        </w:tblPrEx>
        <w:trPr>
          <w:trHeight w:hRule="auto" w:val="0"/>
        </w:trPr>
        <w:tc>
          <w:tcPr>
            <w:tcW w:w="51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4D0F37" w:rsidP="00B534F8">
            <w:pPr>
              <w:spacing w:line="360" w:lineRule="auto"/>
              <w:jc w:val="both"/>
              <w:rPr>
                <w:rFonts w:ascii="Times New Roman" w:hAnsi="Times New Roman" w:cs="Times New Roman"/>
                <w:sz w:val="20"/>
                <w:szCs w:val="20"/>
              </w:rPr>
            </w:pPr>
            <w:r w:rsidRPr="004D0F37">
              <w:rPr>
                <w:rFonts w:ascii="Times New Roman" w:hAnsi="Times New Roman" w:cs="Times New Roman"/>
                <w:sz w:val="20"/>
                <w:szCs w:val="20"/>
              </w:rPr>
              <w:t>krátkodobé finančné investície</w:t>
            </w:r>
          </w:p>
        </w:tc>
        <w:tc>
          <w:tcPr>
            <w:tcW w:w="214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sz w:val="20"/>
                <w:szCs w:val="20"/>
              </w:rPr>
            </w:pPr>
            <w:r w:rsidRPr="004D0F37">
              <w:rPr>
                <w:rFonts w:ascii="Times New Roman" w:hAnsi="Times New Roman" w:cs="Times New Roman"/>
                <w:sz w:val="20"/>
                <w:szCs w:val="20"/>
              </w:rPr>
              <w:t>0</w:t>
            </w:r>
          </w:p>
        </w:tc>
        <w:tc>
          <w:tcPr>
            <w:tcW w:w="214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sz w:val="20"/>
                <w:szCs w:val="20"/>
              </w:rPr>
            </w:pPr>
            <w:r w:rsidRPr="004D0F37">
              <w:rPr>
                <w:rFonts w:ascii="Times New Roman" w:hAnsi="Times New Roman" w:cs="Times New Roman"/>
                <w:sz w:val="20"/>
                <w:szCs w:val="20"/>
              </w:rPr>
              <w:t>16 450,0</w:t>
            </w:r>
          </w:p>
        </w:tc>
      </w:tr>
      <w:tr>
        <w:tblPrEx>
          <w:tblW w:w="9440" w:type="dxa"/>
          <w:tblLayout w:type="fixed"/>
        </w:tblPrEx>
        <w:trPr>
          <w:trHeight w:hRule="auto" w:val="0"/>
        </w:trPr>
        <w:tc>
          <w:tcPr>
            <w:tcW w:w="51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4D0F37" w:rsidP="00B534F8">
            <w:pPr>
              <w:spacing w:line="360" w:lineRule="auto"/>
              <w:jc w:val="both"/>
              <w:rPr>
                <w:rFonts w:ascii="Times New Roman" w:hAnsi="Times New Roman" w:cs="Times New Roman"/>
                <w:sz w:val="20"/>
                <w:szCs w:val="20"/>
              </w:rPr>
            </w:pPr>
            <w:r w:rsidRPr="004D0F37">
              <w:rPr>
                <w:rFonts w:ascii="Times New Roman" w:hAnsi="Times New Roman" w:cs="Times New Roman"/>
                <w:sz w:val="20"/>
                <w:szCs w:val="20"/>
              </w:rPr>
              <w:t>ostatné peňažné prostriedky</w:t>
            </w:r>
          </w:p>
        </w:tc>
        <w:tc>
          <w:tcPr>
            <w:tcW w:w="214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sz w:val="20"/>
                <w:szCs w:val="20"/>
              </w:rPr>
            </w:pPr>
            <w:r w:rsidRPr="004D0F37">
              <w:rPr>
                <w:rFonts w:ascii="Times New Roman" w:hAnsi="Times New Roman" w:cs="Times New Roman"/>
                <w:sz w:val="20"/>
                <w:szCs w:val="20"/>
              </w:rPr>
              <w:t>52,7</w:t>
            </w:r>
          </w:p>
        </w:tc>
        <w:tc>
          <w:tcPr>
            <w:tcW w:w="214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sz w:val="20"/>
                <w:szCs w:val="20"/>
              </w:rPr>
            </w:pPr>
            <w:r w:rsidRPr="004D0F37">
              <w:rPr>
                <w:rFonts w:ascii="Times New Roman" w:hAnsi="Times New Roman" w:cs="Times New Roman"/>
                <w:sz w:val="20"/>
                <w:szCs w:val="20"/>
              </w:rPr>
              <w:t>220,0</w:t>
            </w:r>
          </w:p>
        </w:tc>
      </w:tr>
      <w:tr>
        <w:tblPrEx>
          <w:tblW w:w="9440" w:type="dxa"/>
          <w:tblLayout w:type="fixed"/>
        </w:tblPrEx>
        <w:trPr>
          <w:trHeight w:hRule="auto" w:val="0"/>
        </w:trPr>
        <w:tc>
          <w:tcPr>
            <w:tcW w:w="51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4D0F37" w:rsidP="00B534F8">
            <w:pPr>
              <w:spacing w:line="360" w:lineRule="auto"/>
              <w:jc w:val="both"/>
              <w:rPr>
                <w:rFonts w:ascii="Times New Roman" w:hAnsi="Times New Roman" w:cs="Times New Roman"/>
                <w:sz w:val="20"/>
                <w:szCs w:val="20"/>
              </w:rPr>
            </w:pPr>
            <w:r w:rsidRPr="004D0F37">
              <w:rPr>
                <w:rFonts w:ascii="Times New Roman" w:hAnsi="Times New Roman" w:cs="Times New Roman"/>
                <w:sz w:val="20"/>
                <w:szCs w:val="20"/>
              </w:rPr>
              <w:t>majetkové účasti štátu</w:t>
            </w:r>
          </w:p>
        </w:tc>
        <w:tc>
          <w:tcPr>
            <w:tcW w:w="214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sz w:val="20"/>
                <w:szCs w:val="20"/>
              </w:rPr>
            </w:pPr>
            <w:r w:rsidRPr="004D0F37">
              <w:rPr>
                <w:rFonts w:ascii="Times New Roman" w:hAnsi="Times New Roman" w:cs="Times New Roman"/>
                <w:sz w:val="20"/>
                <w:szCs w:val="20"/>
              </w:rPr>
              <w:t>159 803,6</w:t>
            </w:r>
          </w:p>
        </w:tc>
        <w:tc>
          <w:tcPr>
            <w:tcW w:w="214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sz w:val="20"/>
                <w:szCs w:val="20"/>
              </w:rPr>
            </w:pPr>
            <w:r w:rsidRPr="004D0F37">
              <w:rPr>
                <w:rFonts w:ascii="Times New Roman" w:hAnsi="Times New Roman" w:cs="Times New Roman"/>
                <w:sz w:val="20"/>
                <w:szCs w:val="20"/>
              </w:rPr>
              <w:t>151 251,1</w:t>
            </w:r>
          </w:p>
        </w:tc>
      </w:tr>
      <w:tr>
        <w:tblPrEx>
          <w:tblW w:w="9440" w:type="dxa"/>
          <w:tblLayout w:type="fixed"/>
        </w:tblPrEx>
        <w:trPr>
          <w:trHeight w:hRule="auto" w:val="0"/>
        </w:trPr>
        <w:tc>
          <w:tcPr>
            <w:tcW w:w="51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4D0F37" w:rsidP="00B534F8">
            <w:pPr>
              <w:spacing w:line="360" w:lineRule="auto"/>
              <w:jc w:val="both"/>
              <w:rPr>
                <w:rFonts w:ascii="Times New Roman" w:hAnsi="Times New Roman" w:cs="Times New Roman"/>
                <w:sz w:val="20"/>
                <w:szCs w:val="20"/>
              </w:rPr>
            </w:pPr>
            <w:r w:rsidRPr="004D0F37">
              <w:rPr>
                <w:rFonts w:ascii="Times New Roman" w:hAnsi="Times New Roman" w:cs="Times New Roman"/>
                <w:sz w:val="20"/>
                <w:szCs w:val="20"/>
              </w:rPr>
              <w:t>návratné finančné výpomoci</w:t>
            </w:r>
          </w:p>
        </w:tc>
        <w:tc>
          <w:tcPr>
            <w:tcW w:w="214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sz w:val="20"/>
                <w:szCs w:val="20"/>
              </w:rPr>
            </w:pPr>
            <w:r w:rsidRPr="004D0F37">
              <w:rPr>
                <w:rFonts w:ascii="Times New Roman" w:hAnsi="Times New Roman" w:cs="Times New Roman"/>
                <w:sz w:val="20"/>
                <w:szCs w:val="20"/>
              </w:rPr>
              <w:t>50 279,0</w:t>
            </w:r>
          </w:p>
        </w:tc>
        <w:tc>
          <w:tcPr>
            <w:tcW w:w="214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sz w:val="20"/>
                <w:szCs w:val="20"/>
              </w:rPr>
            </w:pPr>
            <w:r w:rsidRPr="004D0F37">
              <w:rPr>
                <w:rFonts w:ascii="Times New Roman" w:hAnsi="Times New Roman" w:cs="Times New Roman"/>
                <w:sz w:val="20"/>
                <w:szCs w:val="20"/>
              </w:rPr>
              <w:t>16 543,3</w:t>
            </w:r>
          </w:p>
        </w:tc>
      </w:tr>
      <w:tr>
        <w:tblPrEx>
          <w:tblW w:w="9440" w:type="dxa"/>
          <w:tblLayout w:type="fixed"/>
        </w:tblPrEx>
        <w:trPr>
          <w:trHeight w:hRule="auto" w:val="0"/>
        </w:trPr>
        <w:tc>
          <w:tcPr>
            <w:tcW w:w="51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4D0F37" w:rsidP="00B534F8">
            <w:pPr>
              <w:spacing w:line="360" w:lineRule="auto"/>
              <w:jc w:val="both"/>
              <w:rPr>
                <w:rFonts w:ascii="Times New Roman" w:hAnsi="Times New Roman" w:cs="Times New Roman"/>
                <w:sz w:val="20"/>
                <w:szCs w:val="20"/>
              </w:rPr>
            </w:pPr>
            <w:r w:rsidRPr="004D0F37">
              <w:rPr>
                <w:rFonts w:ascii="Times New Roman" w:hAnsi="Times New Roman" w:cs="Times New Roman"/>
                <w:sz w:val="20"/>
                <w:szCs w:val="20"/>
              </w:rPr>
              <w:t>ostatné pohľadávky</w:t>
            </w:r>
          </w:p>
        </w:tc>
        <w:tc>
          <w:tcPr>
            <w:tcW w:w="214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sz w:val="20"/>
                <w:szCs w:val="20"/>
              </w:rPr>
            </w:pPr>
            <w:r w:rsidRPr="004D0F37">
              <w:rPr>
                <w:rFonts w:ascii="Times New Roman" w:hAnsi="Times New Roman" w:cs="Times New Roman"/>
                <w:sz w:val="20"/>
                <w:szCs w:val="20"/>
              </w:rPr>
              <w:t>21 616,8</w:t>
            </w:r>
          </w:p>
        </w:tc>
        <w:tc>
          <w:tcPr>
            <w:tcW w:w="214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sz w:val="20"/>
                <w:szCs w:val="20"/>
              </w:rPr>
            </w:pPr>
            <w:r w:rsidRPr="004D0F37">
              <w:rPr>
                <w:rFonts w:ascii="Times New Roman" w:hAnsi="Times New Roman" w:cs="Times New Roman"/>
                <w:sz w:val="20"/>
                <w:szCs w:val="20"/>
              </w:rPr>
              <w:t>69 072,7</w:t>
            </w:r>
          </w:p>
        </w:tc>
      </w:tr>
      <w:tr>
        <w:tblPrEx>
          <w:tblW w:w="9440" w:type="dxa"/>
          <w:tblLayout w:type="fixed"/>
        </w:tblPrEx>
        <w:trPr>
          <w:trHeight w:val="204"/>
        </w:trPr>
        <w:tc>
          <w:tcPr>
            <w:tcW w:w="51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4D0F37" w:rsidP="00B534F8">
            <w:pPr>
              <w:spacing w:line="360" w:lineRule="auto"/>
              <w:jc w:val="both"/>
              <w:rPr>
                <w:rFonts w:ascii="Times New Roman" w:hAnsi="Times New Roman" w:cs="Times New Roman"/>
                <w:b/>
                <w:sz w:val="20"/>
                <w:szCs w:val="20"/>
              </w:rPr>
            </w:pPr>
            <w:r w:rsidRPr="004D0F37">
              <w:rPr>
                <w:rFonts w:ascii="Times New Roman" w:hAnsi="Times New Roman" w:cs="Times New Roman"/>
                <w:b/>
                <w:sz w:val="20"/>
                <w:szCs w:val="20"/>
              </w:rPr>
              <w:t>ŠFA príspevkových organizácií</w:t>
            </w:r>
          </w:p>
          <w:p w:rsidR="00B534F8" w:rsidRPr="004D0F37" w:rsidP="00B534F8">
            <w:pPr>
              <w:spacing w:line="360" w:lineRule="auto"/>
              <w:jc w:val="both"/>
              <w:rPr>
                <w:rFonts w:ascii="Times New Roman" w:hAnsi="Times New Roman" w:cs="Times New Roman"/>
                <w:b/>
                <w:sz w:val="20"/>
                <w:szCs w:val="20"/>
              </w:rPr>
            </w:pPr>
            <w:r w:rsidRPr="004D0F37">
              <w:rPr>
                <w:rFonts w:ascii="Times New Roman" w:hAnsi="Times New Roman" w:cs="Times New Roman"/>
                <w:b/>
                <w:sz w:val="20"/>
                <w:szCs w:val="20"/>
              </w:rPr>
              <w:t>v tom:</w:t>
            </w:r>
          </w:p>
        </w:tc>
        <w:tc>
          <w:tcPr>
            <w:tcW w:w="214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b/>
                <w:sz w:val="20"/>
                <w:szCs w:val="20"/>
              </w:rPr>
            </w:pPr>
            <w:r w:rsidRPr="004D0F37">
              <w:rPr>
                <w:rFonts w:ascii="Times New Roman" w:hAnsi="Times New Roman" w:cs="Times New Roman"/>
                <w:b/>
                <w:sz w:val="20"/>
                <w:szCs w:val="20"/>
              </w:rPr>
              <w:t>6 583,6</w:t>
            </w:r>
          </w:p>
        </w:tc>
        <w:tc>
          <w:tcPr>
            <w:tcW w:w="214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b/>
                <w:sz w:val="20"/>
                <w:szCs w:val="20"/>
              </w:rPr>
            </w:pPr>
            <w:r w:rsidRPr="004D0F37">
              <w:rPr>
                <w:rFonts w:ascii="Times New Roman" w:hAnsi="Times New Roman" w:cs="Times New Roman"/>
                <w:b/>
                <w:sz w:val="20"/>
                <w:szCs w:val="20"/>
              </w:rPr>
              <w:t>4 624,6</w:t>
            </w:r>
          </w:p>
        </w:tc>
      </w:tr>
      <w:tr>
        <w:tblPrEx>
          <w:tblW w:w="9440" w:type="dxa"/>
          <w:tblLayout w:type="fixed"/>
        </w:tblPrEx>
        <w:trPr>
          <w:trHeight w:hRule="auto" w:val="0"/>
        </w:trPr>
        <w:tc>
          <w:tcPr>
            <w:tcW w:w="51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4D0F37" w:rsidP="00B534F8">
            <w:pPr>
              <w:spacing w:line="360" w:lineRule="auto"/>
              <w:jc w:val="both"/>
              <w:rPr>
                <w:rFonts w:ascii="Times New Roman" w:hAnsi="Times New Roman" w:cs="Times New Roman"/>
                <w:sz w:val="20"/>
                <w:szCs w:val="20"/>
              </w:rPr>
            </w:pPr>
            <w:r w:rsidRPr="004D0F37">
              <w:rPr>
                <w:rFonts w:ascii="Times New Roman" w:hAnsi="Times New Roman" w:cs="Times New Roman"/>
                <w:sz w:val="20"/>
                <w:szCs w:val="20"/>
              </w:rPr>
              <w:t>peňažné prostriedky na bankových účtoch</w:t>
            </w:r>
          </w:p>
        </w:tc>
        <w:tc>
          <w:tcPr>
            <w:tcW w:w="214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sz w:val="20"/>
                <w:szCs w:val="20"/>
              </w:rPr>
            </w:pPr>
            <w:r w:rsidRPr="004D0F37">
              <w:rPr>
                <w:rFonts w:ascii="Times New Roman" w:hAnsi="Times New Roman" w:cs="Times New Roman"/>
                <w:sz w:val="20"/>
                <w:szCs w:val="20"/>
              </w:rPr>
              <w:t>5 499,0</w:t>
            </w:r>
          </w:p>
        </w:tc>
        <w:tc>
          <w:tcPr>
            <w:tcW w:w="214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sz w:val="20"/>
                <w:szCs w:val="20"/>
              </w:rPr>
            </w:pPr>
            <w:r w:rsidRPr="004D0F37">
              <w:rPr>
                <w:rFonts w:ascii="Times New Roman" w:hAnsi="Times New Roman" w:cs="Times New Roman"/>
                <w:sz w:val="20"/>
                <w:szCs w:val="20"/>
              </w:rPr>
              <w:t>4 601,1</w:t>
            </w:r>
          </w:p>
        </w:tc>
      </w:tr>
      <w:tr>
        <w:tblPrEx>
          <w:tblW w:w="9440" w:type="dxa"/>
          <w:tblLayout w:type="fixed"/>
        </w:tblPrEx>
        <w:trPr>
          <w:trHeight w:hRule="auto" w:val="0"/>
        </w:trPr>
        <w:tc>
          <w:tcPr>
            <w:tcW w:w="51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4D0F37" w:rsidP="00B534F8">
            <w:pPr>
              <w:spacing w:line="360" w:lineRule="auto"/>
              <w:jc w:val="both"/>
              <w:rPr>
                <w:rFonts w:ascii="Times New Roman" w:hAnsi="Times New Roman" w:cs="Times New Roman"/>
                <w:sz w:val="20"/>
                <w:szCs w:val="20"/>
              </w:rPr>
            </w:pPr>
            <w:r w:rsidRPr="004D0F37">
              <w:rPr>
                <w:rFonts w:ascii="Times New Roman" w:hAnsi="Times New Roman" w:cs="Times New Roman"/>
                <w:sz w:val="20"/>
                <w:szCs w:val="20"/>
              </w:rPr>
              <w:t>ostatné peňažné prostriedky</w:t>
            </w:r>
          </w:p>
        </w:tc>
        <w:tc>
          <w:tcPr>
            <w:tcW w:w="214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sz w:val="20"/>
                <w:szCs w:val="20"/>
              </w:rPr>
            </w:pPr>
            <w:r w:rsidRPr="004D0F37">
              <w:rPr>
                <w:rFonts w:ascii="Times New Roman" w:hAnsi="Times New Roman" w:cs="Times New Roman"/>
                <w:sz w:val="20"/>
                <w:szCs w:val="20"/>
              </w:rPr>
              <w:t>28,9</w:t>
            </w:r>
          </w:p>
        </w:tc>
        <w:tc>
          <w:tcPr>
            <w:tcW w:w="214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sz w:val="20"/>
                <w:szCs w:val="20"/>
              </w:rPr>
            </w:pPr>
            <w:r w:rsidRPr="004D0F37">
              <w:rPr>
                <w:rFonts w:ascii="Times New Roman" w:hAnsi="Times New Roman" w:cs="Times New Roman"/>
                <w:sz w:val="20"/>
                <w:szCs w:val="20"/>
              </w:rPr>
              <w:t>23,2</w:t>
            </w:r>
          </w:p>
        </w:tc>
      </w:tr>
      <w:tr>
        <w:tblPrEx>
          <w:tblW w:w="9440" w:type="dxa"/>
          <w:tblLayout w:type="fixed"/>
        </w:tblPrEx>
        <w:trPr>
          <w:trHeight w:hRule="auto" w:val="0"/>
        </w:trPr>
        <w:tc>
          <w:tcPr>
            <w:tcW w:w="514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4D0F37" w:rsidP="00B534F8">
            <w:pPr>
              <w:spacing w:line="360" w:lineRule="auto"/>
              <w:jc w:val="both"/>
              <w:rPr>
                <w:rFonts w:ascii="Times New Roman" w:hAnsi="Times New Roman" w:cs="Times New Roman"/>
                <w:sz w:val="20"/>
                <w:szCs w:val="20"/>
              </w:rPr>
            </w:pPr>
            <w:r w:rsidRPr="004D0F37">
              <w:rPr>
                <w:rFonts w:ascii="Times New Roman" w:hAnsi="Times New Roman" w:cs="Times New Roman"/>
                <w:sz w:val="20"/>
                <w:szCs w:val="20"/>
              </w:rPr>
              <w:t>majetkové a dlhové cenné papiere a účasti</w:t>
            </w:r>
          </w:p>
        </w:tc>
        <w:tc>
          <w:tcPr>
            <w:tcW w:w="214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sz w:val="20"/>
                <w:szCs w:val="20"/>
              </w:rPr>
            </w:pPr>
            <w:r w:rsidRPr="004D0F37">
              <w:rPr>
                <w:rFonts w:ascii="Times New Roman" w:hAnsi="Times New Roman" w:cs="Times New Roman"/>
                <w:sz w:val="20"/>
                <w:szCs w:val="20"/>
              </w:rPr>
              <w:t>1 055,7</w:t>
            </w:r>
          </w:p>
        </w:tc>
        <w:tc>
          <w:tcPr>
            <w:tcW w:w="214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sz w:val="20"/>
                <w:szCs w:val="20"/>
              </w:rPr>
            </w:pPr>
            <w:r w:rsidRPr="004D0F37">
              <w:rPr>
                <w:rFonts w:ascii="Times New Roman" w:hAnsi="Times New Roman" w:cs="Times New Roman"/>
                <w:sz w:val="20"/>
                <w:szCs w:val="20"/>
              </w:rPr>
              <w:t>0,3</w:t>
            </w:r>
          </w:p>
        </w:tc>
      </w:tr>
      <w:tr>
        <w:tblPrEx>
          <w:tblW w:w="9440" w:type="dxa"/>
          <w:tblLayout w:type="fixed"/>
        </w:tblPrEx>
        <w:trPr>
          <w:trHeight w:val="70"/>
        </w:trPr>
        <w:tc>
          <w:tcPr>
            <w:tcW w:w="5148" w:type="dxa"/>
            <w:tcBorders>
              <w:top w:val="single" w:sz="4" w:space="0" w:color="auto"/>
              <w:left w:val="single" w:sz="8" w:space="0" w:color="auto"/>
              <w:bottom w:val="double" w:sz="6" w:space="0" w:color="auto"/>
              <w:right w:val="single" w:sz="4" w:space="0" w:color="auto"/>
              <w:tl2br w:val="nil"/>
              <w:tr2bl w:val="nil"/>
            </w:tcBorders>
            <w:textDirection w:val="lrTb"/>
            <w:vAlign w:val="top"/>
          </w:tcPr>
          <w:p w:rsidR="00B534F8" w:rsidRPr="004D0F37" w:rsidP="00B534F8">
            <w:pPr>
              <w:spacing w:line="360" w:lineRule="auto"/>
              <w:jc w:val="both"/>
              <w:rPr>
                <w:rFonts w:ascii="Times New Roman" w:hAnsi="Times New Roman" w:cs="Times New Roman"/>
                <w:b/>
                <w:sz w:val="20"/>
                <w:szCs w:val="20"/>
              </w:rPr>
            </w:pPr>
            <w:r w:rsidRPr="004D0F37">
              <w:rPr>
                <w:rFonts w:ascii="Times New Roman" w:hAnsi="Times New Roman" w:cs="Times New Roman"/>
                <w:b/>
                <w:sz w:val="20"/>
                <w:szCs w:val="20"/>
              </w:rPr>
              <w:t>Štátne finančné aktíva spolu</w:t>
            </w:r>
          </w:p>
        </w:tc>
        <w:tc>
          <w:tcPr>
            <w:tcW w:w="2146" w:type="dxa"/>
            <w:tcBorders>
              <w:top w:val="single" w:sz="4" w:space="0" w:color="auto"/>
              <w:left w:val="single" w:sz="4" w:space="0" w:color="auto"/>
              <w:bottom w:val="double" w:sz="6" w:space="0" w:color="auto"/>
              <w:right w:val="single" w:sz="4"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b/>
                <w:sz w:val="20"/>
                <w:szCs w:val="20"/>
              </w:rPr>
            </w:pPr>
            <w:r w:rsidRPr="004D0F37">
              <w:rPr>
                <w:rFonts w:ascii="Times New Roman" w:hAnsi="Times New Roman" w:cs="Times New Roman"/>
                <w:b/>
                <w:sz w:val="20"/>
                <w:szCs w:val="20"/>
              </w:rPr>
              <w:t>340 238,6</w:t>
            </w:r>
          </w:p>
        </w:tc>
        <w:tc>
          <w:tcPr>
            <w:tcW w:w="2146" w:type="dxa"/>
            <w:tcBorders>
              <w:top w:val="single" w:sz="4" w:space="0" w:color="auto"/>
              <w:left w:val="single" w:sz="4" w:space="0" w:color="auto"/>
              <w:bottom w:val="double" w:sz="6" w:space="0" w:color="auto"/>
              <w:right w:val="single" w:sz="8" w:space="0" w:color="auto"/>
              <w:tl2br w:val="nil"/>
              <w:tr2bl w:val="nil"/>
            </w:tcBorders>
            <w:textDirection w:val="lrTb"/>
            <w:vAlign w:val="top"/>
          </w:tcPr>
          <w:p w:rsidR="00B534F8" w:rsidRPr="004D0F37" w:rsidP="00B534F8">
            <w:pPr>
              <w:spacing w:line="360" w:lineRule="auto"/>
              <w:jc w:val="right"/>
              <w:rPr>
                <w:rFonts w:ascii="Times New Roman" w:hAnsi="Times New Roman" w:cs="Times New Roman"/>
                <w:b/>
                <w:sz w:val="20"/>
                <w:szCs w:val="20"/>
              </w:rPr>
            </w:pPr>
            <w:r w:rsidRPr="004D0F37">
              <w:rPr>
                <w:rFonts w:ascii="Times New Roman" w:hAnsi="Times New Roman" w:cs="Times New Roman"/>
                <w:b/>
                <w:sz w:val="20"/>
                <w:szCs w:val="20"/>
              </w:rPr>
              <w:t>344 217,2</w:t>
            </w:r>
          </w:p>
        </w:tc>
      </w:tr>
    </w:tbl>
    <w:p w:rsidR="00B534F8" w:rsidRPr="00097E86" w:rsidP="00B534F8">
      <w:pPr>
        <w:spacing w:line="360" w:lineRule="auto"/>
        <w:jc w:val="both"/>
        <w:rPr>
          <w:rFonts w:ascii="Times New Roman" w:hAnsi="Times New Roman" w:cs="Times New Roman"/>
          <w:sz w:val="20"/>
          <w:szCs w:val="20"/>
        </w:rPr>
      </w:pPr>
      <w:r>
        <w:rPr>
          <w:rFonts w:ascii="Times New Roman" w:hAnsi="Times New Roman" w:cs="Times New Roman"/>
          <w:sz w:val="20"/>
          <w:szCs w:val="20"/>
        </w:rPr>
        <w:t>Zdroj: Ministerstvo financií SR</w:t>
      </w:r>
    </w:p>
    <w:p w:rsidR="00B534F8" w:rsidP="00B534F8">
      <w:pPr>
        <w:spacing w:line="360" w:lineRule="auto"/>
        <w:jc w:val="both"/>
        <w:rPr>
          <w:rFonts w:ascii="Times New Roman" w:hAnsi="Times New Roman" w:cs="Times New Roman"/>
        </w:rPr>
      </w:pPr>
    </w:p>
    <w:p w:rsidR="00B534F8" w:rsidP="00B534F8">
      <w:pPr>
        <w:spacing w:line="360" w:lineRule="auto"/>
        <w:jc w:val="both"/>
        <w:rPr>
          <w:rFonts w:ascii="Times New Roman" w:hAnsi="Times New Roman" w:cs="Times New Roman"/>
        </w:rPr>
      </w:pPr>
      <w:r>
        <w:rPr>
          <w:rFonts w:ascii="Times New Roman" w:hAnsi="Times New Roman" w:cs="Times New Roman"/>
        </w:rPr>
        <w:t>Rozhodujúci objem štátnych finančných aktív a pasív je v správe Ministerstva financií SR.</w:t>
      </w:r>
    </w:p>
    <w:p w:rsidR="004D0F37" w:rsidP="00B534F8">
      <w:pPr>
        <w:spacing w:line="360" w:lineRule="auto"/>
        <w:jc w:val="both"/>
        <w:rPr>
          <w:rFonts w:ascii="Times New Roman" w:hAnsi="Times New Roman" w:cs="Times New Roman"/>
          <w:b/>
          <w:sz w:val="28"/>
          <w:szCs w:val="28"/>
        </w:rPr>
      </w:pPr>
    </w:p>
    <w:p w:rsidR="00B534F8" w:rsidP="00107702">
      <w:pPr>
        <w:spacing w:line="360" w:lineRule="auto"/>
        <w:jc w:val="center"/>
        <w:rPr>
          <w:rFonts w:ascii="Times New Roman" w:hAnsi="Times New Roman" w:cs="Times New Roman"/>
          <w:b/>
        </w:rPr>
      </w:pPr>
      <w:r w:rsidR="00766559">
        <w:rPr>
          <w:rFonts w:ascii="Times New Roman" w:hAnsi="Times New Roman" w:cs="Times New Roman"/>
          <w:b/>
        </w:rPr>
        <w:t>4</w:t>
      </w:r>
      <w:r w:rsidRPr="00E95DE1">
        <w:rPr>
          <w:rFonts w:ascii="Times New Roman" w:hAnsi="Times New Roman" w:cs="Times New Roman"/>
          <w:b/>
        </w:rPr>
        <w:t>.3. Štátne finančné aktíva a pasíva v správe Ministerstva financií SR</w:t>
      </w:r>
    </w:p>
    <w:p w:rsidR="00107702" w:rsidRPr="00E95DE1" w:rsidP="00107702">
      <w:pPr>
        <w:spacing w:line="360" w:lineRule="auto"/>
        <w:rPr>
          <w:rFonts w:ascii="Times New Roman" w:hAnsi="Times New Roman" w:cs="Times New Roman"/>
          <w:b/>
        </w:rPr>
      </w:pPr>
    </w:p>
    <w:p w:rsidR="00B534F8" w:rsidP="00B534F8">
      <w:pPr>
        <w:spacing w:line="360" w:lineRule="auto"/>
        <w:jc w:val="both"/>
        <w:rPr>
          <w:rFonts w:ascii="Times New Roman" w:hAnsi="Times New Roman" w:cs="Times New Roman"/>
        </w:rPr>
      </w:pPr>
      <w:r w:rsidRPr="00C4722E">
        <w:rPr>
          <w:rFonts w:ascii="Times New Roman" w:hAnsi="Times New Roman" w:cs="Times New Roman"/>
        </w:rPr>
        <w:t>V</w:t>
      </w:r>
      <w:r>
        <w:rPr>
          <w:rFonts w:ascii="Times New Roman" w:hAnsi="Times New Roman" w:cs="Times New Roman"/>
        </w:rPr>
        <w:t> </w:t>
      </w:r>
      <w:r w:rsidRPr="00C4722E">
        <w:rPr>
          <w:rFonts w:ascii="Times New Roman" w:hAnsi="Times New Roman" w:cs="Times New Roman"/>
        </w:rPr>
        <w:t>roku</w:t>
      </w:r>
      <w:r>
        <w:rPr>
          <w:rFonts w:ascii="Times New Roman" w:hAnsi="Times New Roman" w:cs="Times New Roman"/>
        </w:rPr>
        <w:t xml:space="preserve"> 2006 sa stav štátnych finančných aktív  v správe Ministerstva financií SR zvýšil o 14 495,1 mil. Sk, zatiaľ čo stav záväzkov štátu vzrástol až o 77 534,8 mil. Sk, čím sa dlžnícka finančno-majetková pozícia štátu medziročne zhoršila o 63 039,6 mil. Sk. </w:t>
      </w:r>
    </w:p>
    <w:p w:rsidR="00B534F8" w:rsidP="00B534F8">
      <w:pPr>
        <w:spacing w:line="360" w:lineRule="auto"/>
        <w:jc w:val="both"/>
        <w:rPr>
          <w:rFonts w:ascii="Times New Roman" w:hAnsi="Times New Roman" w:cs="Times New Roman"/>
        </w:rPr>
      </w:pPr>
      <w:r>
        <w:rPr>
          <w:rFonts w:ascii="Times New Roman" w:hAnsi="Times New Roman" w:cs="Times New Roman"/>
        </w:rPr>
        <w:tab/>
        <w:t>Celkový prehľad o vývoji tejto skupiny štátnych finančných aktív a pasív v roku 2006 poskytujú nasledovné údaje (v mil. Sk):</w:t>
      </w:r>
    </w:p>
    <w:p w:rsidR="00B534F8" w:rsidP="00B534F8">
      <w:pPr>
        <w:spacing w:line="360" w:lineRule="auto"/>
        <w:jc w:val="both"/>
        <w:rPr>
          <w:rFonts w:ascii="Times New Roman" w:hAnsi="Times New Roman" w:cs="Times New Roman"/>
        </w:rPr>
      </w:pPr>
    </w:p>
    <w:tbl>
      <w:tblPr>
        <w:tblW w:w="9015" w:type="dxa"/>
        <w:tblInd w:w="55"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CellMar>
          <w:left w:w="70" w:type="dxa"/>
          <w:right w:w="70" w:type="dxa"/>
        </w:tblCellMar>
      </w:tblPr>
      <w:tblGrid>
        <w:gridCol w:w="5595"/>
        <w:gridCol w:w="1224"/>
        <w:gridCol w:w="1134"/>
        <w:gridCol w:w="1062"/>
      </w:tblGrid>
      <w:tr>
        <w:tblPrEx>
          <w:tblW w:w="9015" w:type="dxa"/>
          <w:tblInd w:w="55"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CellMar>
            <w:left w:w="70" w:type="dxa"/>
            <w:right w:w="70" w:type="dxa"/>
          </w:tblCellMar>
        </w:tblPrEx>
        <w:trPr>
          <w:trHeight w:val="416"/>
        </w:trPr>
        <w:tc>
          <w:tcPr>
            <w:tcW w:w="5595"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jc w:val="center"/>
              <w:rPr>
                <w:rFonts w:ascii="Times New Roman" w:hAnsi="Times New Roman" w:cs="Times New Roman"/>
                <w:b/>
                <w:bCs/>
                <w:color w:val="000000"/>
                <w:sz w:val="20"/>
                <w:szCs w:val="20"/>
              </w:rPr>
            </w:pPr>
            <w:r w:rsidRPr="004D0F37">
              <w:rPr>
                <w:rFonts w:ascii="Times New Roman" w:hAnsi="Times New Roman" w:cs="Times New Roman"/>
                <w:b/>
                <w:bCs/>
                <w:color w:val="000000"/>
                <w:sz w:val="20"/>
                <w:szCs w:val="20"/>
              </w:rPr>
              <w:t>P o l o ž k a</w:t>
            </w:r>
          </w:p>
        </w:tc>
        <w:tc>
          <w:tcPr>
            <w:tcW w:w="1224"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center"/>
              <w:rPr>
                <w:rFonts w:ascii="Times New Roman" w:hAnsi="Times New Roman" w:cs="Times New Roman"/>
                <w:b/>
                <w:color w:val="000000"/>
                <w:sz w:val="20"/>
                <w:szCs w:val="20"/>
              </w:rPr>
            </w:pPr>
            <w:r w:rsidRPr="004D0F37">
              <w:rPr>
                <w:rFonts w:ascii="Times New Roman" w:hAnsi="Times New Roman" w:cs="Times New Roman"/>
                <w:b/>
                <w:color w:val="000000"/>
                <w:sz w:val="20"/>
                <w:szCs w:val="20"/>
              </w:rPr>
              <w:t>Stav  k</w:t>
            </w:r>
          </w:p>
          <w:p w:rsidR="00B534F8" w:rsidRPr="004D0F37" w:rsidP="00B534F8">
            <w:pPr>
              <w:jc w:val="center"/>
              <w:rPr>
                <w:rFonts w:ascii="Times New Roman" w:hAnsi="Times New Roman" w:cs="Times New Roman"/>
                <w:b/>
                <w:color w:val="000000"/>
                <w:sz w:val="20"/>
                <w:szCs w:val="20"/>
              </w:rPr>
            </w:pPr>
            <w:r w:rsidRPr="004D0F37">
              <w:rPr>
                <w:rFonts w:ascii="Times New Roman" w:hAnsi="Times New Roman" w:cs="Times New Roman"/>
                <w:b/>
                <w:color w:val="000000"/>
                <w:sz w:val="20"/>
                <w:szCs w:val="20"/>
              </w:rPr>
              <w:t>31.12.2005</w:t>
            </w:r>
          </w:p>
        </w:tc>
        <w:tc>
          <w:tcPr>
            <w:tcW w:w="1134"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center"/>
              <w:rPr>
                <w:rFonts w:ascii="Times New Roman" w:hAnsi="Times New Roman" w:cs="Times New Roman"/>
                <w:b/>
                <w:color w:val="000000"/>
                <w:sz w:val="20"/>
                <w:szCs w:val="20"/>
              </w:rPr>
            </w:pPr>
            <w:r w:rsidRPr="004D0F37">
              <w:rPr>
                <w:rFonts w:ascii="Times New Roman" w:hAnsi="Times New Roman" w:cs="Times New Roman"/>
                <w:b/>
                <w:color w:val="000000"/>
                <w:sz w:val="20"/>
                <w:szCs w:val="20"/>
              </w:rPr>
              <w:t>Stav  k</w:t>
            </w:r>
          </w:p>
          <w:p w:rsidR="00B534F8" w:rsidRPr="004D0F37" w:rsidP="00B534F8">
            <w:pPr>
              <w:jc w:val="center"/>
              <w:rPr>
                <w:rFonts w:ascii="Times New Roman" w:hAnsi="Times New Roman" w:cs="Times New Roman"/>
                <w:b/>
                <w:color w:val="000000"/>
                <w:sz w:val="20"/>
                <w:szCs w:val="20"/>
              </w:rPr>
            </w:pPr>
            <w:r w:rsidRPr="004D0F37">
              <w:rPr>
                <w:rFonts w:ascii="Times New Roman" w:hAnsi="Times New Roman" w:cs="Times New Roman"/>
                <w:b/>
                <w:color w:val="000000"/>
                <w:sz w:val="20"/>
                <w:szCs w:val="20"/>
              </w:rPr>
              <w:t>31.12.2006</w:t>
            </w:r>
          </w:p>
        </w:tc>
        <w:tc>
          <w:tcPr>
            <w:tcW w:w="1062"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center"/>
              <w:rPr>
                <w:rFonts w:ascii="Times New Roman" w:hAnsi="Times New Roman" w:cs="Times New Roman"/>
                <w:b/>
                <w:color w:val="000000"/>
                <w:sz w:val="20"/>
                <w:szCs w:val="20"/>
              </w:rPr>
            </w:pPr>
            <w:r w:rsidRPr="004D0F37">
              <w:rPr>
                <w:rFonts w:ascii="Times New Roman" w:hAnsi="Times New Roman" w:cs="Times New Roman"/>
                <w:b/>
                <w:color w:val="000000"/>
                <w:sz w:val="20"/>
                <w:szCs w:val="20"/>
              </w:rPr>
              <w:t xml:space="preserve">Zmena </w:t>
            </w:r>
          </w:p>
        </w:tc>
      </w:tr>
      <w:tr>
        <w:tblPrEx>
          <w:tblW w:w="9015" w:type="dxa"/>
          <w:tblInd w:w="55" w:type="dxa"/>
          <w:tblCellMar>
            <w:left w:w="70" w:type="dxa"/>
            <w:right w:w="70" w:type="dxa"/>
          </w:tblCellMar>
        </w:tblPrEx>
        <w:trPr>
          <w:trHeight w:val="345"/>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1.   Prostriedky štátu na účtoch v Štátnej pokladnici</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75 684,9</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61 984,4</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-13 700,5</w:t>
            </w:r>
          </w:p>
        </w:tc>
      </w:tr>
      <w:tr>
        <w:tblPrEx>
          <w:tblW w:w="9015" w:type="dxa"/>
          <w:tblInd w:w="55" w:type="dxa"/>
          <w:tblCellMar>
            <w:left w:w="70" w:type="dxa"/>
            <w:right w:w="70" w:type="dxa"/>
          </w:tblCellMar>
        </w:tblPrEx>
        <w:trPr>
          <w:trHeight w:val="268"/>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2.   Vládne pohľadávky voči zahraničiu</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12 630,2</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8 177,1</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-4 453,1</w:t>
            </w:r>
          </w:p>
        </w:tc>
      </w:tr>
      <w:tr>
        <w:tblPrEx>
          <w:tblW w:w="9015" w:type="dxa"/>
          <w:tblInd w:w="55" w:type="dxa"/>
          <w:tblCellMar>
            <w:left w:w="70" w:type="dxa"/>
            <w:right w:w="70" w:type="dxa"/>
          </w:tblCellMar>
        </w:tblPrEx>
        <w:trPr>
          <w:trHeight w:val="254"/>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3.   Pohľadávky prevzaté od ČSOB</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3 575,5</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3 362,3</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-213,2</w:t>
            </w:r>
          </w:p>
        </w:tc>
      </w:tr>
      <w:tr>
        <w:tblPrEx>
          <w:tblW w:w="9015" w:type="dxa"/>
          <w:tblInd w:w="55" w:type="dxa"/>
          <w:tblCellMar>
            <w:left w:w="70" w:type="dxa"/>
            <w:right w:w="70" w:type="dxa"/>
          </w:tblCellMar>
        </w:tblPrEx>
        <w:trPr>
          <w:trHeight w:val="400"/>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 xml:space="preserve">4.   Vklady štátu v medzinárodných inštitúciách, cenné </w:t>
            </w:r>
          </w:p>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 xml:space="preserve">      papiere a ostatné finančné investície</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3 636,8</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3 660,9</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24,1</w:t>
            </w:r>
          </w:p>
        </w:tc>
      </w:tr>
      <w:tr>
        <w:tblPrEx>
          <w:tblW w:w="9015" w:type="dxa"/>
          <w:tblInd w:w="55" w:type="dxa"/>
          <w:tblCellMar>
            <w:left w:w="70" w:type="dxa"/>
            <w:right w:w="70" w:type="dxa"/>
          </w:tblCellMar>
        </w:tblPrEx>
        <w:trPr>
          <w:trHeight w:val="264"/>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5.   Vklady štátu v tuzemských spoločnostiach a ostatné</w:t>
            </w:r>
          </w:p>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 xml:space="preserve">      finančné investície</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12 263,1</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10 264,9</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-1 998,2</w:t>
            </w:r>
          </w:p>
        </w:tc>
      </w:tr>
      <w:tr>
        <w:tblPrEx>
          <w:tblW w:w="9015" w:type="dxa"/>
          <w:tblInd w:w="55" w:type="dxa"/>
          <w:tblCellMar>
            <w:left w:w="70" w:type="dxa"/>
            <w:right w:w="70" w:type="dxa"/>
          </w:tblCellMar>
        </w:tblPrEx>
        <w:trPr>
          <w:trHeight w:val="258"/>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6.   Pokladničné poukážky NBS</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0,0</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0,0</w:t>
            </w:r>
          </w:p>
        </w:tc>
      </w:tr>
      <w:tr>
        <w:tblPrEx>
          <w:tblW w:w="9015" w:type="dxa"/>
          <w:tblInd w:w="55" w:type="dxa"/>
          <w:tblCellMar>
            <w:left w:w="70" w:type="dxa"/>
            <w:right w:w="70" w:type="dxa"/>
          </w:tblCellMar>
        </w:tblPrEx>
        <w:trPr>
          <w:trHeight w:val="178"/>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7.   Pohľadávky z návratných finančných výpomocí</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50 279,0</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16 543,1</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-33 735,9</w:t>
            </w:r>
          </w:p>
        </w:tc>
      </w:tr>
      <w:tr>
        <w:tblPrEx>
          <w:tblW w:w="9015" w:type="dxa"/>
          <w:tblInd w:w="55" w:type="dxa"/>
          <w:tblCellMar>
            <w:left w:w="70" w:type="dxa"/>
            <w:right w:w="70" w:type="dxa"/>
          </w:tblCellMar>
        </w:tblPrEx>
        <w:trPr>
          <w:trHeight w:val="241"/>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 xml:space="preserve">8.   Ostatné pohľadávky </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4 383,7</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43 229,5</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38 845,8</w:t>
            </w:r>
          </w:p>
        </w:tc>
      </w:tr>
      <w:tr>
        <w:tblPrEx>
          <w:tblW w:w="9015" w:type="dxa"/>
          <w:tblInd w:w="55" w:type="dxa"/>
          <w:tblCellMar>
            <w:left w:w="70" w:type="dxa"/>
            <w:right w:w="70" w:type="dxa"/>
          </w:tblCellMar>
        </w:tblPrEx>
        <w:trPr>
          <w:trHeight w:val="160"/>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9.   Pohľadávky voči podnikom</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278,3</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231,1</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-47,2</w:t>
            </w:r>
          </w:p>
        </w:tc>
      </w:tr>
      <w:tr>
        <w:tblPrEx>
          <w:tblW w:w="9015" w:type="dxa"/>
          <w:tblInd w:w="55" w:type="dxa"/>
          <w:tblCellMar>
            <w:left w:w="70" w:type="dxa"/>
            <w:right w:w="70" w:type="dxa"/>
          </w:tblCellMar>
        </w:tblPrEx>
        <w:trPr>
          <w:trHeight w:val="222"/>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10. Pohľadávky a záväzky z pevných termínovaných</w:t>
            </w:r>
          </w:p>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 xml:space="preserve">      obchodov – NBS</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749,3</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14 072,6</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13 323,3</w:t>
            </w:r>
          </w:p>
        </w:tc>
      </w:tr>
      <w:tr>
        <w:tblPrEx>
          <w:tblW w:w="9015" w:type="dxa"/>
          <w:tblInd w:w="55" w:type="dxa"/>
          <w:tblCellMar>
            <w:left w:w="70" w:type="dxa"/>
            <w:right w:w="70" w:type="dxa"/>
          </w:tblCellMar>
        </w:tblPrEx>
        <w:trPr>
          <w:trHeight w:val="222"/>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11. Ostatné cenné papiere</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16 450,0</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16 450,0</w:t>
            </w:r>
          </w:p>
        </w:tc>
      </w:tr>
      <w:tr>
        <w:tblPrEx>
          <w:tblW w:w="9015" w:type="dxa"/>
          <w:tblInd w:w="55" w:type="dxa"/>
          <w:tblCellMar>
            <w:left w:w="70" w:type="dxa"/>
            <w:right w:w="70" w:type="dxa"/>
          </w:tblCellMar>
        </w:tblPrEx>
        <w:trPr>
          <w:trHeight w:val="272"/>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79062F">
            <w:pPr>
              <w:rPr>
                <w:rFonts w:ascii="Times New Roman" w:hAnsi="Times New Roman" w:cs="Times New Roman"/>
                <w:b/>
                <w:bCs/>
                <w:color w:val="000000"/>
                <w:sz w:val="20"/>
                <w:szCs w:val="20"/>
              </w:rPr>
            </w:pPr>
            <w:r w:rsidRPr="004D0F37">
              <w:rPr>
                <w:rFonts w:ascii="Times New Roman" w:hAnsi="Times New Roman" w:cs="Times New Roman"/>
                <w:b/>
                <w:bCs/>
                <w:color w:val="000000"/>
                <w:sz w:val="20"/>
                <w:szCs w:val="20"/>
              </w:rPr>
              <w:t>Štátne finančné aktíva celkom</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79062F">
            <w:pPr>
              <w:jc w:val="right"/>
              <w:rPr>
                <w:rFonts w:ascii="Times New Roman" w:hAnsi="Times New Roman" w:cs="Times New Roman"/>
                <w:b/>
                <w:bCs/>
                <w:color w:val="000000"/>
                <w:sz w:val="20"/>
                <w:szCs w:val="20"/>
              </w:rPr>
            </w:pPr>
            <w:r w:rsidRPr="004D0F37">
              <w:rPr>
                <w:rFonts w:ascii="Times New Roman" w:hAnsi="Times New Roman" w:cs="Times New Roman"/>
                <w:b/>
                <w:bCs/>
                <w:color w:val="000000"/>
                <w:sz w:val="20"/>
                <w:szCs w:val="20"/>
              </w:rPr>
              <w:t>163 480,8</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79062F">
            <w:pPr>
              <w:jc w:val="right"/>
              <w:rPr>
                <w:rFonts w:ascii="Times New Roman" w:hAnsi="Times New Roman" w:cs="Times New Roman"/>
                <w:b/>
                <w:bCs/>
                <w:color w:val="000000"/>
                <w:sz w:val="20"/>
                <w:szCs w:val="20"/>
              </w:rPr>
            </w:pPr>
            <w:r w:rsidRPr="004D0F37">
              <w:rPr>
                <w:rFonts w:ascii="Times New Roman" w:hAnsi="Times New Roman" w:cs="Times New Roman"/>
                <w:b/>
                <w:bCs/>
                <w:color w:val="000000"/>
                <w:sz w:val="20"/>
                <w:szCs w:val="20"/>
              </w:rPr>
              <w:t>177 975,9</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79062F">
            <w:pPr>
              <w:jc w:val="right"/>
              <w:rPr>
                <w:rFonts w:ascii="Times New Roman" w:hAnsi="Times New Roman" w:cs="Times New Roman"/>
                <w:b/>
                <w:bCs/>
                <w:color w:val="000000"/>
                <w:sz w:val="20"/>
                <w:szCs w:val="20"/>
              </w:rPr>
            </w:pPr>
            <w:r w:rsidRPr="004D0F37">
              <w:rPr>
                <w:rFonts w:ascii="Times New Roman" w:hAnsi="Times New Roman" w:cs="Times New Roman"/>
                <w:b/>
                <w:bCs/>
                <w:color w:val="000000"/>
                <w:sz w:val="20"/>
                <w:szCs w:val="20"/>
              </w:rPr>
              <w:t>14 495,1</w:t>
            </w:r>
          </w:p>
        </w:tc>
      </w:tr>
      <w:tr>
        <w:tblPrEx>
          <w:tblW w:w="9015" w:type="dxa"/>
          <w:tblInd w:w="55" w:type="dxa"/>
          <w:tblCellMar>
            <w:left w:w="70" w:type="dxa"/>
            <w:right w:w="70" w:type="dxa"/>
          </w:tblCellMar>
        </w:tblPrEx>
        <w:trPr>
          <w:trHeight w:val="190"/>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1.   Vládne záväzky voči zahraničiu – pôžičky</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10 043,9</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8 633,2</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-1 410,7</w:t>
            </w:r>
          </w:p>
        </w:tc>
      </w:tr>
      <w:tr>
        <w:tblPrEx>
          <w:tblW w:w="9015" w:type="dxa"/>
          <w:tblInd w:w="55" w:type="dxa"/>
          <w:tblCellMar>
            <w:left w:w="70" w:type="dxa"/>
            <w:right w:w="70" w:type="dxa"/>
          </w:tblCellMar>
        </w:tblPrEx>
        <w:trPr>
          <w:trHeight w:val="252"/>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2.   Zahraničné záväzky prevzaté od ČSOB</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153,9</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136,2</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-17,7</w:t>
            </w:r>
          </w:p>
        </w:tc>
      </w:tr>
      <w:tr>
        <w:tblPrEx>
          <w:tblW w:w="9015" w:type="dxa"/>
          <w:tblInd w:w="55" w:type="dxa"/>
          <w:tblCellMar>
            <w:left w:w="70" w:type="dxa"/>
            <w:right w:w="70" w:type="dxa"/>
          </w:tblCellMar>
        </w:tblPrEx>
        <w:trPr>
          <w:trHeight w:val="186"/>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3.   Vládne záväzky voči zahraničiu – úvery</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80,6</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31,7</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-48,9</w:t>
            </w:r>
          </w:p>
        </w:tc>
      </w:tr>
      <w:tr>
        <w:tblPrEx>
          <w:tblW w:w="9015" w:type="dxa"/>
          <w:tblInd w:w="55" w:type="dxa"/>
          <w:tblCellMar>
            <w:left w:w="70" w:type="dxa"/>
            <w:right w:w="70" w:type="dxa"/>
          </w:tblCellMar>
        </w:tblPrEx>
        <w:trPr>
          <w:trHeight w:val="234"/>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 xml:space="preserve">4.   Záväzky vyplývajúce z úverových vzťahov Štátneho   </w:t>
            </w:r>
          </w:p>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 xml:space="preserve">      fondu cestného hospodárstva (ŠFCH) </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11 897,3</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4 835,7</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-7 061,6</w:t>
            </w:r>
          </w:p>
        </w:tc>
      </w:tr>
      <w:tr>
        <w:tblPrEx>
          <w:tblW w:w="9015" w:type="dxa"/>
          <w:tblInd w:w="55" w:type="dxa"/>
          <w:tblCellMar>
            <w:left w:w="70" w:type="dxa"/>
            <w:right w:w="70" w:type="dxa"/>
          </w:tblCellMar>
        </w:tblPrEx>
        <w:trPr>
          <w:trHeight w:val="296"/>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5.   Záväzky vyplývajúce z úverových vzťahov ŠPF PP SR</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0,0</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0,0</w:t>
            </w:r>
          </w:p>
        </w:tc>
      </w:tr>
      <w:tr>
        <w:tblPrEx>
          <w:tblW w:w="9015" w:type="dxa"/>
          <w:tblInd w:w="55" w:type="dxa"/>
          <w:tblCellMar>
            <w:left w:w="70" w:type="dxa"/>
            <w:right w:w="70" w:type="dxa"/>
          </w:tblCellMar>
        </w:tblPrEx>
        <w:trPr>
          <w:trHeight w:val="216"/>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 xml:space="preserve">6.   Záväzky vyplývajúce z úverových vzťahov - prijaté MF </w:t>
            </w:r>
          </w:p>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 xml:space="preserve">      SR</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4 908,3</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5 286,2</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377,9</w:t>
            </w:r>
          </w:p>
        </w:tc>
      </w:tr>
      <w:tr>
        <w:tblPrEx>
          <w:tblW w:w="9015" w:type="dxa"/>
          <w:tblInd w:w="55" w:type="dxa"/>
          <w:tblCellMar>
            <w:left w:w="70" w:type="dxa"/>
            <w:right w:w="70" w:type="dxa"/>
          </w:tblCellMar>
        </w:tblPrEx>
        <w:trPr>
          <w:trHeight w:val="264"/>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00D64A49">
              <w:rPr>
                <w:rFonts w:ascii="Times New Roman" w:hAnsi="Times New Roman" w:cs="Times New Roman"/>
                <w:color w:val="000000"/>
                <w:sz w:val="20"/>
                <w:szCs w:val="20"/>
              </w:rPr>
              <w:t>7</w:t>
            </w:r>
            <w:r w:rsidRPr="004D0F37">
              <w:rPr>
                <w:rFonts w:ascii="Times New Roman" w:hAnsi="Times New Roman" w:cs="Times New Roman"/>
                <w:color w:val="000000"/>
                <w:sz w:val="20"/>
                <w:szCs w:val="20"/>
              </w:rPr>
              <w:t>.   Záväzky z emisií štátnych cenných papierov</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428 198,4</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449 808,1</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21 609,7</w:t>
            </w:r>
          </w:p>
        </w:tc>
      </w:tr>
      <w:tr>
        <w:tblPrEx>
          <w:tblW w:w="9015" w:type="dxa"/>
          <w:tblInd w:w="55" w:type="dxa"/>
          <w:tblCellMar>
            <w:left w:w="70" w:type="dxa"/>
            <w:right w:w="70" w:type="dxa"/>
          </w:tblCellMar>
        </w:tblPrEx>
        <w:trPr>
          <w:trHeight w:val="190"/>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00D64A49">
              <w:rPr>
                <w:rFonts w:ascii="Times New Roman" w:hAnsi="Times New Roman" w:cs="Times New Roman"/>
                <w:color w:val="000000"/>
                <w:sz w:val="20"/>
                <w:szCs w:val="20"/>
              </w:rPr>
              <w:t>8</w:t>
            </w:r>
            <w:r w:rsidRPr="004D0F37">
              <w:rPr>
                <w:rFonts w:ascii="Times New Roman" w:hAnsi="Times New Roman" w:cs="Times New Roman"/>
                <w:color w:val="000000"/>
                <w:sz w:val="20"/>
                <w:szCs w:val="20"/>
              </w:rPr>
              <w:t>.   Matra Communication – úver</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470,4</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143,2</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-327,2</w:t>
            </w:r>
          </w:p>
        </w:tc>
      </w:tr>
      <w:tr>
        <w:tblPrEx>
          <w:tblW w:w="9015" w:type="dxa"/>
          <w:tblInd w:w="55" w:type="dxa"/>
          <w:tblCellMar>
            <w:left w:w="70" w:type="dxa"/>
            <w:right w:w="70" w:type="dxa"/>
          </w:tblCellMar>
        </w:tblPrEx>
        <w:trPr>
          <w:trHeight w:val="194"/>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00D64A49">
              <w:rPr>
                <w:rFonts w:ascii="Times New Roman" w:hAnsi="Times New Roman" w:cs="Times New Roman"/>
                <w:color w:val="000000"/>
                <w:sz w:val="20"/>
                <w:szCs w:val="20"/>
              </w:rPr>
              <w:t>9</w:t>
            </w:r>
            <w:r w:rsidRPr="004D0F37">
              <w:rPr>
                <w:rFonts w:ascii="Times New Roman" w:hAnsi="Times New Roman" w:cs="Times New Roman"/>
                <w:color w:val="000000"/>
                <w:sz w:val="20"/>
                <w:szCs w:val="20"/>
              </w:rPr>
              <w:t xml:space="preserve">. </w:t>
            </w:r>
            <w:r w:rsidR="00D64A49">
              <w:rPr>
                <w:rFonts w:ascii="Times New Roman" w:hAnsi="Times New Roman" w:cs="Times New Roman"/>
                <w:color w:val="000000"/>
                <w:sz w:val="20"/>
                <w:szCs w:val="20"/>
              </w:rPr>
              <w:t xml:space="preserve">  </w:t>
            </w:r>
            <w:r w:rsidRPr="004D0F37">
              <w:rPr>
                <w:rFonts w:ascii="Times New Roman" w:hAnsi="Times New Roman" w:cs="Times New Roman"/>
                <w:color w:val="000000"/>
                <w:sz w:val="20"/>
                <w:szCs w:val="20"/>
              </w:rPr>
              <w:t>Prevzaté záväzky od ŽSR a Železničnej spoločnosti, a.s.</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15 361,4</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8 780,2</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-6 581,2</w:t>
            </w:r>
          </w:p>
        </w:tc>
      </w:tr>
      <w:tr>
        <w:tblPrEx>
          <w:tblW w:w="9015" w:type="dxa"/>
          <w:tblInd w:w="55" w:type="dxa"/>
          <w:tblCellMar>
            <w:left w:w="70" w:type="dxa"/>
            <w:right w:w="70" w:type="dxa"/>
          </w:tblCellMar>
        </w:tblPrEx>
        <w:trPr>
          <w:trHeight w:val="212"/>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00D64A49">
              <w:rPr>
                <w:rFonts w:ascii="Times New Roman" w:hAnsi="Times New Roman" w:cs="Times New Roman"/>
                <w:color w:val="000000"/>
                <w:sz w:val="20"/>
                <w:szCs w:val="20"/>
              </w:rPr>
              <w:t>10</w:t>
            </w:r>
            <w:r w:rsidRPr="004D0F37">
              <w:rPr>
                <w:rFonts w:ascii="Times New Roman" w:hAnsi="Times New Roman" w:cs="Times New Roman"/>
                <w:color w:val="000000"/>
                <w:sz w:val="20"/>
                <w:szCs w:val="20"/>
              </w:rPr>
              <w:t>. Iné záväzky – refinančný systém</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82 194,6</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151 946,8</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69 752,2</w:t>
            </w:r>
          </w:p>
        </w:tc>
      </w:tr>
      <w:tr>
        <w:tblPrEx>
          <w:tblW w:w="9015" w:type="dxa"/>
          <w:tblInd w:w="55" w:type="dxa"/>
          <w:tblCellMar>
            <w:left w:w="70" w:type="dxa"/>
            <w:right w:w="70" w:type="dxa"/>
          </w:tblCellMar>
        </w:tblPrEx>
        <w:trPr>
          <w:trHeight w:val="202"/>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bCs/>
                <w:color w:val="000000"/>
                <w:sz w:val="20"/>
                <w:szCs w:val="20"/>
              </w:rPr>
            </w:pPr>
            <w:r w:rsidR="00D64A49">
              <w:rPr>
                <w:rFonts w:ascii="Times New Roman" w:hAnsi="Times New Roman" w:cs="Times New Roman"/>
                <w:bCs/>
                <w:color w:val="000000"/>
                <w:sz w:val="20"/>
                <w:szCs w:val="20"/>
              </w:rPr>
              <w:t>11</w:t>
            </w:r>
            <w:r w:rsidRPr="004D0F37">
              <w:rPr>
                <w:rFonts w:ascii="Times New Roman" w:hAnsi="Times New Roman" w:cs="Times New Roman"/>
                <w:bCs/>
                <w:color w:val="000000"/>
                <w:sz w:val="20"/>
                <w:szCs w:val="20"/>
              </w:rPr>
              <w:t>. Záväzky z anonymných vkladov</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bCs/>
                <w:color w:val="000000"/>
                <w:sz w:val="20"/>
                <w:szCs w:val="20"/>
              </w:rPr>
            </w:pPr>
            <w:r w:rsidRPr="004D0F37">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bCs/>
                <w:color w:val="000000"/>
                <w:sz w:val="20"/>
                <w:szCs w:val="20"/>
              </w:rPr>
            </w:pPr>
            <w:r w:rsidRPr="004D0F37">
              <w:rPr>
                <w:rFonts w:ascii="Times New Roman" w:hAnsi="Times New Roman" w:cs="Times New Roman"/>
                <w:bCs/>
                <w:color w:val="000000"/>
                <w:sz w:val="20"/>
                <w:szCs w:val="20"/>
              </w:rPr>
              <w:t xml:space="preserve"> 1 242,2</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bCs/>
                <w:color w:val="000000"/>
                <w:sz w:val="20"/>
                <w:szCs w:val="20"/>
              </w:rPr>
            </w:pPr>
            <w:r w:rsidRPr="004D0F37">
              <w:rPr>
                <w:rFonts w:ascii="Times New Roman" w:hAnsi="Times New Roman" w:cs="Times New Roman"/>
                <w:bCs/>
                <w:color w:val="000000"/>
                <w:sz w:val="20"/>
                <w:szCs w:val="20"/>
              </w:rPr>
              <w:t>1 242,2</w:t>
            </w:r>
          </w:p>
        </w:tc>
      </w:tr>
      <w:tr>
        <w:tblPrEx>
          <w:tblW w:w="9015" w:type="dxa"/>
          <w:tblInd w:w="55" w:type="dxa"/>
          <w:tblCellMar>
            <w:left w:w="70" w:type="dxa"/>
            <w:right w:w="70" w:type="dxa"/>
          </w:tblCellMar>
        </w:tblPrEx>
        <w:trPr>
          <w:trHeight w:val="202"/>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b/>
                <w:bCs/>
                <w:color w:val="000000"/>
                <w:sz w:val="20"/>
                <w:szCs w:val="20"/>
              </w:rPr>
            </w:pPr>
            <w:r w:rsidRPr="004D0F37">
              <w:rPr>
                <w:rFonts w:ascii="Times New Roman" w:hAnsi="Times New Roman" w:cs="Times New Roman"/>
                <w:b/>
                <w:bCs/>
                <w:color w:val="000000"/>
                <w:sz w:val="20"/>
                <w:szCs w:val="20"/>
              </w:rPr>
              <w:t>Záväzky celkom:</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b/>
                <w:bCs/>
                <w:color w:val="000000"/>
                <w:sz w:val="20"/>
                <w:szCs w:val="20"/>
              </w:rPr>
            </w:pPr>
            <w:r w:rsidRPr="004D0F37">
              <w:rPr>
                <w:rFonts w:ascii="Times New Roman" w:hAnsi="Times New Roman" w:cs="Times New Roman"/>
                <w:b/>
                <w:bCs/>
                <w:color w:val="000000"/>
                <w:sz w:val="20"/>
                <w:szCs w:val="20"/>
              </w:rPr>
              <w:t>553 308,8</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b/>
                <w:bCs/>
                <w:color w:val="000000"/>
                <w:sz w:val="20"/>
                <w:szCs w:val="20"/>
              </w:rPr>
            </w:pPr>
            <w:r w:rsidRPr="004D0F37">
              <w:rPr>
                <w:rFonts w:ascii="Times New Roman" w:hAnsi="Times New Roman" w:cs="Times New Roman"/>
                <w:b/>
                <w:bCs/>
                <w:color w:val="000000"/>
                <w:sz w:val="20"/>
                <w:szCs w:val="20"/>
              </w:rPr>
              <w:t>630 843,6</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b/>
                <w:bCs/>
                <w:color w:val="000000"/>
                <w:sz w:val="20"/>
                <w:szCs w:val="20"/>
              </w:rPr>
            </w:pPr>
            <w:r w:rsidRPr="004D0F37">
              <w:rPr>
                <w:rFonts w:ascii="Times New Roman" w:hAnsi="Times New Roman" w:cs="Times New Roman"/>
                <w:b/>
                <w:bCs/>
                <w:color w:val="000000"/>
                <w:sz w:val="20"/>
                <w:szCs w:val="20"/>
              </w:rPr>
              <w:t>77 534,8</w:t>
            </w:r>
          </w:p>
        </w:tc>
      </w:tr>
      <w:tr>
        <w:tblPrEx>
          <w:tblW w:w="9015" w:type="dxa"/>
          <w:tblInd w:w="55" w:type="dxa"/>
          <w:tblCellMar>
            <w:left w:w="70" w:type="dxa"/>
            <w:right w:w="70" w:type="dxa"/>
          </w:tblCellMar>
        </w:tblPrEx>
        <w:trPr>
          <w:trHeight w:val="221"/>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 xml:space="preserve">1.   Fond štátnych finančných aktív a pasív </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-375 159,5</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-437 801,1</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-62 641,6</w:t>
            </w:r>
          </w:p>
        </w:tc>
      </w:tr>
      <w:tr>
        <w:tblPrEx>
          <w:tblW w:w="9015" w:type="dxa"/>
          <w:tblInd w:w="55" w:type="dxa"/>
          <w:tblCellMar>
            <w:left w:w="70" w:type="dxa"/>
            <w:right w:w="70" w:type="dxa"/>
          </w:tblCellMar>
        </w:tblPrEx>
        <w:trPr>
          <w:trHeight w:val="468"/>
        </w:trPr>
        <w:tc>
          <w:tcPr>
            <w:tcW w:w="5595"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 xml:space="preserve">2.   Závierkové účty  klienta Štátny dlh a Všeobecná </w:t>
            </w:r>
          </w:p>
          <w:p w:rsidR="00B534F8" w:rsidRPr="004D0F37" w:rsidP="00B534F8">
            <w:pPr>
              <w:rPr>
                <w:rFonts w:ascii="Times New Roman" w:hAnsi="Times New Roman" w:cs="Times New Roman"/>
                <w:color w:val="000000"/>
                <w:sz w:val="20"/>
                <w:szCs w:val="20"/>
              </w:rPr>
            </w:pPr>
            <w:r w:rsidRPr="004D0F37">
              <w:rPr>
                <w:rFonts w:ascii="Times New Roman" w:hAnsi="Times New Roman" w:cs="Times New Roman"/>
                <w:color w:val="000000"/>
                <w:sz w:val="20"/>
                <w:szCs w:val="20"/>
              </w:rPr>
              <w:t xml:space="preserve">      pokladničná správa</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-14 668,5</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-15 066,5</w:t>
            </w:r>
          </w:p>
        </w:tc>
        <w:tc>
          <w:tcPr>
            <w:tcW w:w="1062"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color w:val="000000"/>
                <w:sz w:val="20"/>
                <w:szCs w:val="20"/>
              </w:rPr>
            </w:pPr>
            <w:r w:rsidRPr="004D0F37">
              <w:rPr>
                <w:rFonts w:ascii="Times New Roman" w:hAnsi="Times New Roman" w:cs="Times New Roman"/>
                <w:color w:val="000000"/>
                <w:sz w:val="20"/>
                <w:szCs w:val="20"/>
              </w:rPr>
              <w:t>-398,0</w:t>
            </w:r>
          </w:p>
        </w:tc>
      </w:tr>
      <w:tr>
        <w:tblPrEx>
          <w:tblW w:w="9015" w:type="dxa"/>
          <w:tblInd w:w="55" w:type="dxa"/>
          <w:tblCellMar>
            <w:left w:w="70" w:type="dxa"/>
            <w:right w:w="70" w:type="dxa"/>
          </w:tblCellMar>
        </w:tblPrEx>
        <w:trPr>
          <w:trHeight w:val="60"/>
        </w:trPr>
        <w:tc>
          <w:tcPr>
            <w:tcW w:w="5595" w:type="dxa"/>
            <w:tcBorders>
              <w:top w:val="single" w:sz="4" w:space="0" w:color="auto"/>
              <w:left w:val="single" w:sz="8" w:space="0" w:color="auto"/>
              <w:bottom w:val="double" w:sz="6" w:space="0" w:color="auto"/>
              <w:right w:val="single" w:sz="4" w:space="0" w:color="auto"/>
              <w:tl2br w:val="nil"/>
              <w:tr2bl w:val="nil"/>
            </w:tcBorders>
            <w:textDirection w:val="lrTb"/>
            <w:vAlign w:val="center"/>
          </w:tcPr>
          <w:p w:rsidR="00B534F8" w:rsidRPr="004D0F37" w:rsidP="00B534F8">
            <w:pPr>
              <w:rPr>
                <w:rFonts w:ascii="Times New Roman" w:hAnsi="Times New Roman" w:cs="Times New Roman"/>
                <w:b/>
                <w:bCs/>
                <w:color w:val="000000"/>
                <w:sz w:val="20"/>
                <w:szCs w:val="20"/>
              </w:rPr>
            </w:pPr>
            <w:r w:rsidRPr="004D0F37">
              <w:rPr>
                <w:rFonts w:ascii="Times New Roman" w:hAnsi="Times New Roman" w:cs="Times New Roman"/>
                <w:b/>
                <w:bCs/>
                <w:color w:val="000000"/>
                <w:sz w:val="20"/>
                <w:szCs w:val="20"/>
              </w:rPr>
              <w:t xml:space="preserve">Štátne finančné pasíva celkom </w:t>
            </w:r>
          </w:p>
        </w:tc>
        <w:tc>
          <w:tcPr>
            <w:tcW w:w="1224"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b/>
                <w:bCs/>
                <w:color w:val="000000"/>
                <w:sz w:val="20"/>
                <w:szCs w:val="20"/>
              </w:rPr>
            </w:pPr>
            <w:r w:rsidRPr="004D0F37">
              <w:rPr>
                <w:rFonts w:ascii="Times New Roman" w:hAnsi="Times New Roman" w:cs="Times New Roman"/>
                <w:b/>
                <w:bCs/>
                <w:color w:val="000000"/>
                <w:sz w:val="20"/>
                <w:szCs w:val="20"/>
              </w:rPr>
              <w:t>163 480,8</w:t>
            </w:r>
          </w:p>
        </w:tc>
        <w:tc>
          <w:tcPr>
            <w:tcW w:w="1134"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B534F8" w:rsidRPr="004D0F37" w:rsidP="00B534F8">
            <w:pPr>
              <w:jc w:val="right"/>
              <w:rPr>
                <w:rFonts w:ascii="Times New Roman" w:hAnsi="Times New Roman" w:cs="Times New Roman"/>
                <w:b/>
                <w:bCs/>
                <w:color w:val="000000"/>
                <w:sz w:val="20"/>
                <w:szCs w:val="20"/>
              </w:rPr>
            </w:pPr>
            <w:r w:rsidRPr="004D0F37">
              <w:rPr>
                <w:rFonts w:ascii="Times New Roman" w:hAnsi="Times New Roman" w:cs="Times New Roman"/>
                <w:b/>
                <w:bCs/>
                <w:color w:val="000000"/>
                <w:sz w:val="20"/>
                <w:szCs w:val="20"/>
              </w:rPr>
              <w:t>177 975,9</w:t>
            </w:r>
          </w:p>
        </w:tc>
        <w:tc>
          <w:tcPr>
            <w:tcW w:w="1062" w:type="dxa"/>
            <w:tcBorders>
              <w:top w:val="single" w:sz="4" w:space="0" w:color="auto"/>
              <w:left w:val="single" w:sz="4" w:space="0" w:color="auto"/>
              <w:bottom w:val="double" w:sz="6" w:space="0" w:color="auto"/>
              <w:right w:val="single" w:sz="8" w:space="0" w:color="auto"/>
              <w:tl2br w:val="nil"/>
              <w:tr2bl w:val="nil"/>
            </w:tcBorders>
            <w:textDirection w:val="lrTb"/>
            <w:vAlign w:val="center"/>
          </w:tcPr>
          <w:p w:rsidR="00B534F8" w:rsidRPr="004D0F37" w:rsidP="00B534F8">
            <w:pPr>
              <w:jc w:val="right"/>
              <w:rPr>
                <w:rFonts w:ascii="Times New Roman" w:hAnsi="Times New Roman" w:cs="Times New Roman"/>
                <w:b/>
                <w:bCs/>
                <w:color w:val="000000"/>
                <w:sz w:val="20"/>
                <w:szCs w:val="20"/>
              </w:rPr>
            </w:pPr>
            <w:r w:rsidRPr="004D0F37">
              <w:rPr>
                <w:rFonts w:ascii="Times New Roman" w:hAnsi="Times New Roman" w:cs="Times New Roman"/>
                <w:b/>
                <w:bCs/>
                <w:color w:val="000000"/>
                <w:sz w:val="20"/>
                <w:szCs w:val="20"/>
              </w:rPr>
              <w:t>14 495,1</w:t>
            </w:r>
          </w:p>
        </w:tc>
      </w:tr>
    </w:tbl>
    <w:p w:rsidR="00B534F8" w:rsidP="00B534F8">
      <w:pPr>
        <w:spacing w:before="120" w:line="360" w:lineRule="auto"/>
        <w:jc w:val="both"/>
        <w:rPr>
          <w:rFonts w:ascii="Times New Roman" w:hAnsi="Times New Roman" w:cs="Times New Roman"/>
          <w:sz w:val="20"/>
          <w:szCs w:val="20"/>
        </w:rPr>
      </w:pPr>
      <w:r w:rsidRPr="004D0F37">
        <w:rPr>
          <w:rFonts w:ascii="Times New Roman" w:hAnsi="Times New Roman" w:cs="Times New Roman"/>
          <w:sz w:val="20"/>
          <w:szCs w:val="20"/>
        </w:rPr>
        <w:t>Zdroj: Ministerstvo financií SR</w:t>
      </w:r>
    </w:p>
    <w:p w:rsidR="004D0F37" w:rsidRPr="004D0F37" w:rsidP="00B534F8">
      <w:pPr>
        <w:spacing w:before="120" w:line="360" w:lineRule="auto"/>
        <w:jc w:val="both"/>
        <w:rPr>
          <w:rFonts w:ascii="Times New Roman" w:hAnsi="Times New Roman" w:cs="Times New Roman"/>
          <w:sz w:val="20"/>
          <w:szCs w:val="20"/>
        </w:rPr>
      </w:pPr>
    </w:p>
    <w:p w:rsidR="00B534F8" w:rsidP="00B534F8">
      <w:pPr>
        <w:spacing w:line="360" w:lineRule="auto"/>
        <w:jc w:val="both"/>
        <w:rPr>
          <w:rFonts w:ascii="Times New Roman" w:hAnsi="Times New Roman" w:cs="Times New Roman"/>
        </w:rPr>
      </w:pPr>
      <w:r>
        <w:rPr>
          <w:rFonts w:ascii="Times New Roman" w:hAnsi="Times New Roman" w:cs="Times New Roman"/>
        </w:rPr>
        <w:tab/>
        <w:t>Medziročné zvýšenie aktív bolo vykázané z dôvodu nadobudnutia krátkodobých finančných investícií a rastu pohľadávok štátu.</w:t>
      </w:r>
    </w:p>
    <w:p w:rsidR="00B534F8" w:rsidP="00B534F8">
      <w:pPr>
        <w:spacing w:line="360" w:lineRule="auto"/>
        <w:jc w:val="both"/>
        <w:rPr>
          <w:rFonts w:ascii="Times New Roman" w:hAnsi="Times New Roman" w:cs="Times New Roman"/>
        </w:rPr>
      </w:pPr>
      <w:r>
        <w:rPr>
          <w:rFonts w:ascii="Times New Roman" w:hAnsi="Times New Roman" w:cs="Times New Roman"/>
        </w:rPr>
        <w:tab/>
        <w:t>Medziročné zvýšenie záväzkov a tým aj štátneho dlhu o 77 543,8 mil. Sk bolo spôsobené predovšetkým rastom dlžníckej pozície voči Štátnej pokladnici z titulu čerpania pôžičiek v rámci refinančného systému, emisiami štátnych dlhopisov, čerpaním úverov od EIB a novovzniknutými záväzkami z anonymných vkladov obyvateľstva.</w:t>
      </w:r>
    </w:p>
    <w:p w:rsidR="00B534F8" w:rsidP="00B534F8">
      <w:pPr>
        <w:spacing w:line="360" w:lineRule="auto"/>
        <w:jc w:val="both"/>
        <w:rPr>
          <w:rFonts w:ascii="Times New Roman" w:hAnsi="Times New Roman" w:cs="Times New Roman"/>
        </w:rPr>
      </w:pPr>
      <w:r>
        <w:rPr>
          <w:rFonts w:ascii="Times New Roman" w:hAnsi="Times New Roman" w:cs="Times New Roman"/>
        </w:rPr>
        <w:tab/>
        <w:t>Na celkovom stave štátnych finančných aktív 177 975,9 mil. Sk sa jednotlivé ich zložky podieľali takto:</w:t>
      </w:r>
    </w:p>
    <w:p w:rsidR="004D0F37" w:rsidP="00B534F8">
      <w:pPr>
        <w:spacing w:line="360" w:lineRule="auto"/>
        <w:jc w:val="both"/>
        <w:rPr>
          <w:rFonts w:ascii="Times New Roman" w:hAnsi="Times New Roman" w:cs="Times New Roman"/>
        </w:rPr>
      </w:pPr>
    </w:p>
    <w:p w:rsidR="00881EDE" w:rsidP="00B534F8">
      <w:pPr>
        <w:spacing w:line="360" w:lineRule="auto"/>
        <w:jc w:val="both"/>
        <w:rPr>
          <w:rFonts w:ascii="Times New Roman" w:hAnsi="Times New Roman" w:cs="Times New Roman"/>
        </w:rPr>
      </w:pPr>
    </w:p>
    <w:p w:rsidR="00B534F8" w:rsidP="00B534F8">
      <w:pPr>
        <w:spacing w:line="360" w:lineRule="auto"/>
        <w:jc w:val="both"/>
        <w:rPr>
          <w:rFonts w:ascii="Times New Roman" w:hAnsi="Times New Roman" w:cs="Times New Roman"/>
        </w:rPr>
      </w:pPr>
      <w:r>
        <w:rPr>
          <w:rFonts w:ascii="Times New Roman" w:hAnsi="Times New Roman" w:cs="Times New Roman"/>
        </w:rPr>
        <w:t>- prostriedky na bankových účtoch</w:t>
      </w:r>
    </w:p>
    <w:p w:rsidR="00B534F8" w:rsidP="00B534F8">
      <w:pPr>
        <w:spacing w:line="360" w:lineRule="auto"/>
        <w:jc w:val="both"/>
        <w:rPr>
          <w:rFonts w:ascii="Times New Roman" w:hAnsi="Times New Roman" w:cs="Times New Roman"/>
        </w:rPr>
      </w:pPr>
      <w:r>
        <w:rPr>
          <w:rFonts w:ascii="Times New Roman" w:hAnsi="Times New Roman" w:cs="Times New Roman"/>
        </w:rPr>
        <w:t xml:space="preserve">   v Štátnej pokladnici a krátkodobé finančné investície</w:t>
        <w:tab/>
        <w:tab/>
        <w:tab/>
      </w:r>
      <w:r w:rsidR="004D0F37">
        <w:rPr>
          <w:rFonts w:ascii="Times New Roman" w:hAnsi="Times New Roman" w:cs="Times New Roman"/>
        </w:rPr>
        <w:t xml:space="preserve">   </w:t>
      </w:r>
      <w:r>
        <w:rPr>
          <w:rFonts w:ascii="Times New Roman" w:hAnsi="Times New Roman" w:cs="Times New Roman"/>
        </w:rPr>
        <w:t>44,1 %</w:t>
      </w:r>
    </w:p>
    <w:p w:rsidR="00B534F8" w:rsidP="00B534F8">
      <w:pPr>
        <w:spacing w:line="360" w:lineRule="auto"/>
        <w:jc w:val="both"/>
        <w:rPr>
          <w:rFonts w:ascii="Times New Roman" w:hAnsi="Times New Roman" w:cs="Times New Roman"/>
        </w:rPr>
      </w:pPr>
      <w:r>
        <w:rPr>
          <w:rFonts w:ascii="Times New Roman" w:hAnsi="Times New Roman" w:cs="Times New Roman"/>
        </w:rPr>
        <w:t>- pohľadávky tuzemské</w:t>
        <w:tab/>
        <w:tab/>
        <w:tab/>
        <w:tab/>
        <w:tab/>
        <w:tab/>
        <w:tab/>
      </w:r>
      <w:r w:rsidR="004D0F37">
        <w:rPr>
          <w:rFonts w:ascii="Times New Roman" w:hAnsi="Times New Roman" w:cs="Times New Roman"/>
        </w:rPr>
        <w:t xml:space="preserve">  </w:t>
      </w:r>
      <w:r>
        <w:rPr>
          <w:rFonts w:ascii="Times New Roman" w:hAnsi="Times New Roman" w:cs="Times New Roman"/>
        </w:rPr>
        <w:t xml:space="preserve"> 41,6 %</w:t>
      </w:r>
    </w:p>
    <w:p w:rsidR="00B534F8" w:rsidP="00B534F8">
      <w:pPr>
        <w:spacing w:line="360" w:lineRule="auto"/>
        <w:jc w:val="both"/>
        <w:rPr>
          <w:rFonts w:ascii="Times New Roman" w:hAnsi="Times New Roman" w:cs="Times New Roman"/>
        </w:rPr>
      </w:pPr>
      <w:r>
        <w:rPr>
          <w:rFonts w:ascii="Times New Roman" w:hAnsi="Times New Roman" w:cs="Times New Roman"/>
        </w:rPr>
        <w:t>- pohľadávky zahraničné</w:t>
        <w:tab/>
        <w:tab/>
        <w:tab/>
        <w:tab/>
        <w:tab/>
        <w:tab/>
        <w:tab/>
      </w:r>
      <w:r w:rsidR="004D0F37">
        <w:rPr>
          <w:rFonts w:ascii="Times New Roman" w:hAnsi="Times New Roman" w:cs="Times New Roman"/>
        </w:rPr>
        <w:t xml:space="preserve">  </w:t>
      </w:r>
      <w:r>
        <w:rPr>
          <w:rFonts w:ascii="Times New Roman" w:hAnsi="Times New Roman" w:cs="Times New Roman"/>
        </w:rPr>
        <w:t xml:space="preserve">   6,5 %</w:t>
      </w:r>
    </w:p>
    <w:p w:rsidR="00B534F8" w:rsidP="00B534F8">
      <w:pPr>
        <w:spacing w:line="360" w:lineRule="auto"/>
        <w:jc w:val="both"/>
        <w:rPr>
          <w:rFonts w:ascii="Times New Roman" w:hAnsi="Times New Roman" w:cs="Times New Roman"/>
        </w:rPr>
      </w:pPr>
      <w:r>
        <w:rPr>
          <w:rFonts w:ascii="Times New Roman" w:hAnsi="Times New Roman" w:cs="Times New Roman"/>
        </w:rPr>
        <w:t>- vklady štátu v tuzemsku a v zahraničí</w:t>
        <w:tab/>
        <w:tab/>
        <w:tab/>
        <w:tab/>
        <w:tab/>
        <w:t xml:space="preserve">  </w:t>
      </w:r>
      <w:r w:rsidR="004D0F37">
        <w:rPr>
          <w:rFonts w:ascii="Times New Roman" w:hAnsi="Times New Roman" w:cs="Times New Roman"/>
        </w:rPr>
        <w:t xml:space="preserve">  </w:t>
      </w:r>
      <w:r>
        <w:rPr>
          <w:rFonts w:ascii="Times New Roman" w:hAnsi="Times New Roman" w:cs="Times New Roman"/>
        </w:rPr>
        <w:t xml:space="preserve"> 7,8 %</w:t>
      </w:r>
    </w:p>
    <w:p w:rsidR="00B534F8" w:rsidP="00B534F8">
      <w:pPr>
        <w:spacing w:line="360" w:lineRule="auto"/>
        <w:jc w:val="both"/>
        <w:rPr>
          <w:rFonts w:ascii="Times New Roman" w:hAnsi="Times New Roman" w:cs="Times New Roman"/>
        </w:rPr>
      </w:pPr>
    </w:p>
    <w:p w:rsidR="00B534F8" w:rsidP="00B534F8">
      <w:pPr>
        <w:spacing w:line="360" w:lineRule="auto"/>
        <w:jc w:val="both"/>
        <w:rPr>
          <w:rFonts w:ascii="Times New Roman" w:hAnsi="Times New Roman" w:cs="Times New Roman"/>
        </w:rPr>
      </w:pPr>
      <w:r>
        <w:rPr>
          <w:rFonts w:ascii="Times New Roman" w:hAnsi="Times New Roman" w:cs="Times New Roman"/>
        </w:rPr>
        <w:tab/>
        <w:t>Celkový stav záväzkov v sume 630 843,6 mil. Sk v štruktúre tvorili:</w:t>
      </w:r>
    </w:p>
    <w:p w:rsidR="00B534F8" w:rsidP="00B534F8">
      <w:pPr>
        <w:spacing w:line="360" w:lineRule="auto"/>
        <w:jc w:val="both"/>
        <w:rPr>
          <w:rFonts w:ascii="Times New Roman" w:hAnsi="Times New Roman" w:cs="Times New Roman"/>
        </w:rPr>
      </w:pPr>
      <w:r>
        <w:rPr>
          <w:rFonts w:ascii="Times New Roman" w:hAnsi="Times New Roman" w:cs="Times New Roman"/>
        </w:rPr>
        <w:t>- záväzky z emisií štátnych dlhopisov</w:t>
        <w:tab/>
        <w:tab/>
        <w:tab/>
        <w:tab/>
        <w:tab/>
      </w:r>
      <w:r w:rsidR="004D0F37">
        <w:rPr>
          <w:rFonts w:ascii="Times New Roman" w:hAnsi="Times New Roman" w:cs="Times New Roman"/>
        </w:rPr>
        <w:t xml:space="preserve">   </w:t>
      </w:r>
      <w:r>
        <w:rPr>
          <w:rFonts w:ascii="Times New Roman" w:hAnsi="Times New Roman" w:cs="Times New Roman"/>
        </w:rPr>
        <w:t>71,3 %</w:t>
      </w:r>
    </w:p>
    <w:p w:rsidR="00B534F8" w:rsidP="00B534F8">
      <w:pPr>
        <w:spacing w:line="360" w:lineRule="auto"/>
        <w:jc w:val="both"/>
        <w:rPr>
          <w:rFonts w:ascii="Times New Roman" w:hAnsi="Times New Roman" w:cs="Times New Roman"/>
        </w:rPr>
      </w:pPr>
      <w:r>
        <w:rPr>
          <w:rFonts w:ascii="Times New Roman" w:hAnsi="Times New Roman" w:cs="Times New Roman"/>
        </w:rPr>
        <w:t>- záväzky z refinančného systému so Štátnou pokladnicou</w:t>
        <w:tab/>
        <w:tab/>
        <w:tab/>
      </w:r>
      <w:r w:rsidR="004D0F37">
        <w:rPr>
          <w:rFonts w:ascii="Times New Roman" w:hAnsi="Times New Roman" w:cs="Times New Roman"/>
        </w:rPr>
        <w:t xml:space="preserve">   </w:t>
      </w:r>
      <w:r>
        <w:rPr>
          <w:rFonts w:ascii="Times New Roman" w:hAnsi="Times New Roman" w:cs="Times New Roman"/>
        </w:rPr>
        <w:t>24,1 %</w:t>
      </w:r>
    </w:p>
    <w:p w:rsidR="00B534F8" w:rsidRPr="00C4722E" w:rsidP="00B534F8">
      <w:pPr>
        <w:spacing w:line="360" w:lineRule="auto"/>
        <w:jc w:val="both"/>
        <w:rPr>
          <w:rFonts w:ascii="Times New Roman" w:hAnsi="Times New Roman" w:cs="Times New Roman"/>
        </w:rPr>
      </w:pPr>
      <w:r>
        <w:rPr>
          <w:rFonts w:ascii="Times New Roman" w:hAnsi="Times New Roman" w:cs="Times New Roman"/>
        </w:rPr>
        <w:t>- ostatné záväzky tuzemské a zahraničné</w:t>
        <w:tab/>
        <w:tab/>
        <w:tab/>
        <w:tab/>
        <w:tab/>
      </w:r>
      <w:r w:rsidR="004D0F37">
        <w:rPr>
          <w:rFonts w:ascii="Times New Roman" w:hAnsi="Times New Roman" w:cs="Times New Roman"/>
        </w:rPr>
        <w:t xml:space="preserve">   </w:t>
      </w:r>
      <w:r>
        <w:rPr>
          <w:rFonts w:ascii="Times New Roman" w:hAnsi="Times New Roman" w:cs="Times New Roman"/>
        </w:rPr>
        <w:t xml:space="preserve">  4,6 %</w:t>
      </w:r>
    </w:p>
    <w:p w:rsidR="00B534F8" w:rsidP="00B534F8">
      <w:pPr>
        <w:spacing w:line="360" w:lineRule="auto"/>
        <w:jc w:val="both"/>
        <w:rPr>
          <w:rFonts w:ascii="Times New Roman" w:hAnsi="Times New Roman" w:cs="Times New Roman"/>
          <w:u w:val="single"/>
        </w:rPr>
      </w:pPr>
    </w:p>
    <w:p w:rsidR="00B534F8" w:rsidRPr="00EF0FAA" w:rsidP="00B534F8">
      <w:pPr>
        <w:spacing w:before="240" w:line="360" w:lineRule="auto"/>
        <w:jc w:val="center"/>
        <w:rPr>
          <w:rFonts w:ascii="Times New Roman" w:hAnsi="Times New Roman" w:cs="Times New Roman"/>
          <w:b/>
        </w:rPr>
      </w:pPr>
      <w:r w:rsidR="00766559">
        <w:rPr>
          <w:rFonts w:ascii="Times New Roman" w:hAnsi="Times New Roman" w:cs="Times New Roman"/>
          <w:b/>
        </w:rPr>
        <w:t>4</w:t>
      </w:r>
      <w:r>
        <w:rPr>
          <w:rFonts w:ascii="Times New Roman" w:hAnsi="Times New Roman" w:cs="Times New Roman"/>
          <w:b/>
        </w:rPr>
        <w:t xml:space="preserve">.3.1. </w:t>
      </w:r>
      <w:r w:rsidRPr="00EF0FAA">
        <w:rPr>
          <w:rFonts w:ascii="Times New Roman" w:hAnsi="Times New Roman" w:cs="Times New Roman"/>
          <w:b/>
        </w:rPr>
        <w:t>Vývoj štátnych finančných aktív</w:t>
      </w:r>
    </w:p>
    <w:p w:rsidR="00B534F8" w:rsidRPr="00EF0FAA" w:rsidP="00B534F8">
      <w:pPr>
        <w:spacing w:before="120" w:line="360" w:lineRule="auto"/>
        <w:rPr>
          <w:rFonts w:ascii="Times New Roman" w:hAnsi="Times New Roman" w:cs="Times New Roman"/>
        </w:rPr>
      </w:pPr>
      <w:r w:rsidRPr="00EF0FAA">
        <w:rPr>
          <w:rFonts w:ascii="Times New Roman" w:hAnsi="Times New Roman" w:cs="Times New Roman"/>
        </w:rPr>
        <w:tab/>
        <w:t>Hodnotenie vývoja štátnych finančných aktív za rok 200</w:t>
      </w:r>
      <w:r>
        <w:rPr>
          <w:rFonts w:ascii="Times New Roman" w:hAnsi="Times New Roman" w:cs="Times New Roman"/>
        </w:rPr>
        <w:t>6</w:t>
      </w:r>
      <w:r w:rsidRPr="00EF0FAA">
        <w:rPr>
          <w:rFonts w:ascii="Times New Roman" w:hAnsi="Times New Roman" w:cs="Times New Roman"/>
        </w:rPr>
        <w:t xml:space="preserve"> je zamerané na nasledovné oblasti:</w:t>
      </w:r>
    </w:p>
    <w:p w:rsidR="00B534F8" w:rsidP="00B534F8">
      <w:pPr>
        <w:pStyle w:val="BodyText3"/>
        <w:numPr>
          <w:ilvl w:val="0"/>
          <w:numId w:val="38"/>
        </w:numPr>
        <w:tabs>
          <w:tab w:val="left" w:pos="360"/>
        </w:tabs>
        <w:spacing w:before="120" w:line="360" w:lineRule="auto"/>
        <w:ind w:left="357" w:hanging="357"/>
        <w:rPr>
          <w:rFonts w:ascii="Times New Roman" w:hAnsi="Times New Roman" w:cs="Times New Roman"/>
          <w:szCs w:val="24"/>
        </w:rPr>
      </w:pPr>
      <w:r w:rsidRPr="00EF0FAA">
        <w:rPr>
          <w:rFonts w:ascii="Times New Roman" w:hAnsi="Times New Roman" w:cs="Times New Roman"/>
          <w:szCs w:val="24"/>
        </w:rPr>
        <w:t xml:space="preserve">stav a vývoj prostriedkov </w:t>
      </w:r>
      <w:r>
        <w:rPr>
          <w:rFonts w:ascii="Times New Roman" w:hAnsi="Times New Roman" w:cs="Times New Roman"/>
          <w:szCs w:val="24"/>
        </w:rPr>
        <w:t xml:space="preserve"> na účtoch v Štátnej pokladnici,</w:t>
      </w:r>
    </w:p>
    <w:p w:rsidR="00B534F8" w:rsidP="00B534F8">
      <w:pPr>
        <w:pStyle w:val="BodyText3"/>
        <w:numPr>
          <w:ilvl w:val="0"/>
          <w:numId w:val="38"/>
        </w:numPr>
        <w:tabs>
          <w:tab w:val="left" w:pos="360"/>
        </w:tabs>
        <w:spacing w:before="120" w:line="360" w:lineRule="auto"/>
        <w:ind w:left="357" w:hanging="357"/>
        <w:rPr>
          <w:rFonts w:ascii="Times New Roman" w:hAnsi="Times New Roman" w:cs="Times New Roman"/>
          <w:szCs w:val="24"/>
        </w:rPr>
      </w:pPr>
      <w:r>
        <w:rPr>
          <w:rFonts w:ascii="Times New Roman" w:hAnsi="Times New Roman" w:cs="Times New Roman"/>
          <w:szCs w:val="24"/>
        </w:rPr>
        <w:t>stav a vývoj krátkodobých finančných investícií,</w:t>
      </w:r>
    </w:p>
    <w:p w:rsidR="00B534F8" w:rsidP="00B534F8">
      <w:pPr>
        <w:pStyle w:val="BodyText3"/>
        <w:numPr>
          <w:ilvl w:val="0"/>
          <w:numId w:val="38"/>
        </w:numPr>
        <w:tabs>
          <w:tab w:val="left" w:pos="360"/>
        </w:tabs>
        <w:spacing w:before="120" w:line="360" w:lineRule="auto"/>
        <w:ind w:left="357" w:hanging="357"/>
        <w:rPr>
          <w:rFonts w:ascii="Times New Roman" w:hAnsi="Times New Roman" w:cs="Times New Roman"/>
          <w:szCs w:val="24"/>
        </w:rPr>
      </w:pPr>
      <w:r>
        <w:rPr>
          <w:rFonts w:ascii="Times New Roman" w:hAnsi="Times New Roman" w:cs="Times New Roman"/>
          <w:szCs w:val="24"/>
        </w:rPr>
        <w:t>štátne finančné aktíva voči zahraničiu,</w:t>
      </w:r>
    </w:p>
    <w:p w:rsidR="00B534F8" w:rsidP="00B534F8">
      <w:pPr>
        <w:pStyle w:val="BodyText3"/>
        <w:numPr>
          <w:ilvl w:val="0"/>
          <w:numId w:val="38"/>
        </w:numPr>
        <w:tabs>
          <w:tab w:val="left" w:pos="360"/>
        </w:tabs>
        <w:spacing w:before="120" w:line="360" w:lineRule="auto"/>
        <w:ind w:left="357" w:hanging="357"/>
        <w:rPr>
          <w:rFonts w:ascii="Times New Roman" w:hAnsi="Times New Roman" w:cs="Times New Roman"/>
          <w:szCs w:val="24"/>
        </w:rPr>
      </w:pPr>
      <w:r>
        <w:rPr>
          <w:rFonts w:ascii="Times New Roman" w:hAnsi="Times New Roman" w:cs="Times New Roman"/>
          <w:szCs w:val="24"/>
        </w:rPr>
        <w:t>štátne finančné aktíva ako vklady a pohľadávky štátu voči tuzemským spoločnostiam.</w:t>
      </w:r>
    </w:p>
    <w:p w:rsidR="00B534F8" w:rsidP="00B534F8">
      <w:pPr>
        <w:pStyle w:val="BodyText3"/>
        <w:spacing w:before="120" w:line="360" w:lineRule="auto"/>
        <w:rPr>
          <w:rFonts w:ascii="Times New Roman" w:hAnsi="Times New Roman" w:cs="Times New Roman"/>
          <w:szCs w:val="24"/>
        </w:rPr>
      </w:pPr>
    </w:p>
    <w:p w:rsidR="00B534F8" w:rsidP="00B534F8">
      <w:pPr>
        <w:spacing w:before="240" w:line="360" w:lineRule="auto"/>
        <w:jc w:val="center"/>
        <w:rPr>
          <w:rFonts w:ascii="Times New Roman" w:hAnsi="Times New Roman" w:cs="Times New Roman"/>
          <w:b/>
        </w:rPr>
      </w:pPr>
      <w:r w:rsidR="00766559">
        <w:rPr>
          <w:rFonts w:ascii="Times New Roman" w:hAnsi="Times New Roman" w:cs="Times New Roman"/>
          <w:b/>
        </w:rPr>
        <w:t>4</w:t>
      </w:r>
      <w:r w:rsidRPr="00EF0FAA">
        <w:rPr>
          <w:rFonts w:ascii="Times New Roman" w:hAnsi="Times New Roman" w:cs="Times New Roman"/>
          <w:b/>
        </w:rPr>
        <w:t>.</w:t>
      </w:r>
      <w:r>
        <w:rPr>
          <w:rFonts w:ascii="Times New Roman" w:hAnsi="Times New Roman" w:cs="Times New Roman"/>
          <w:b/>
        </w:rPr>
        <w:t>3</w:t>
      </w:r>
      <w:r w:rsidRPr="00EF0FAA">
        <w:rPr>
          <w:rFonts w:ascii="Times New Roman" w:hAnsi="Times New Roman" w:cs="Times New Roman"/>
          <w:b/>
        </w:rPr>
        <w:t>.1.1.   Stav a vývoj prostriedkov  na účtoch v</w:t>
      </w:r>
      <w:r>
        <w:rPr>
          <w:rFonts w:ascii="Times New Roman" w:hAnsi="Times New Roman" w:cs="Times New Roman"/>
          <w:b/>
        </w:rPr>
        <w:t> </w:t>
      </w:r>
      <w:r w:rsidRPr="00EF0FAA">
        <w:rPr>
          <w:rFonts w:ascii="Times New Roman" w:hAnsi="Times New Roman" w:cs="Times New Roman"/>
          <w:b/>
        </w:rPr>
        <w:t>Š</w:t>
      </w:r>
      <w:r>
        <w:rPr>
          <w:rFonts w:ascii="Times New Roman" w:hAnsi="Times New Roman" w:cs="Times New Roman"/>
          <w:b/>
        </w:rPr>
        <w:t>tátnej pokladnici</w:t>
      </w:r>
    </w:p>
    <w:p w:rsidR="00B534F8" w:rsidRPr="00EF0FAA" w:rsidP="00B534F8">
      <w:pPr>
        <w:spacing w:before="120" w:after="120" w:line="360" w:lineRule="auto"/>
        <w:ind w:firstLine="709"/>
        <w:jc w:val="both"/>
        <w:rPr>
          <w:rFonts w:ascii="Times New Roman" w:hAnsi="Times New Roman" w:cs="Times New Roman"/>
        </w:rPr>
      </w:pPr>
      <w:r w:rsidRPr="00EF0FAA">
        <w:rPr>
          <w:rFonts w:ascii="Times New Roman" w:hAnsi="Times New Roman" w:cs="Times New Roman"/>
        </w:rPr>
        <w:t>V priebehu roka 200</w:t>
      </w:r>
      <w:r>
        <w:rPr>
          <w:rFonts w:ascii="Times New Roman" w:hAnsi="Times New Roman" w:cs="Times New Roman"/>
        </w:rPr>
        <w:t>6</w:t>
      </w:r>
      <w:r w:rsidRPr="00EF0FAA">
        <w:rPr>
          <w:rFonts w:ascii="Times New Roman" w:hAnsi="Times New Roman" w:cs="Times New Roman"/>
        </w:rPr>
        <w:t xml:space="preserve"> sa </w:t>
      </w:r>
      <w:r>
        <w:rPr>
          <w:rFonts w:ascii="Times New Roman" w:hAnsi="Times New Roman" w:cs="Times New Roman"/>
        </w:rPr>
        <w:t xml:space="preserve">stav </w:t>
      </w:r>
      <w:r w:rsidRPr="00EF0FAA">
        <w:rPr>
          <w:rFonts w:ascii="Times New Roman" w:hAnsi="Times New Roman" w:cs="Times New Roman"/>
        </w:rPr>
        <w:t>štátn</w:t>
      </w:r>
      <w:r>
        <w:rPr>
          <w:rFonts w:ascii="Times New Roman" w:hAnsi="Times New Roman" w:cs="Times New Roman"/>
        </w:rPr>
        <w:t>ych</w:t>
      </w:r>
      <w:r w:rsidRPr="00EF0FAA">
        <w:rPr>
          <w:rFonts w:ascii="Times New Roman" w:hAnsi="Times New Roman" w:cs="Times New Roman"/>
        </w:rPr>
        <w:t xml:space="preserve"> finančn</w:t>
      </w:r>
      <w:r>
        <w:rPr>
          <w:rFonts w:ascii="Times New Roman" w:hAnsi="Times New Roman" w:cs="Times New Roman"/>
        </w:rPr>
        <w:t>ých</w:t>
      </w:r>
      <w:r w:rsidRPr="00EF0FAA">
        <w:rPr>
          <w:rFonts w:ascii="Times New Roman" w:hAnsi="Times New Roman" w:cs="Times New Roman"/>
        </w:rPr>
        <w:t xml:space="preserve"> aktív na účtoch v Štátnej pokladnici znížil o</w:t>
      </w:r>
      <w:r>
        <w:rPr>
          <w:rFonts w:ascii="Times New Roman" w:hAnsi="Times New Roman" w:cs="Times New Roman"/>
        </w:rPr>
        <w:t> </w:t>
      </w:r>
      <w:r w:rsidRPr="00EF0FAA">
        <w:rPr>
          <w:rFonts w:ascii="Times New Roman" w:hAnsi="Times New Roman" w:cs="Times New Roman"/>
        </w:rPr>
        <w:t>1</w:t>
      </w:r>
      <w:r>
        <w:rPr>
          <w:rFonts w:ascii="Times New Roman" w:hAnsi="Times New Roman" w:cs="Times New Roman"/>
        </w:rPr>
        <w:t>3 700,7</w:t>
      </w:r>
      <w:r w:rsidRPr="00EF0FAA">
        <w:rPr>
          <w:rFonts w:ascii="Times New Roman" w:hAnsi="Times New Roman" w:cs="Times New Roman"/>
        </w:rPr>
        <w:t xml:space="preserve"> mil. Sk</w:t>
      </w:r>
      <w:r>
        <w:rPr>
          <w:rFonts w:ascii="Times New Roman" w:hAnsi="Times New Roman" w:cs="Times New Roman"/>
        </w:rPr>
        <w:t>, v štruktúre podľa nasledovného</w:t>
      </w:r>
      <w:r w:rsidRPr="00EF0FAA">
        <w:rPr>
          <w:rFonts w:ascii="Times New Roman" w:hAnsi="Times New Roman" w:cs="Times New Roman"/>
        </w:rPr>
        <w:t xml:space="preserve"> prehľad</w:t>
      </w:r>
      <w:r>
        <w:rPr>
          <w:rFonts w:ascii="Times New Roman" w:hAnsi="Times New Roman" w:cs="Times New Roman"/>
        </w:rPr>
        <w:t>u</w:t>
      </w:r>
      <w:r w:rsidRPr="00EF0FAA">
        <w:rPr>
          <w:rFonts w:ascii="Times New Roman" w:hAnsi="Times New Roman" w:cs="Times New Roman"/>
        </w:rPr>
        <w:t xml:space="preserve"> (v mil. Sk): </w:t>
      </w:r>
    </w:p>
    <w:tbl>
      <w:tblPr>
        <w:tblW w:w="9180" w:type="dxa"/>
        <w:tblInd w:w="55" w:type="dxa"/>
        <w:tblCellMar>
          <w:left w:w="70" w:type="dxa"/>
          <w:right w:w="70" w:type="dxa"/>
        </w:tblCellMar>
      </w:tblPr>
      <w:tblGrid>
        <w:gridCol w:w="5320"/>
        <w:gridCol w:w="1360"/>
        <w:gridCol w:w="1255"/>
        <w:gridCol w:w="1245"/>
      </w:tblGrid>
      <w:tr>
        <w:tblPrEx>
          <w:tblW w:w="9180" w:type="dxa"/>
          <w:tblInd w:w="55" w:type="dxa"/>
          <w:tblCellMar>
            <w:left w:w="70" w:type="dxa"/>
            <w:right w:w="70" w:type="dxa"/>
          </w:tblCellMar>
        </w:tblPrEx>
        <w:trPr>
          <w:trHeight w:val="517"/>
        </w:trPr>
        <w:tc>
          <w:tcPr>
            <w:tcW w:w="5320"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B534F8" w:rsidRPr="00524382" w:rsidP="00B534F8">
            <w:pPr>
              <w:jc w:val="center"/>
              <w:rPr>
                <w:rFonts w:ascii="Times New Roman" w:hAnsi="Times New Roman" w:cs="Times New Roman"/>
                <w:b/>
                <w:bCs/>
                <w:color w:val="000000"/>
                <w:sz w:val="20"/>
                <w:szCs w:val="20"/>
              </w:rPr>
            </w:pPr>
            <w:r w:rsidRPr="00524382">
              <w:rPr>
                <w:rFonts w:ascii="Times New Roman" w:hAnsi="Times New Roman" w:cs="Times New Roman"/>
                <w:b/>
                <w:bCs/>
                <w:color w:val="000000"/>
                <w:sz w:val="20"/>
                <w:szCs w:val="20"/>
              </w:rPr>
              <w:t>Položka aktív</w:t>
            </w:r>
          </w:p>
        </w:tc>
        <w:tc>
          <w:tcPr>
            <w:tcW w:w="1360"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B534F8" w:rsidRPr="00524382" w:rsidP="00B534F8">
            <w:pPr>
              <w:jc w:val="center"/>
              <w:rPr>
                <w:rFonts w:ascii="Times New Roman" w:hAnsi="Times New Roman" w:cs="Times New Roman"/>
                <w:b/>
                <w:bCs/>
                <w:color w:val="000000"/>
                <w:sz w:val="20"/>
                <w:szCs w:val="20"/>
              </w:rPr>
            </w:pPr>
            <w:r w:rsidRPr="00524382">
              <w:rPr>
                <w:rFonts w:ascii="Times New Roman" w:hAnsi="Times New Roman" w:cs="Times New Roman"/>
                <w:b/>
                <w:bCs/>
                <w:color w:val="000000"/>
                <w:sz w:val="20"/>
                <w:szCs w:val="20"/>
              </w:rPr>
              <w:t>Stav k</w:t>
            </w:r>
          </w:p>
          <w:p w:rsidR="00B534F8" w:rsidRPr="00524382" w:rsidP="00B534F8">
            <w:pPr>
              <w:jc w:val="center"/>
              <w:rPr>
                <w:rFonts w:ascii="Times New Roman" w:hAnsi="Times New Roman" w:cs="Times New Roman"/>
                <w:b/>
                <w:bCs/>
                <w:color w:val="000000"/>
                <w:sz w:val="20"/>
                <w:szCs w:val="20"/>
              </w:rPr>
            </w:pPr>
            <w:r w:rsidRPr="00524382">
              <w:rPr>
                <w:rFonts w:ascii="Times New Roman" w:hAnsi="Times New Roman" w:cs="Times New Roman"/>
                <w:b/>
                <w:bCs/>
                <w:color w:val="000000"/>
                <w:sz w:val="20"/>
                <w:szCs w:val="20"/>
              </w:rPr>
              <w:t>31.12.2005</w:t>
            </w:r>
          </w:p>
        </w:tc>
        <w:tc>
          <w:tcPr>
            <w:tcW w:w="1255"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B534F8" w:rsidRPr="00524382" w:rsidP="00B534F8">
            <w:pPr>
              <w:jc w:val="center"/>
              <w:rPr>
                <w:rFonts w:ascii="Times New Roman" w:hAnsi="Times New Roman" w:cs="Times New Roman"/>
                <w:b/>
                <w:bCs/>
                <w:color w:val="000000"/>
                <w:sz w:val="20"/>
                <w:szCs w:val="20"/>
              </w:rPr>
            </w:pPr>
            <w:r w:rsidRPr="00524382">
              <w:rPr>
                <w:rFonts w:ascii="Times New Roman" w:hAnsi="Times New Roman" w:cs="Times New Roman"/>
                <w:b/>
                <w:bCs/>
                <w:color w:val="000000"/>
                <w:sz w:val="20"/>
                <w:szCs w:val="20"/>
              </w:rPr>
              <w:t>Stav k</w:t>
            </w:r>
          </w:p>
          <w:p w:rsidR="00B534F8" w:rsidRPr="00524382" w:rsidP="00B534F8">
            <w:pPr>
              <w:jc w:val="center"/>
              <w:rPr>
                <w:rFonts w:ascii="Times New Roman" w:hAnsi="Times New Roman" w:cs="Times New Roman"/>
                <w:b/>
                <w:bCs/>
                <w:color w:val="000000"/>
                <w:sz w:val="20"/>
                <w:szCs w:val="20"/>
              </w:rPr>
            </w:pPr>
            <w:r w:rsidRPr="00524382">
              <w:rPr>
                <w:rFonts w:ascii="Times New Roman" w:hAnsi="Times New Roman" w:cs="Times New Roman"/>
                <w:b/>
                <w:bCs/>
                <w:color w:val="000000"/>
                <w:sz w:val="20"/>
                <w:szCs w:val="20"/>
              </w:rPr>
              <w:t>31.12.2006</w:t>
            </w:r>
          </w:p>
        </w:tc>
        <w:tc>
          <w:tcPr>
            <w:tcW w:w="1245"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B534F8" w:rsidRPr="00524382" w:rsidP="00B534F8">
            <w:pPr>
              <w:jc w:val="center"/>
              <w:rPr>
                <w:rFonts w:ascii="Times New Roman" w:hAnsi="Times New Roman" w:cs="Times New Roman"/>
                <w:b/>
                <w:bCs/>
                <w:color w:val="000000"/>
                <w:sz w:val="20"/>
                <w:szCs w:val="20"/>
              </w:rPr>
            </w:pPr>
            <w:r w:rsidRPr="00524382">
              <w:rPr>
                <w:rFonts w:ascii="Times New Roman" w:hAnsi="Times New Roman" w:cs="Times New Roman"/>
                <w:b/>
                <w:bCs/>
                <w:color w:val="000000"/>
                <w:sz w:val="20"/>
                <w:szCs w:val="20"/>
              </w:rPr>
              <w:t>Zmena</w:t>
            </w:r>
          </w:p>
        </w:tc>
      </w:tr>
      <w:tr>
        <w:tblPrEx>
          <w:tblW w:w="9180" w:type="dxa"/>
          <w:tblInd w:w="55" w:type="dxa"/>
          <w:tblCellMar>
            <w:left w:w="70" w:type="dxa"/>
            <w:right w:w="70" w:type="dxa"/>
          </w:tblCellMar>
        </w:tblPrEx>
        <w:trPr>
          <w:trHeight w:val="116"/>
        </w:trPr>
        <w:tc>
          <w:tcPr>
            <w:tcW w:w="532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524382" w:rsidP="00B534F8">
            <w:pPr>
              <w:rPr>
                <w:rFonts w:ascii="Times New Roman" w:hAnsi="Times New Roman" w:cs="Times New Roman"/>
                <w:color w:val="000000"/>
                <w:sz w:val="20"/>
                <w:szCs w:val="20"/>
              </w:rPr>
            </w:pPr>
            <w:r w:rsidRPr="00524382">
              <w:rPr>
                <w:rFonts w:ascii="Times New Roman" w:hAnsi="Times New Roman" w:cs="Times New Roman"/>
                <w:color w:val="000000"/>
                <w:sz w:val="20"/>
                <w:szCs w:val="20"/>
              </w:rPr>
              <w:t>Účelové prostriedky na konverziu zbrojnej výroby</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0,5</w:t>
            </w:r>
          </w:p>
        </w:tc>
        <w:tc>
          <w:tcPr>
            <w:tcW w:w="12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47,</w:t>
            </w:r>
            <w:r w:rsidR="00AB23FE">
              <w:rPr>
                <w:rFonts w:ascii="Times New Roman" w:hAnsi="Times New Roman" w:cs="Times New Roman"/>
                <w:color w:val="000000"/>
                <w:sz w:val="20"/>
                <w:szCs w:val="20"/>
              </w:rPr>
              <w:t>4</w:t>
            </w:r>
          </w:p>
        </w:tc>
        <w:tc>
          <w:tcPr>
            <w:tcW w:w="12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46,</w:t>
            </w:r>
            <w:r w:rsidR="00AB23FE">
              <w:rPr>
                <w:rFonts w:ascii="Times New Roman" w:hAnsi="Times New Roman" w:cs="Times New Roman"/>
                <w:color w:val="000000"/>
                <w:sz w:val="20"/>
                <w:szCs w:val="20"/>
              </w:rPr>
              <w:t>9</w:t>
            </w:r>
          </w:p>
        </w:tc>
      </w:tr>
      <w:tr>
        <w:tblPrEx>
          <w:tblW w:w="9180" w:type="dxa"/>
          <w:tblInd w:w="55" w:type="dxa"/>
          <w:tblCellMar>
            <w:left w:w="70" w:type="dxa"/>
            <w:right w:w="70" w:type="dxa"/>
          </w:tblCellMar>
        </w:tblPrEx>
        <w:trPr>
          <w:trHeight w:val="130"/>
        </w:trPr>
        <w:tc>
          <w:tcPr>
            <w:tcW w:w="532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524382" w:rsidP="00B534F8">
            <w:pPr>
              <w:rPr>
                <w:rFonts w:ascii="Times New Roman" w:hAnsi="Times New Roman" w:cs="Times New Roman"/>
                <w:color w:val="000000"/>
                <w:sz w:val="20"/>
                <w:szCs w:val="20"/>
              </w:rPr>
            </w:pPr>
            <w:r w:rsidRPr="00524382">
              <w:rPr>
                <w:rFonts w:ascii="Times New Roman" w:hAnsi="Times New Roman" w:cs="Times New Roman"/>
                <w:color w:val="000000"/>
                <w:sz w:val="20"/>
                <w:szCs w:val="20"/>
              </w:rPr>
              <w:t>Finančné náhrady z mimosúdnych rehabilitácií</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29,2</w:t>
            </w:r>
          </w:p>
        </w:tc>
        <w:tc>
          <w:tcPr>
            <w:tcW w:w="12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29,0</w:t>
            </w:r>
          </w:p>
        </w:tc>
        <w:tc>
          <w:tcPr>
            <w:tcW w:w="12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-0,2</w:t>
            </w:r>
          </w:p>
        </w:tc>
      </w:tr>
      <w:tr>
        <w:tblPrEx>
          <w:tblW w:w="9180" w:type="dxa"/>
          <w:tblInd w:w="55" w:type="dxa"/>
          <w:tblCellMar>
            <w:left w:w="70" w:type="dxa"/>
            <w:right w:w="70" w:type="dxa"/>
          </w:tblCellMar>
        </w:tblPrEx>
        <w:trPr>
          <w:trHeight w:val="114"/>
        </w:trPr>
        <w:tc>
          <w:tcPr>
            <w:tcW w:w="532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524382" w:rsidP="00B534F8">
            <w:pPr>
              <w:rPr>
                <w:rFonts w:ascii="Times New Roman" w:hAnsi="Times New Roman" w:cs="Times New Roman"/>
                <w:color w:val="000000"/>
                <w:sz w:val="20"/>
                <w:szCs w:val="20"/>
              </w:rPr>
            </w:pPr>
            <w:r w:rsidRPr="00524382">
              <w:rPr>
                <w:rFonts w:ascii="Times New Roman" w:hAnsi="Times New Roman" w:cs="Times New Roman"/>
                <w:color w:val="000000"/>
                <w:sz w:val="20"/>
                <w:szCs w:val="20"/>
              </w:rPr>
              <w:t>Finančné náhrady - zákon o pozemkových úpravách</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13,6</w:t>
            </w:r>
          </w:p>
        </w:tc>
        <w:tc>
          <w:tcPr>
            <w:tcW w:w="12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15,6</w:t>
            </w:r>
          </w:p>
        </w:tc>
        <w:tc>
          <w:tcPr>
            <w:tcW w:w="12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2,0</w:t>
            </w:r>
          </w:p>
        </w:tc>
      </w:tr>
      <w:tr>
        <w:tblPrEx>
          <w:tblW w:w="9180" w:type="dxa"/>
          <w:tblInd w:w="55" w:type="dxa"/>
          <w:tblCellMar>
            <w:left w:w="70" w:type="dxa"/>
            <w:right w:w="70" w:type="dxa"/>
          </w:tblCellMar>
        </w:tblPrEx>
        <w:trPr>
          <w:trHeight w:val="267"/>
        </w:trPr>
        <w:tc>
          <w:tcPr>
            <w:tcW w:w="532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524382" w:rsidP="00B534F8">
            <w:pPr>
              <w:rPr>
                <w:rFonts w:ascii="Times New Roman" w:hAnsi="Times New Roman" w:cs="Times New Roman"/>
                <w:color w:val="000000"/>
                <w:sz w:val="20"/>
                <w:szCs w:val="20"/>
              </w:rPr>
            </w:pPr>
            <w:r w:rsidRPr="00524382">
              <w:rPr>
                <w:rFonts w:ascii="Times New Roman" w:hAnsi="Times New Roman" w:cs="Times New Roman"/>
                <w:color w:val="000000"/>
                <w:sz w:val="20"/>
                <w:szCs w:val="20"/>
              </w:rPr>
              <w:t>Účelové prostriedky z</w:t>
            </w:r>
            <w:r w:rsidRPr="00524382" w:rsidR="00FE2600">
              <w:rPr>
                <w:rFonts w:ascii="Times New Roman" w:hAnsi="Times New Roman" w:cs="Times New Roman"/>
                <w:color w:val="000000"/>
                <w:sz w:val="20"/>
                <w:szCs w:val="20"/>
              </w:rPr>
              <w:t> </w:t>
            </w:r>
            <w:r w:rsidRPr="00524382">
              <w:rPr>
                <w:rFonts w:ascii="Times New Roman" w:hAnsi="Times New Roman" w:cs="Times New Roman"/>
                <w:color w:val="000000"/>
                <w:sz w:val="20"/>
                <w:szCs w:val="20"/>
              </w:rPr>
              <w:t>FNM na splácanie štátneho dlhu</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3 804,3</w:t>
            </w:r>
          </w:p>
        </w:tc>
        <w:tc>
          <w:tcPr>
            <w:tcW w:w="12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3 804,3</w:t>
            </w:r>
          </w:p>
        </w:tc>
        <w:tc>
          <w:tcPr>
            <w:tcW w:w="12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0,0</w:t>
            </w:r>
          </w:p>
        </w:tc>
      </w:tr>
      <w:tr>
        <w:tblPrEx>
          <w:tblW w:w="9180" w:type="dxa"/>
          <w:tblInd w:w="55" w:type="dxa"/>
          <w:tblCellMar>
            <w:left w:w="70" w:type="dxa"/>
            <w:right w:w="70" w:type="dxa"/>
          </w:tblCellMar>
        </w:tblPrEx>
        <w:trPr>
          <w:trHeight w:val="114"/>
        </w:trPr>
        <w:tc>
          <w:tcPr>
            <w:tcW w:w="532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524382" w:rsidP="00B534F8">
            <w:pPr>
              <w:rPr>
                <w:rFonts w:ascii="Times New Roman" w:hAnsi="Times New Roman" w:cs="Times New Roman"/>
                <w:color w:val="000000"/>
                <w:sz w:val="20"/>
                <w:szCs w:val="20"/>
              </w:rPr>
            </w:pPr>
            <w:r w:rsidRPr="00524382">
              <w:rPr>
                <w:rFonts w:ascii="Times New Roman" w:hAnsi="Times New Roman" w:cs="Times New Roman"/>
                <w:color w:val="000000"/>
                <w:sz w:val="20"/>
                <w:szCs w:val="20"/>
              </w:rPr>
              <w:t xml:space="preserve">Vkladový účet štátnych finančných aktív </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0,8</w:t>
            </w:r>
          </w:p>
        </w:tc>
        <w:tc>
          <w:tcPr>
            <w:tcW w:w="12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0,6</w:t>
            </w:r>
          </w:p>
        </w:tc>
        <w:tc>
          <w:tcPr>
            <w:tcW w:w="12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-0,2</w:t>
            </w:r>
          </w:p>
        </w:tc>
      </w:tr>
      <w:tr>
        <w:tblPrEx>
          <w:tblW w:w="9180" w:type="dxa"/>
          <w:tblInd w:w="55" w:type="dxa"/>
          <w:tblCellMar>
            <w:left w:w="70" w:type="dxa"/>
            <w:right w:w="70" w:type="dxa"/>
          </w:tblCellMar>
        </w:tblPrEx>
        <w:trPr>
          <w:trHeight w:val="261"/>
        </w:trPr>
        <w:tc>
          <w:tcPr>
            <w:tcW w:w="532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524382" w:rsidP="00B534F8">
            <w:pPr>
              <w:rPr>
                <w:rFonts w:ascii="Times New Roman" w:hAnsi="Times New Roman" w:cs="Times New Roman"/>
                <w:color w:val="000000"/>
                <w:sz w:val="20"/>
                <w:szCs w:val="20"/>
              </w:rPr>
            </w:pPr>
            <w:r w:rsidRPr="00524382">
              <w:rPr>
                <w:rFonts w:ascii="Times New Roman" w:hAnsi="Times New Roman" w:cs="Times New Roman"/>
                <w:color w:val="000000"/>
                <w:sz w:val="20"/>
                <w:szCs w:val="20"/>
              </w:rPr>
              <w:t>Termínovaný účet - dôchodková reforma</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70 209,3</w:t>
            </w:r>
          </w:p>
        </w:tc>
        <w:tc>
          <w:tcPr>
            <w:tcW w:w="12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55 644,0</w:t>
            </w:r>
          </w:p>
        </w:tc>
        <w:tc>
          <w:tcPr>
            <w:tcW w:w="12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-14 565,3</w:t>
            </w:r>
          </w:p>
        </w:tc>
      </w:tr>
      <w:tr>
        <w:tblPrEx>
          <w:tblW w:w="9180" w:type="dxa"/>
          <w:tblInd w:w="55" w:type="dxa"/>
          <w:tblCellMar>
            <w:left w:w="70" w:type="dxa"/>
            <w:right w:w="70" w:type="dxa"/>
          </w:tblCellMar>
        </w:tblPrEx>
        <w:trPr>
          <w:trHeight w:val="122"/>
        </w:trPr>
        <w:tc>
          <w:tcPr>
            <w:tcW w:w="532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524382" w:rsidP="00B534F8">
            <w:pPr>
              <w:rPr>
                <w:rFonts w:ascii="Times New Roman" w:hAnsi="Times New Roman" w:cs="Times New Roman"/>
                <w:color w:val="000000"/>
                <w:sz w:val="20"/>
                <w:szCs w:val="20"/>
              </w:rPr>
            </w:pPr>
            <w:r w:rsidRPr="00524382">
              <w:rPr>
                <w:rFonts w:ascii="Times New Roman" w:hAnsi="Times New Roman" w:cs="Times New Roman"/>
                <w:color w:val="000000"/>
                <w:sz w:val="20"/>
                <w:szCs w:val="20"/>
              </w:rPr>
              <w:t>Účet splátok návratných finančných výpomocí</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1 328,6</w:t>
            </w:r>
          </w:p>
        </w:tc>
        <w:tc>
          <w:tcPr>
            <w:tcW w:w="12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972,</w:t>
            </w:r>
            <w:r w:rsidR="00AB23FE">
              <w:rPr>
                <w:rFonts w:ascii="Times New Roman" w:hAnsi="Times New Roman" w:cs="Times New Roman"/>
                <w:color w:val="000000"/>
                <w:sz w:val="20"/>
                <w:szCs w:val="20"/>
              </w:rPr>
              <w:t>4</w:t>
            </w:r>
          </w:p>
        </w:tc>
        <w:tc>
          <w:tcPr>
            <w:tcW w:w="12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-356,</w:t>
            </w:r>
            <w:r w:rsidR="00AB23FE">
              <w:rPr>
                <w:rFonts w:ascii="Times New Roman" w:hAnsi="Times New Roman" w:cs="Times New Roman"/>
                <w:color w:val="000000"/>
                <w:sz w:val="20"/>
                <w:szCs w:val="20"/>
              </w:rPr>
              <w:t>2</w:t>
            </w:r>
          </w:p>
        </w:tc>
      </w:tr>
      <w:tr>
        <w:tblPrEx>
          <w:tblW w:w="9180" w:type="dxa"/>
          <w:tblInd w:w="55" w:type="dxa"/>
          <w:tblCellMar>
            <w:left w:w="70" w:type="dxa"/>
            <w:right w:w="70" w:type="dxa"/>
          </w:tblCellMar>
        </w:tblPrEx>
        <w:trPr>
          <w:trHeight w:val="268"/>
        </w:trPr>
        <w:tc>
          <w:tcPr>
            <w:tcW w:w="532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524382" w:rsidP="00B534F8">
            <w:pPr>
              <w:rPr>
                <w:rFonts w:ascii="Times New Roman" w:hAnsi="Times New Roman" w:cs="Times New Roman"/>
                <w:b/>
                <w:bCs/>
                <w:color w:val="000000"/>
                <w:sz w:val="20"/>
                <w:szCs w:val="20"/>
              </w:rPr>
            </w:pPr>
            <w:r w:rsidRPr="00524382">
              <w:rPr>
                <w:rFonts w:ascii="Times New Roman" w:hAnsi="Times New Roman" w:cs="Times New Roman"/>
                <w:b/>
                <w:bCs/>
                <w:color w:val="000000"/>
                <w:sz w:val="20"/>
                <w:szCs w:val="20"/>
              </w:rPr>
              <w:t>Evidencia štátnych finančných aktív</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b/>
                <w:bCs/>
                <w:color w:val="000000"/>
                <w:sz w:val="20"/>
                <w:szCs w:val="20"/>
              </w:rPr>
            </w:pPr>
            <w:r w:rsidRPr="00524382">
              <w:rPr>
                <w:rFonts w:ascii="Times New Roman" w:hAnsi="Times New Roman" w:cs="Times New Roman"/>
                <w:b/>
                <w:bCs/>
                <w:color w:val="000000"/>
                <w:sz w:val="20"/>
                <w:szCs w:val="20"/>
              </w:rPr>
              <w:t>75 386,3</w:t>
            </w:r>
          </w:p>
        </w:tc>
        <w:tc>
          <w:tcPr>
            <w:tcW w:w="12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b/>
                <w:bCs/>
                <w:color w:val="000000"/>
                <w:sz w:val="20"/>
                <w:szCs w:val="20"/>
              </w:rPr>
            </w:pPr>
            <w:r w:rsidRPr="00524382">
              <w:rPr>
                <w:rFonts w:ascii="Times New Roman" w:hAnsi="Times New Roman" w:cs="Times New Roman"/>
                <w:b/>
                <w:bCs/>
                <w:color w:val="000000"/>
                <w:sz w:val="20"/>
                <w:szCs w:val="20"/>
              </w:rPr>
              <w:t>60 513,1</w:t>
            </w:r>
          </w:p>
        </w:tc>
        <w:tc>
          <w:tcPr>
            <w:tcW w:w="12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524382" w:rsidP="00B534F8">
            <w:pPr>
              <w:jc w:val="right"/>
              <w:rPr>
                <w:rFonts w:ascii="Times New Roman" w:hAnsi="Times New Roman" w:cs="Times New Roman"/>
                <w:b/>
                <w:bCs/>
                <w:color w:val="000000"/>
                <w:sz w:val="20"/>
                <w:szCs w:val="20"/>
              </w:rPr>
            </w:pPr>
            <w:r w:rsidRPr="00524382">
              <w:rPr>
                <w:rFonts w:ascii="Times New Roman" w:hAnsi="Times New Roman" w:cs="Times New Roman"/>
                <w:b/>
                <w:bCs/>
                <w:color w:val="000000"/>
                <w:sz w:val="20"/>
                <w:szCs w:val="20"/>
              </w:rPr>
              <w:t>-14 873,2</w:t>
            </w:r>
          </w:p>
        </w:tc>
      </w:tr>
      <w:tr>
        <w:tblPrEx>
          <w:tblW w:w="9180" w:type="dxa"/>
          <w:tblInd w:w="55" w:type="dxa"/>
          <w:tblCellMar>
            <w:left w:w="70" w:type="dxa"/>
            <w:right w:w="70" w:type="dxa"/>
          </w:tblCellMar>
        </w:tblPrEx>
        <w:trPr>
          <w:trHeight w:val="93"/>
        </w:trPr>
        <w:tc>
          <w:tcPr>
            <w:tcW w:w="532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524382" w:rsidP="00B534F8">
            <w:pPr>
              <w:rPr>
                <w:rFonts w:ascii="Times New Roman" w:hAnsi="Times New Roman" w:cs="Times New Roman"/>
                <w:color w:val="000000"/>
                <w:sz w:val="20"/>
                <w:szCs w:val="20"/>
              </w:rPr>
            </w:pPr>
            <w:r w:rsidRPr="00524382">
              <w:rPr>
                <w:rFonts w:ascii="Times New Roman" w:hAnsi="Times New Roman" w:cs="Times New Roman"/>
                <w:color w:val="000000"/>
                <w:sz w:val="20"/>
                <w:szCs w:val="20"/>
              </w:rPr>
              <w:t>Účet prevádzkovateľov lotérií a iných podobných hier</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60,2</w:t>
            </w:r>
          </w:p>
        </w:tc>
        <w:tc>
          <w:tcPr>
            <w:tcW w:w="12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59,2</w:t>
            </w:r>
          </w:p>
        </w:tc>
        <w:tc>
          <w:tcPr>
            <w:tcW w:w="12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-1,0</w:t>
            </w:r>
          </w:p>
        </w:tc>
      </w:tr>
      <w:tr>
        <w:tblPrEx>
          <w:tblW w:w="9180" w:type="dxa"/>
          <w:tblInd w:w="55" w:type="dxa"/>
          <w:tblCellMar>
            <w:left w:w="70" w:type="dxa"/>
            <w:right w:w="70" w:type="dxa"/>
          </w:tblCellMar>
        </w:tblPrEx>
        <w:trPr>
          <w:trHeight w:val="186"/>
        </w:trPr>
        <w:tc>
          <w:tcPr>
            <w:tcW w:w="532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524382" w:rsidP="00B534F8">
            <w:pPr>
              <w:rPr>
                <w:rFonts w:ascii="Times New Roman" w:hAnsi="Times New Roman" w:cs="Times New Roman"/>
                <w:b/>
                <w:bCs/>
                <w:color w:val="000000"/>
                <w:sz w:val="20"/>
                <w:szCs w:val="20"/>
              </w:rPr>
            </w:pPr>
            <w:r w:rsidRPr="00524382">
              <w:rPr>
                <w:rFonts w:ascii="Times New Roman" w:hAnsi="Times New Roman" w:cs="Times New Roman"/>
                <w:b/>
                <w:bCs/>
                <w:color w:val="000000"/>
                <w:sz w:val="20"/>
                <w:szCs w:val="20"/>
              </w:rPr>
              <w:t>Vybrané mimorozpočtové prostriedky MF SR</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b/>
                <w:bCs/>
                <w:color w:val="000000"/>
                <w:sz w:val="20"/>
                <w:szCs w:val="20"/>
              </w:rPr>
            </w:pPr>
            <w:r w:rsidRPr="00524382">
              <w:rPr>
                <w:rFonts w:ascii="Times New Roman" w:hAnsi="Times New Roman" w:cs="Times New Roman"/>
                <w:b/>
                <w:bCs/>
                <w:color w:val="000000"/>
                <w:sz w:val="20"/>
                <w:szCs w:val="20"/>
              </w:rPr>
              <w:t>60,2</w:t>
            </w:r>
          </w:p>
        </w:tc>
        <w:tc>
          <w:tcPr>
            <w:tcW w:w="12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b/>
                <w:bCs/>
                <w:color w:val="000000"/>
                <w:sz w:val="20"/>
                <w:szCs w:val="20"/>
              </w:rPr>
            </w:pPr>
            <w:r w:rsidRPr="00524382">
              <w:rPr>
                <w:rFonts w:ascii="Times New Roman" w:hAnsi="Times New Roman" w:cs="Times New Roman"/>
                <w:b/>
                <w:bCs/>
                <w:color w:val="000000"/>
                <w:sz w:val="20"/>
                <w:szCs w:val="20"/>
              </w:rPr>
              <w:t>59,2</w:t>
            </w:r>
          </w:p>
        </w:tc>
        <w:tc>
          <w:tcPr>
            <w:tcW w:w="12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524382" w:rsidP="00B534F8">
            <w:pPr>
              <w:jc w:val="right"/>
              <w:rPr>
                <w:rFonts w:ascii="Times New Roman" w:hAnsi="Times New Roman" w:cs="Times New Roman"/>
                <w:b/>
                <w:bCs/>
                <w:color w:val="000000"/>
                <w:sz w:val="20"/>
                <w:szCs w:val="20"/>
              </w:rPr>
            </w:pPr>
            <w:r w:rsidRPr="00524382">
              <w:rPr>
                <w:rFonts w:ascii="Times New Roman" w:hAnsi="Times New Roman" w:cs="Times New Roman"/>
                <w:b/>
                <w:bCs/>
                <w:color w:val="000000"/>
                <w:sz w:val="20"/>
                <w:szCs w:val="20"/>
              </w:rPr>
              <w:t>-1,0</w:t>
            </w:r>
          </w:p>
        </w:tc>
      </w:tr>
      <w:tr>
        <w:tblPrEx>
          <w:tblW w:w="9180" w:type="dxa"/>
          <w:tblInd w:w="55" w:type="dxa"/>
          <w:tblCellMar>
            <w:left w:w="70" w:type="dxa"/>
            <w:right w:w="70" w:type="dxa"/>
          </w:tblCellMar>
        </w:tblPrEx>
        <w:trPr>
          <w:trHeight w:val="267"/>
        </w:trPr>
        <w:tc>
          <w:tcPr>
            <w:tcW w:w="532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524382" w:rsidP="00B534F8">
            <w:pPr>
              <w:rPr>
                <w:rFonts w:ascii="Times New Roman" w:hAnsi="Times New Roman" w:cs="Times New Roman"/>
                <w:color w:val="000000"/>
                <w:sz w:val="20"/>
                <w:szCs w:val="20"/>
              </w:rPr>
            </w:pPr>
            <w:r w:rsidRPr="00524382">
              <w:rPr>
                <w:rFonts w:ascii="Times New Roman" w:hAnsi="Times New Roman" w:cs="Times New Roman"/>
                <w:color w:val="000000"/>
                <w:sz w:val="20"/>
                <w:szCs w:val="20"/>
              </w:rPr>
              <w:t xml:space="preserve">Účet splátok vládnych úverov zo zahraničia - špeciál </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94,9</w:t>
            </w:r>
          </w:p>
        </w:tc>
        <w:tc>
          <w:tcPr>
            <w:tcW w:w="12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26,2</w:t>
            </w:r>
          </w:p>
        </w:tc>
        <w:tc>
          <w:tcPr>
            <w:tcW w:w="12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-68,7</w:t>
            </w:r>
          </w:p>
        </w:tc>
      </w:tr>
      <w:tr>
        <w:tblPrEx>
          <w:tblW w:w="9180" w:type="dxa"/>
          <w:tblInd w:w="55" w:type="dxa"/>
          <w:tblCellMar>
            <w:left w:w="70" w:type="dxa"/>
            <w:right w:w="70" w:type="dxa"/>
          </w:tblCellMar>
        </w:tblPrEx>
        <w:trPr>
          <w:trHeight w:val="152"/>
        </w:trPr>
        <w:tc>
          <w:tcPr>
            <w:tcW w:w="532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524382" w:rsidP="00B534F8">
            <w:pPr>
              <w:rPr>
                <w:rFonts w:ascii="Times New Roman" w:hAnsi="Times New Roman" w:cs="Times New Roman"/>
                <w:color w:val="000000"/>
                <w:sz w:val="20"/>
                <w:szCs w:val="20"/>
              </w:rPr>
            </w:pPr>
            <w:r w:rsidRPr="00524382">
              <w:rPr>
                <w:rFonts w:ascii="Times New Roman" w:hAnsi="Times New Roman" w:cs="Times New Roman"/>
                <w:color w:val="000000"/>
                <w:sz w:val="20"/>
                <w:szCs w:val="20"/>
              </w:rPr>
              <w:t>Účet splátok vládnych úverov zo zahraničia – civil</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22,4</w:t>
            </w:r>
          </w:p>
        </w:tc>
        <w:tc>
          <w:tcPr>
            <w:tcW w:w="12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69,9</w:t>
            </w:r>
          </w:p>
        </w:tc>
        <w:tc>
          <w:tcPr>
            <w:tcW w:w="12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47,5</w:t>
            </w:r>
          </w:p>
        </w:tc>
      </w:tr>
      <w:tr>
        <w:tblPrEx>
          <w:tblW w:w="9180" w:type="dxa"/>
          <w:tblInd w:w="55" w:type="dxa"/>
          <w:tblCellMar>
            <w:left w:w="70" w:type="dxa"/>
            <w:right w:w="70" w:type="dxa"/>
          </w:tblCellMar>
        </w:tblPrEx>
        <w:trPr>
          <w:trHeight w:val="233"/>
        </w:trPr>
        <w:tc>
          <w:tcPr>
            <w:tcW w:w="532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524382" w:rsidP="00B534F8">
            <w:pPr>
              <w:rPr>
                <w:rFonts w:ascii="Times New Roman" w:hAnsi="Times New Roman" w:cs="Times New Roman"/>
                <w:color w:val="000000"/>
                <w:sz w:val="20"/>
                <w:szCs w:val="20"/>
              </w:rPr>
            </w:pPr>
            <w:r w:rsidRPr="00524382">
              <w:rPr>
                <w:rFonts w:ascii="Times New Roman" w:hAnsi="Times New Roman" w:cs="Times New Roman"/>
                <w:color w:val="000000"/>
                <w:sz w:val="20"/>
                <w:szCs w:val="20"/>
              </w:rPr>
              <w:t>Účet vládnych pohľ. a záv. prevzatých od ČSOB ( CDZ )</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5,6</w:t>
            </w:r>
          </w:p>
        </w:tc>
        <w:tc>
          <w:tcPr>
            <w:tcW w:w="12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1,1</w:t>
            </w:r>
          </w:p>
        </w:tc>
        <w:tc>
          <w:tcPr>
            <w:tcW w:w="12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-4,5</w:t>
            </w:r>
          </w:p>
        </w:tc>
      </w:tr>
      <w:tr>
        <w:tblPrEx>
          <w:tblW w:w="9180" w:type="dxa"/>
          <w:tblInd w:w="55" w:type="dxa"/>
          <w:tblCellMar>
            <w:left w:w="70" w:type="dxa"/>
            <w:right w:w="70" w:type="dxa"/>
          </w:tblCellMar>
        </w:tblPrEx>
        <w:trPr>
          <w:trHeight w:val="273"/>
        </w:trPr>
        <w:tc>
          <w:tcPr>
            <w:tcW w:w="532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524382" w:rsidP="00B534F8">
            <w:pPr>
              <w:rPr>
                <w:rFonts w:ascii="Times New Roman" w:hAnsi="Times New Roman" w:cs="Times New Roman"/>
                <w:color w:val="000000"/>
                <w:sz w:val="20"/>
                <w:szCs w:val="20"/>
              </w:rPr>
            </w:pPr>
            <w:r w:rsidRPr="00524382">
              <w:rPr>
                <w:rFonts w:ascii="Times New Roman" w:hAnsi="Times New Roman" w:cs="Times New Roman"/>
                <w:color w:val="000000"/>
                <w:sz w:val="20"/>
                <w:szCs w:val="20"/>
              </w:rPr>
              <w:t>Účet ostatných operácií ARDAL Štátny dlh - SKK</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33 983,6</w:t>
            </w:r>
          </w:p>
        </w:tc>
        <w:tc>
          <w:tcPr>
            <w:tcW w:w="12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31 699,5</w:t>
            </w:r>
          </w:p>
        </w:tc>
        <w:tc>
          <w:tcPr>
            <w:tcW w:w="12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-2 284,1</w:t>
            </w:r>
          </w:p>
        </w:tc>
      </w:tr>
      <w:tr>
        <w:tblPrEx>
          <w:tblW w:w="9180" w:type="dxa"/>
          <w:tblInd w:w="55" w:type="dxa"/>
          <w:tblCellMar>
            <w:left w:w="70" w:type="dxa"/>
            <w:right w:w="70" w:type="dxa"/>
          </w:tblCellMar>
        </w:tblPrEx>
        <w:trPr>
          <w:trHeight w:val="227"/>
        </w:trPr>
        <w:tc>
          <w:tcPr>
            <w:tcW w:w="532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524382" w:rsidP="00B534F8">
            <w:pPr>
              <w:rPr>
                <w:rFonts w:ascii="Times New Roman" w:hAnsi="Times New Roman" w:cs="Times New Roman"/>
                <w:color w:val="000000"/>
                <w:sz w:val="20"/>
                <w:szCs w:val="20"/>
              </w:rPr>
            </w:pPr>
            <w:r w:rsidRPr="00524382">
              <w:rPr>
                <w:rFonts w:ascii="Times New Roman" w:hAnsi="Times New Roman" w:cs="Times New Roman"/>
                <w:color w:val="000000"/>
                <w:sz w:val="20"/>
                <w:szCs w:val="20"/>
              </w:rPr>
              <w:t>Devízový účet ARDAL  Štátny dlh – EUR</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14,9</w:t>
            </w:r>
          </w:p>
        </w:tc>
        <w:tc>
          <w:tcPr>
            <w:tcW w:w="12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50,9</w:t>
            </w:r>
          </w:p>
        </w:tc>
        <w:tc>
          <w:tcPr>
            <w:tcW w:w="12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36,0</w:t>
            </w:r>
          </w:p>
        </w:tc>
      </w:tr>
      <w:tr>
        <w:tblPrEx>
          <w:tblW w:w="9180" w:type="dxa"/>
          <w:tblInd w:w="55" w:type="dxa"/>
          <w:tblCellMar>
            <w:left w:w="70" w:type="dxa"/>
            <w:right w:w="70" w:type="dxa"/>
          </w:tblCellMar>
        </w:tblPrEx>
        <w:trPr>
          <w:trHeight w:val="112"/>
        </w:trPr>
        <w:tc>
          <w:tcPr>
            <w:tcW w:w="532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524382" w:rsidP="00B534F8">
            <w:pPr>
              <w:rPr>
                <w:rFonts w:ascii="Times New Roman" w:hAnsi="Times New Roman" w:cs="Times New Roman"/>
                <w:color w:val="000000"/>
                <w:sz w:val="20"/>
                <w:szCs w:val="20"/>
              </w:rPr>
            </w:pPr>
            <w:r w:rsidRPr="00524382">
              <w:rPr>
                <w:rFonts w:ascii="Times New Roman" w:hAnsi="Times New Roman" w:cs="Times New Roman"/>
                <w:color w:val="000000"/>
                <w:sz w:val="20"/>
                <w:szCs w:val="20"/>
              </w:rPr>
              <w:t>Devízový účet ARDAL Štátny dlh  – JPY</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3,3</w:t>
            </w:r>
          </w:p>
        </w:tc>
        <w:tc>
          <w:tcPr>
            <w:tcW w:w="12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0,0</w:t>
            </w:r>
          </w:p>
        </w:tc>
        <w:tc>
          <w:tcPr>
            <w:tcW w:w="12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-3,3</w:t>
            </w:r>
          </w:p>
        </w:tc>
      </w:tr>
      <w:tr>
        <w:tblPrEx>
          <w:tblW w:w="9180" w:type="dxa"/>
          <w:tblInd w:w="55" w:type="dxa"/>
          <w:tblCellMar>
            <w:left w:w="70" w:type="dxa"/>
            <w:right w:w="70" w:type="dxa"/>
          </w:tblCellMar>
        </w:tblPrEx>
        <w:trPr>
          <w:trHeight w:val="120"/>
        </w:trPr>
        <w:tc>
          <w:tcPr>
            <w:tcW w:w="532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524382" w:rsidP="00B534F8">
            <w:pPr>
              <w:rPr>
                <w:rFonts w:ascii="Times New Roman" w:hAnsi="Times New Roman" w:cs="Times New Roman"/>
                <w:bCs/>
                <w:color w:val="000000"/>
                <w:sz w:val="20"/>
                <w:szCs w:val="20"/>
              </w:rPr>
            </w:pPr>
            <w:r w:rsidRPr="00524382">
              <w:rPr>
                <w:rFonts w:ascii="Times New Roman" w:hAnsi="Times New Roman" w:cs="Times New Roman"/>
                <w:bCs/>
                <w:color w:val="000000"/>
                <w:sz w:val="20"/>
                <w:szCs w:val="20"/>
              </w:rPr>
              <w:t>Anonymné vklady</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bCs/>
                <w:color w:val="000000"/>
                <w:sz w:val="20"/>
                <w:szCs w:val="20"/>
              </w:rPr>
            </w:pPr>
            <w:r w:rsidRPr="00524382">
              <w:rPr>
                <w:rFonts w:ascii="Times New Roman" w:hAnsi="Times New Roman" w:cs="Times New Roman"/>
                <w:bCs/>
                <w:color w:val="000000"/>
                <w:sz w:val="20"/>
                <w:szCs w:val="20"/>
              </w:rPr>
              <w:t>0,0</w:t>
            </w:r>
          </w:p>
        </w:tc>
        <w:tc>
          <w:tcPr>
            <w:tcW w:w="12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1 242,2</w:t>
            </w:r>
          </w:p>
        </w:tc>
        <w:tc>
          <w:tcPr>
            <w:tcW w:w="12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1 242,2</w:t>
            </w:r>
          </w:p>
        </w:tc>
      </w:tr>
      <w:tr>
        <w:tblPrEx>
          <w:tblW w:w="9180" w:type="dxa"/>
          <w:tblInd w:w="55" w:type="dxa"/>
          <w:tblCellMar>
            <w:left w:w="70" w:type="dxa"/>
            <w:right w:w="70" w:type="dxa"/>
          </w:tblCellMar>
        </w:tblPrEx>
        <w:trPr>
          <w:trHeight w:val="126"/>
        </w:trPr>
        <w:tc>
          <w:tcPr>
            <w:tcW w:w="532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524382" w:rsidP="00B534F8">
            <w:pPr>
              <w:rPr>
                <w:rFonts w:ascii="Times New Roman" w:hAnsi="Times New Roman" w:cs="Times New Roman"/>
                <w:b/>
                <w:bCs/>
                <w:color w:val="000000"/>
                <w:sz w:val="20"/>
                <w:szCs w:val="20"/>
              </w:rPr>
            </w:pPr>
            <w:r w:rsidRPr="00524382">
              <w:rPr>
                <w:rFonts w:ascii="Times New Roman" w:hAnsi="Times New Roman" w:cs="Times New Roman"/>
                <w:b/>
                <w:bCs/>
                <w:color w:val="000000"/>
                <w:sz w:val="20"/>
                <w:szCs w:val="20"/>
              </w:rPr>
              <w:t>Účty vládnych úverov a emisií</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b/>
                <w:bCs/>
                <w:color w:val="000000"/>
                <w:sz w:val="20"/>
                <w:szCs w:val="20"/>
              </w:rPr>
            </w:pPr>
            <w:r w:rsidRPr="00524382">
              <w:rPr>
                <w:rFonts w:ascii="Times New Roman" w:hAnsi="Times New Roman" w:cs="Times New Roman"/>
                <w:b/>
                <w:bCs/>
                <w:color w:val="000000"/>
                <w:sz w:val="20"/>
                <w:szCs w:val="20"/>
              </w:rPr>
              <w:t>34 124,7</w:t>
            </w:r>
          </w:p>
        </w:tc>
        <w:tc>
          <w:tcPr>
            <w:tcW w:w="12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b/>
                <w:color w:val="000000"/>
                <w:sz w:val="20"/>
                <w:szCs w:val="20"/>
              </w:rPr>
            </w:pPr>
            <w:r w:rsidRPr="00524382">
              <w:rPr>
                <w:rFonts w:ascii="Times New Roman" w:hAnsi="Times New Roman" w:cs="Times New Roman"/>
                <w:b/>
                <w:color w:val="000000"/>
                <w:sz w:val="20"/>
                <w:szCs w:val="20"/>
              </w:rPr>
              <w:t>33 089,8</w:t>
            </w:r>
          </w:p>
        </w:tc>
        <w:tc>
          <w:tcPr>
            <w:tcW w:w="12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524382" w:rsidP="00B534F8">
            <w:pPr>
              <w:jc w:val="right"/>
              <w:rPr>
                <w:rFonts w:ascii="Times New Roman" w:hAnsi="Times New Roman" w:cs="Times New Roman"/>
                <w:b/>
                <w:color w:val="000000"/>
                <w:sz w:val="20"/>
                <w:szCs w:val="20"/>
              </w:rPr>
            </w:pPr>
            <w:r w:rsidRPr="00524382">
              <w:rPr>
                <w:rFonts w:ascii="Times New Roman" w:hAnsi="Times New Roman" w:cs="Times New Roman"/>
                <w:b/>
                <w:color w:val="000000"/>
                <w:sz w:val="20"/>
                <w:szCs w:val="20"/>
              </w:rPr>
              <w:t>-1 034,9</w:t>
            </w:r>
          </w:p>
        </w:tc>
      </w:tr>
      <w:tr>
        <w:tblPrEx>
          <w:tblW w:w="9180" w:type="dxa"/>
          <w:tblInd w:w="55" w:type="dxa"/>
          <w:tblCellMar>
            <w:left w:w="70" w:type="dxa"/>
            <w:right w:w="70" w:type="dxa"/>
          </w:tblCellMar>
        </w:tblPrEx>
        <w:trPr>
          <w:trHeight w:val="164"/>
        </w:trPr>
        <w:tc>
          <w:tcPr>
            <w:tcW w:w="532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524382" w:rsidP="00B534F8">
            <w:pPr>
              <w:rPr>
                <w:rFonts w:ascii="Times New Roman" w:hAnsi="Times New Roman" w:cs="Times New Roman"/>
                <w:color w:val="000000"/>
                <w:sz w:val="20"/>
                <w:szCs w:val="20"/>
              </w:rPr>
            </w:pPr>
            <w:r w:rsidRPr="00524382">
              <w:rPr>
                <w:rFonts w:ascii="Times New Roman" w:hAnsi="Times New Roman" w:cs="Times New Roman"/>
                <w:color w:val="000000"/>
                <w:sz w:val="20"/>
                <w:szCs w:val="20"/>
              </w:rPr>
              <w:t>Bilančný účet r.2005</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-33 886,3</w:t>
            </w:r>
          </w:p>
        </w:tc>
        <w:tc>
          <w:tcPr>
            <w:tcW w:w="12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bCs/>
                <w:color w:val="000000"/>
                <w:sz w:val="20"/>
                <w:szCs w:val="20"/>
              </w:rPr>
            </w:pPr>
            <w:r w:rsidRPr="00524382">
              <w:rPr>
                <w:rFonts w:ascii="Times New Roman" w:hAnsi="Times New Roman" w:cs="Times New Roman"/>
                <w:bCs/>
                <w:color w:val="000000"/>
                <w:sz w:val="20"/>
                <w:szCs w:val="20"/>
              </w:rPr>
              <w:t>0,0</w:t>
            </w:r>
          </w:p>
        </w:tc>
        <w:tc>
          <w:tcPr>
            <w:tcW w:w="12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524382" w:rsidP="00B534F8">
            <w:pPr>
              <w:jc w:val="right"/>
              <w:rPr>
                <w:rFonts w:ascii="Times New Roman" w:hAnsi="Times New Roman" w:cs="Times New Roman"/>
                <w:bCs/>
                <w:color w:val="000000"/>
                <w:sz w:val="20"/>
                <w:szCs w:val="20"/>
              </w:rPr>
            </w:pPr>
            <w:r w:rsidRPr="00524382">
              <w:rPr>
                <w:rFonts w:ascii="Times New Roman" w:hAnsi="Times New Roman" w:cs="Times New Roman"/>
                <w:bCs/>
                <w:color w:val="000000"/>
                <w:sz w:val="20"/>
                <w:szCs w:val="20"/>
              </w:rPr>
              <w:t>33 886,3</w:t>
            </w:r>
          </w:p>
        </w:tc>
      </w:tr>
      <w:tr>
        <w:tblPrEx>
          <w:tblW w:w="9180" w:type="dxa"/>
          <w:tblInd w:w="55" w:type="dxa"/>
          <w:tblCellMar>
            <w:left w:w="70" w:type="dxa"/>
            <w:right w:w="70" w:type="dxa"/>
          </w:tblCellMar>
        </w:tblPrEx>
        <w:trPr>
          <w:trHeight w:val="300"/>
        </w:trPr>
        <w:tc>
          <w:tcPr>
            <w:tcW w:w="532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524382" w:rsidP="00B534F8">
            <w:pPr>
              <w:rPr>
                <w:rFonts w:ascii="Times New Roman" w:hAnsi="Times New Roman" w:cs="Times New Roman"/>
                <w:color w:val="000000"/>
                <w:sz w:val="20"/>
                <w:szCs w:val="20"/>
              </w:rPr>
            </w:pPr>
            <w:r w:rsidRPr="00524382">
              <w:rPr>
                <w:rFonts w:ascii="Times New Roman" w:hAnsi="Times New Roman" w:cs="Times New Roman"/>
                <w:color w:val="000000"/>
                <w:sz w:val="20"/>
                <w:szCs w:val="20"/>
              </w:rPr>
              <w:t>Bilančný účet r.2006</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0,0</w:t>
            </w:r>
          </w:p>
        </w:tc>
        <w:tc>
          <w:tcPr>
            <w:tcW w:w="12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-31 677,9</w:t>
            </w:r>
          </w:p>
        </w:tc>
        <w:tc>
          <w:tcPr>
            <w:tcW w:w="12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524382" w:rsidP="00B534F8">
            <w:pPr>
              <w:jc w:val="right"/>
              <w:rPr>
                <w:rFonts w:ascii="Times New Roman" w:hAnsi="Times New Roman" w:cs="Times New Roman"/>
                <w:color w:val="000000"/>
                <w:sz w:val="20"/>
                <w:szCs w:val="20"/>
              </w:rPr>
            </w:pPr>
            <w:r w:rsidRPr="00524382">
              <w:rPr>
                <w:rFonts w:ascii="Times New Roman" w:hAnsi="Times New Roman" w:cs="Times New Roman"/>
                <w:color w:val="000000"/>
                <w:sz w:val="20"/>
                <w:szCs w:val="20"/>
              </w:rPr>
              <w:t>-31 677,9</w:t>
            </w:r>
          </w:p>
        </w:tc>
      </w:tr>
      <w:tr>
        <w:tblPrEx>
          <w:tblW w:w="9180" w:type="dxa"/>
          <w:tblInd w:w="55" w:type="dxa"/>
          <w:tblCellMar>
            <w:left w:w="70" w:type="dxa"/>
            <w:right w:w="70" w:type="dxa"/>
          </w:tblCellMar>
        </w:tblPrEx>
        <w:trPr>
          <w:trHeight w:val="300"/>
        </w:trPr>
        <w:tc>
          <w:tcPr>
            <w:tcW w:w="532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524382" w:rsidP="00B534F8">
            <w:pPr>
              <w:rPr>
                <w:rFonts w:ascii="Times New Roman" w:hAnsi="Times New Roman" w:cs="Times New Roman"/>
                <w:b/>
                <w:bCs/>
                <w:color w:val="000000"/>
                <w:sz w:val="20"/>
                <w:szCs w:val="20"/>
              </w:rPr>
            </w:pPr>
            <w:r w:rsidRPr="00524382">
              <w:rPr>
                <w:rFonts w:ascii="Times New Roman" w:hAnsi="Times New Roman" w:cs="Times New Roman"/>
                <w:b/>
                <w:bCs/>
                <w:color w:val="000000"/>
                <w:sz w:val="20"/>
                <w:szCs w:val="20"/>
              </w:rPr>
              <w:t>Bilančný účet</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b/>
                <w:bCs/>
                <w:color w:val="000000"/>
                <w:sz w:val="20"/>
                <w:szCs w:val="20"/>
              </w:rPr>
            </w:pPr>
            <w:r w:rsidRPr="00524382">
              <w:rPr>
                <w:rFonts w:ascii="Times New Roman" w:hAnsi="Times New Roman" w:cs="Times New Roman"/>
                <w:b/>
                <w:bCs/>
                <w:color w:val="000000"/>
                <w:sz w:val="20"/>
                <w:szCs w:val="20"/>
              </w:rPr>
              <w:t>-33 886,3</w:t>
            </w:r>
          </w:p>
        </w:tc>
        <w:tc>
          <w:tcPr>
            <w:tcW w:w="12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b/>
                <w:bCs/>
                <w:color w:val="000000"/>
                <w:sz w:val="20"/>
                <w:szCs w:val="20"/>
              </w:rPr>
            </w:pPr>
            <w:r w:rsidRPr="00524382">
              <w:rPr>
                <w:rFonts w:ascii="Times New Roman" w:hAnsi="Times New Roman" w:cs="Times New Roman"/>
                <w:b/>
                <w:bCs/>
                <w:color w:val="000000"/>
                <w:sz w:val="20"/>
                <w:szCs w:val="20"/>
              </w:rPr>
              <w:t>-31 677,9</w:t>
            </w:r>
          </w:p>
        </w:tc>
        <w:tc>
          <w:tcPr>
            <w:tcW w:w="12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524382" w:rsidP="00B534F8">
            <w:pPr>
              <w:jc w:val="right"/>
              <w:rPr>
                <w:rFonts w:ascii="Times New Roman" w:hAnsi="Times New Roman" w:cs="Times New Roman"/>
                <w:b/>
                <w:bCs/>
                <w:color w:val="000000"/>
                <w:sz w:val="20"/>
                <w:szCs w:val="20"/>
              </w:rPr>
            </w:pPr>
            <w:r w:rsidRPr="00524382">
              <w:rPr>
                <w:rFonts w:ascii="Times New Roman" w:hAnsi="Times New Roman" w:cs="Times New Roman"/>
                <w:b/>
                <w:bCs/>
                <w:color w:val="000000"/>
                <w:sz w:val="20"/>
                <w:szCs w:val="20"/>
              </w:rPr>
              <w:t>2 208,4</w:t>
            </w:r>
          </w:p>
        </w:tc>
      </w:tr>
      <w:tr>
        <w:tblPrEx>
          <w:tblW w:w="9180" w:type="dxa"/>
          <w:tblInd w:w="55" w:type="dxa"/>
          <w:tblCellMar>
            <w:left w:w="70" w:type="dxa"/>
            <w:right w:w="70" w:type="dxa"/>
          </w:tblCellMar>
        </w:tblPrEx>
        <w:trPr>
          <w:trHeight w:val="300"/>
        </w:trPr>
        <w:tc>
          <w:tcPr>
            <w:tcW w:w="5320" w:type="dxa"/>
            <w:tcBorders>
              <w:top w:val="single" w:sz="4" w:space="0" w:color="auto"/>
              <w:left w:val="single" w:sz="8" w:space="0" w:color="auto"/>
              <w:bottom w:val="double" w:sz="6" w:space="0" w:color="auto"/>
              <w:right w:val="single" w:sz="4" w:space="0" w:color="auto"/>
              <w:tl2br w:val="nil"/>
              <w:tr2bl w:val="nil"/>
            </w:tcBorders>
            <w:textDirection w:val="lrTb"/>
            <w:vAlign w:val="top"/>
          </w:tcPr>
          <w:p w:rsidR="00B534F8" w:rsidRPr="00524382" w:rsidP="00B534F8">
            <w:pPr>
              <w:rPr>
                <w:rFonts w:ascii="Times New Roman" w:hAnsi="Times New Roman" w:cs="Times New Roman"/>
                <w:b/>
                <w:bCs/>
                <w:color w:val="000000"/>
                <w:sz w:val="20"/>
                <w:szCs w:val="20"/>
              </w:rPr>
            </w:pPr>
            <w:r w:rsidRPr="00524382">
              <w:rPr>
                <w:rFonts w:ascii="Times New Roman" w:hAnsi="Times New Roman" w:cs="Times New Roman"/>
                <w:b/>
                <w:bCs/>
                <w:color w:val="000000"/>
                <w:sz w:val="20"/>
                <w:szCs w:val="20"/>
              </w:rPr>
              <w:t>Bankové účty štátnych finančných aktív sp</w:t>
            </w:r>
            <w:r w:rsidR="00524382">
              <w:rPr>
                <w:rFonts w:ascii="Times New Roman" w:hAnsi="Times New Roman" w:cs="Times New Roman"/>
                <w:b/>
                <w:bCs/>
                <w:color w:val="000000"/>
                <w:sz w:val="20"/>
                <w:szCs w:val="20"/>
              </w:rPr>
              <w:t>olu</w:t>
            </w:r>
          </w:p>
        </w:tc>
        <w:tc>
          <w:tcPr>
            <w:tcW w:w="1360" w:type="dxa"/>
            <w:tcBorders>
              <w:top w:val="single" w:sz="4" w:space="0" w:color="auto"/>
              <w:left w:val="single" w:sz="4" w:space="0" w:color="auto"/>
              <w:bottom w:val="double" w:sz="6"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b/>
                <w:bCs/>
                <w:color w:val="000000"/>
                <w:sz w:val="20"/>
                <w:szCs w:val="20"/>
              </w:rPr>
            </w:pPr>
            <w:r w:rsidRPr="00524382">
              <w:rPr>
                <w:rFonts w:ascii="Times New Roman" w:hAnsi="Times New Roman" w:cs="Times New Roman"/>
                <w:b/>
                <w:bCs/>
                <w:color w:val="000000"/>
                <w:sz w:val="20"/>
                <w:szCs w:val="20"/>
              </w:rPr>
              <w:t>75 684,9</w:t>
            </w:r>
          </w:p>
        </w:tc>
        <w:tc>
          <w:tcPr>
            <w:tcW w:w="1255" w:type="dxa"/>
            <w:tcBorders>
              <w:top w:val="single" w:sz="4" w:space="0" w:color="auto"/>
              <w:left w:val="single" w:sz="4" w:space="0" w:color="auto"/>
              <w:bottom w:val="double" w:sz="6" w:space="0" w:color="auto"/>
              <w:right w:val="single" w:sz="4" w:space="0" w:color="auto"/>
              <w:tl2br w:val="nil"/>
              <w:tr2bl w:val="nil"/>
            </w:tcBorders>
            <w:textDirection w:val="lrTb"/>
            <w:vAlign w:val="top"/>
          </w:tcPr>
          <w:p w:rsidR="00B534F8" w:rsidRPr="00524382" w:rsidP="00B534F8">
            <w:pPr>
              <w:jc w:val="right"/>
              <w:rPr>
                <w:rFonts w:ascii="Times New Roman" w:hAnsi="Times New Roman" w:cs="Times New Roman"/>
                <w:b/>
                <w:sz w:val="20"/>
                <w:szCs w:val="20"/>
              </w:rPr>
            </w:pPr>
            <w:r w:rsidRPr="00524382">
              <w:rPr>
                <w:rFonts w:ascii="Times New Roman" w:hAnsi="Times New Roman" w:cs="Times New Roman"/>
                <w:b/>
                <w:sz w:val="20"/>
                <w:szCs w:val="20"/>
              </w:rPr>
              <w:t>61 984,</w:t>
            </w:r>
            <w:r w:rsidR="00AB23FE">
              <w:rPr>
                <w:rFonts w:ascii="Times New Roman" w:hAnsi="Times New Roman" w:cs="Times New Roman"/>
                <w:b/>
                <w:sz w:val="20"/>
                <w:szCs w:val="20"/>
              </w:rPr>
              <w:t>4</w:t>
            </w:r>
          </w:p>
        </w:tc>
        <w:tc>
          <w:tcPr>
            <w:tcW w:w="1245" w:type="dxa"/>
            <w:tcBorders>
              <w:top w:val="single" w:sz="4" w:space="0" w:color="auto"/>
              <w:left w:val="single" w:sz="4" w:space="0" w:color="auto"/>
              <w:bottom w:val="double" w:sz="6" w:space="0" w:color="auto"/>
              <w:right w:val="single" w:sz="8" w:space="0" w:color="auto"/>
              <w:tl2br w:val="nil"/>
              <w:tr2bl w:val="nil"/>
            </w:tcBorders>
            <w:textDirection w:val="lrTb"/>
            <w:vAlign w:val="top"/>
          </w:tcPr>
          <w:p w:rsidR="00B534F8" w:rsidRPr="00524382" w:rsidP="00B534F8">
            <w:pPr>
              <w:jc w:val="right"/>
              <w:rPr>
                <w:rFonts w:ascii="Times New Roman" w:hAnsi="Times New Roman" w:cs="Times New Roman"/>
                <w:b/>
                <w:sz w:val="20"/>
                <w:szCs w:val="20"/>
              </w:rPr>
            </w:pPr>
            <w:r w:rsidRPr="00524382">
              <w:rPr>
                <w:rFonts w:ascii="Times New Roman" w:hAnsi="Times New Roman" w:cs="Times New Roman"/>
                <w:b/>
                <w:sz w:val="20"/>
                <w:szCs w:val="20"/>
              </w:rPr>
              <w:t>-13 700,</w:t>
            </w:r>
            <w:r w:rsidR="00AB23FE">
              <w:rPr>
                <w:rFonts w:ascii="Times New Roman" w:hAnsi="Times New Roman" w:cs="Times New Roman"/>
                <w:b/>
                <w:sz w:val="20"/>
                <w:szCs w:val="20"/>
              </w:rPr>
              <w:t>5</w:t>
            </w:r>
          </w:p>
        </w:tc>
      </w:tr>
    </w:tbl>
    <w:p w:rsidR="00B534F8" w:rsidRPr="00524382" w:rsidP="00B534F8">
      <w:pPr>
        <w:spacing w:before="120" w:line="360" w:lineRule="auto"/>
        <w:rPr>
          <w:rFonts w:ascii="Times New Roman" w:hAnsi="Times New Roman" w:cs="Times New Roman"/>
          <w:sz w:val="20"/>
          <w:szCs w:val="20"/>
        </w:rPr>
      </w:pPr>
      <w:r w:rsidRPr="00524382">
        <w:rPr>
          <w:rFonts w:ascii="Times New Roman" w:hAnsi="Times New Roman" w:cs="Times New Roman"/>
          <w:sz w:val="20"/>
          <w:szCs w:val="20"/>
        </w:rPr>
        <w:t>Zdroj: Ministerstvo financií SR</w:t>
      </w:r>
    </w:p>
    <w:p w:rsidR="00B534F8" w:rsidP="00B534F8">
      <w:pPr>
        <w:spacing w:before="120" w:line="360" w:lineRule="auto"/>
        <w:ind w:firstLine="708"/>
        <w:jc w:val="both"/>
        <w:rPr>
          <w:rFonts w:ascii="Times New Roman" w:hAnsi="Times New Roman" w:cs="Times New Roman"/>
        </w:rPr>
      </w:pPr>
      <w:r w:rsidRPr="00105636">
        <w:rPr>
          <w:rFonts w:ascii="Times New Roman" w:hAnsi="Times New Roman" w:cs="Times New Roman"/>
        </w:rPr>
        <w:t>Stav prostriedkov na účtoch štátnych finančných aktív vedených v</w:t>
      </w:r>
      <w:r>
        <w:rPr>
          <w:rFonts w:ascii="Times New Roman" w:hAnsi="Times New Roman" w:cs="Times New Roman"/>
        </w:rPr>
        <w:t> </w:t>
      </w:r>
      <w:r w:rsidRPr="00105636">
        <w:rPr>
          <w:rFonts w:ascii="Times New Roman" w:hAnsi="Times New Roman" w:cs="Times New Roman"/>
        </w:rPr>
        <w:t>Š</w:t>
      </w:r>
      <w:r>
        <w:rPr>
          <w:rFonts w:ascii="Times New Roman" w:hAnsi="Times New Roman" w:cs="Times New Roman"/>
        </w:rPr>
        <w:t xml:space="preserve">tátnej pokladnici  </w:t>
      </w:r>
      <w:r w:rsidRPr="00105636">
        <w:rPr>
          <w:rFonts w:ascii="Times New Roman" w:hAnsi="Times New Roman" w:cs="Times New Roman"/>
        </w:rPr>
        <w:t>k 31.12.200</w:t>
      </w:r>
      <w:r>
        <w:rPr>
          <w:rFonts w:ascii="Times New Roman" w:hAnsi="Times New Roman" w:cs="Times New Roman"/>
        </w:rPr>
        <w:t>6</w:t>
      </w:r>
      <w:r w:rsidRPr="00105636">
        <w:rPr>
          <w:rFonts w:ascii="Times New Roman" w:hAnsi="Times New Roman" w:cs="Times New Roman"/>
        </w:rPr>
        <w:t xml:space="preserve"> vykazoval </w:t>
      </w:r>
      <w:r>
        <w:rPr>
          <w:rFonts w:ascii="Times New Roman" w:hAnsi="Times New Roman" w:cs="Times New Roman"/>
        </w:rPr>
        <w:t>61 984,</w:t>
      </w:r>
      <w:r w:rsidR="00AB23FE">
        <w:rPr>
          <w:rFonts w:ascii="Times New Roman" w:hAnsi="Times New Roman" w:cs="Times New Roman"/>
        </w:rPr>
        <w:t>4</w:t>
      </w:r>
      <w:r w:rsidRPr="00105636">
        <w:rPr>
          <w:rFonts w:ascii="Times New Roman" w:hAnsi="Times New Roman" w:cs="Times New Roman"/>
        </w:rPr>
        <w:t xml:space="preserve"> mil. Sk, čo predstavuje v porovnaní s</w:t>
      </w:r>
      <w:r>
        <w:rPr>
          <w:rFonts w:ascii="Times New Roman" w:hAnsi="Times New Roman" w:cs="Times New Roman"/>
        </w:rPr>
        <w:t>o za</w:t>
      </w:r>
      <w:r w:rsidRPr="00105636">
        <w:rPr>
          <w:rFonts w:ascii="Times New Roman" w:hAnsi="Times New Roman" w:cs="Times New Roman"/>
        </w:rPr>
        <w:t xml:space="preserve">čiatočným stavom  vo </w:t>
      </w:r>
      <w:r>
        <w:rPr>
          <w:rFonts w:ascii="Times New Roman" w:hAnsi="Times New Roman" w:cs="Times New Roman"/>
        </w:rPr>
        <w:t>v</w:t>
      </w:r>
      <w:r w:rsidRPr="00105636">
        <w:rPr>
          <w:rFonts w:ascii="Times New Roman" w:hAnsi="Times New Roman" w:cs="Times New Roman"/>
        </w:rPr>
        <w:t xml:space="preserve">ýške </w:t>
      </w:r>
      <w:r>
        <w:rPr>
          <w:rFonts w:ascii="Times New Roman" w:hAnsi="Times New Roman" w:cs="Times New Roman"/>
        </w:rPr>
        <w:t>75 684,9</w:t>
      </w:r>
      <w:r w:rsidRPr="00105636">
        <w:rPr>
          <w:rFonts w:ascii="Times New Roman" w:hAnsi="Times New Roman" w:cs="Times New Roman"/>
        </w:rPr>
        <w:t xml:space="preserve"> mil. Sk zníženie o 1</w:t>
      </w:r>
      <w:r>
        <w:rPr>
          <w:rFonts w:ascii="Times New Roman" w:hAnsi="Times New Roman" w:cs="Times New Roman"/>
        </w:rPr>
        <w:t>3 700,</w:t>
      </w:r>
      <w:r w:rsidR="00AB23FE">
        <w:rPr>
          <w:rFonts w:ascii="Times New Roman" w:hAnsi="Times New Roman" w:cs="Times New Roman"/>
        </w:rPr>
        <w:t>5</w:t>
      </w:r>
      <w:r w:rsidRPr="00105636">
        <w:rPr>
          <w:rFonts w:ascii="Times New Roman" w:hAnsi="Times New Roman" w:cs="Times New Roman"/>
        </w:rPr>
        <w:t xml:space="preserve"> mil. Sk. </w:t>
      </w:r>
      <w:r>
        <w:rPr>
          <w:rFonts w:ascii="Times New Roman" w:hAnsi="Times New Roman" w:cs="Times New Roman"/>
        </w:rPr>
        <w:t>Na jednotlivých účtoch sa zaznamenal nasledujúci vývoj:</w:t>
      </w:r>
    </w:p>
    <w:p w:rsidR="00B534F8" w:rsidRPr="00105636" w:rsidP="00B534F8">
      <w:pPr>
        <w:spacing w:before="120" w:line="360" w:lineRule="auto"/>
        <w:jc w:val="both"/>
        <w:rPr>
          <w:rFonts w:ascii="Times New Roman" w:hAnsi="Times New Roman" w:cs="Times New Roman"/>
        </w:rPr>
      </w:pPr>
      <w:r>
        <w:rPr>
          <w:rFonts w:ascii="Times New Roman" w:hAnsi="Times New Roman" w:cs="Times New Roman"/>
        </w:rPr>
        <w:t xml:space="preserve">     </w:t>
      </w:r>
      <w:r>
        <w:rPr>
          <w:rFonts w:ascii="Arial Narrow" w:hAnsi="Arial Narrow" w:cs="Times New Roman"/>
        </w:rPr>
        <w:t>•</w:t>
      </w:r>
      <w:r>
        <w:rPr>
          <w:rFonts w:ascii="Times New Roman" w:hAnsi="Times New Roman" w:cs="Times New Roman"/>
        </w:rPr>
        <w:t xml:space="preserve"> ú</w:t>
      </w:r>
      <w:r w:rsidRPr="0022009A">
        <w:rPr>
          <w:rFonts w:ascii="Times New Roman" w:hAnsi="Times New Roman" w:cs="Times New Roman"/>
          <w:bCs/>
        </w:rPr>
        <w:t>čelové prostriedky na konverziu zbrojnej výroby</w:t>
      </w:r>
      <w:r>
        <w:rPr>
          <w:rFonts w:ascii="Times New Roman" w:hAnsi="Times New Roman" w:cs="Times New Roman"/>
          <w:bCs/>
        </w:rPr>
        <w:t>:</w:t>
      </w:r>
      <w:r w:rsidRPr="0022009A">
        <w:rPr>
          <w:rFonts w:ascii="Times New Roman" w:hAnsi="Times New Roman" w:cs="Times New Roman"/>
          <w:bCs/>
        </w:rPr>
        <w:t xml:space="preserve"> </w:t>
      </w:r>
      <w:r>
        <w:rPr>
          <w:rFonts w:ascii="Times New Roman" w:hAnsi="Times New Roman" w:cs="Times New Roman"/>
          <w:bCs/>
        </w:rPr>
        <w:t>p</w:t>
      </w:r>
      <w:r w:rsidRPr="0022009A">
        <w:rPr>
          <w:rFonts w:ascii="Times New Roman" w:hAnsi="Times New Roman" w:cs="Times New Roman"/>
          <w:bCs/>
        </w:rPr>
        <w:t>ríjem</w:t>
      </w:r>
      <w:r w:rsidRPr="0022009A">
        <w:rPr>
          <w:rFonts w:ascii="Times New Roman" w:hAnsi="Times New Roman" w:cs="Times New Roman"/>
        </w:rPr>
        <w:t xml:space="preserve"> vo výške </w:t>
      </w:r>
      <w:r>
        <w:rPr>
          <w:rFonts w:ascii="Times New Roman" w:hAnsi="Times New Roman" w:cs="Times New Roman"/>
        </w:rPr>
        <w:t>46,8</w:t>
      </w:r>
      <w:r w:rsidRPr="0022009A">
        <w:rPr>
          <w:rFonts w:ascii="Times New Roman" w:hAnsi="Times New Roman" w:cs="Times New Roman"/>
        </w:rPr>
        <w:t xml:space="preserve"> mil. Sk</w:t>
      </w:r>
      <w:r w:rsidRPr="00105636">
        <w:rPr>
          <w:rFonts w:ascii="Times New Roman" w:hAnsi="Times New Roman" w:cs="Times New Roman"/>
        </w:rPr>
        <w:t xml:space="preserve"> predstavuje prevody finančných prostriedkov príslušných daňových úradov SR v zmysle Metodického pokynu č. 67/2/2005</w:t>
      </w:r>
      <w:r>
        <w:rPr>
          <w:rFonts w:ascii="Times New Roman" w:hAnsi="Times New Roman" w:cs="Times New Roman"/>
        </w:rPr>
        <w:t xml:space="preserve">, ktorý </w:t>
      </w:r>
      <w:r w:rsidRPr="00105636">
        <w:rPr>
          <w:rFonts w:ascii="Times New Roman" w:hAnsi="Times New Roman" w:cs="Times New Roman"/>
        </w:rPr>
        <w:t>vydalo D</w:t>
      </w:r>
      <w:r>
        <w:rPr>
          <w:rFonts w:ascii="Times New Roman" w:hAnsi="Times New Roman" w:cs="Times New Roman"/>
        </w:rPr>
        <w:t>aňové riaditeľstvo</w:t>
      </w:r>
      <w:r w:rsidRPr="00105636">
        <w:rPr>
          <w:rFonts w:ascii="Times New Roman" w:hAnsi="Times New Roman" w:cs="Times New Roman"/>
        </w:rPr>
        <w:t xml:space="preserve"> SR. Ide o prevody zostatkov</w:t>
      </w:r>
      <w:r>
        <w:rPr>
          <w:rFonts w:ascii="Times New Roman" w:hAnsi="Times New Roman" w:cs="Times New Roman"/>
        </w:rPr>
        <w:t xml:space="preserve"> peňažných prostriedkov súvisiacich </w:t>
      </w:r>
      <w:r w:rsidRPr="00105636">
        <w:rPr>
          <w:rFonts w:ascii="Times New Roman" w:hAnsi="Times New Roman" w:cs="Times New Roman"/>
        </w:rPr>
        <w:t xml:space="preserve"> s inkasovanými exekučnými platbami  a  odplatou za postúpené pohľadávky</w:t>
      </w:r>
      <w:r>
        <w:rPr>
          <w:rFonts w:ascii="Times New Roman" w:hAnsi="Times New Roman" w:cs="Times New Roman"/>
        </w:rPr>
        <w:t>,</w:t>
      </w:r>
    </w:p>
    <w:p w:rsidR="00B534F8" w:rsidRPr="00105636" w:rsidP="00F0691C">
      <w:pPr>
        <w:spacing w:before="120" w:line="360" w:lineRule="auto"/>
        <w:jc w:val="both"/>
        <w:rPr>
          <w:rFonts w:ascii="Times New Roman" w:hAnsi="Times New Roman" w:cs="Times New Roman"/>
        </w:rPr>
      </w:pPr>
      <w:r>
        <w:rPr>
          <w:rFonts w:ascii="Times New Roman" w:hAnsi="Times New Roman" w:cs="Times New Roman"/>
        </w:rPr>
        <w:t xml:space="preserve">     </w:t>
      </w:r>
      <w:r>
        <w:rPr>
          <w:rFonts w:ascii="Arial Narrow" w:hAnsi="Arial Narrow" w:cs="Times New Roman"/>
          <w:bCs/>
        </w:rPr>
        <w:t>•</w:t>
      </w:r>
      <w:r w:rsidR="00F0691C">
        <w:rPr>
          <w:rFonts w:ascii="Arial Narrow" w:hAnsi="Arial Narrow" w:cs="Times New Roman"/>
          <w:bCs/>
        </w:rPr>
        <w:t xml:space="preserve">  </w:t>
      </w:r>
      <w:r>
        <w:rPr>
          <w:rFonts w:ascii="Times New Roman" w:hAnsi="Times New Roman" w:cs="Times New Roman"/>
          <w:bCs/>
        </w:rPr>
        <w:t>f</w:t>
      </w:r>
      <w:r w:rsidRPr="0022009A">
        <w:rPr>
          <w:rFonts w:ascii="Times New Roman" w:hAnsi="Times New Roman" w:cs="Times New Roman"/>
          <w:bCs/>
        </w:rPr>
        <w:t>inančné náhrady z mimosúdnych rehabilitácií</w:t>
      </w:r>
      <w:r>
        <w:rPr>
          <w:rFonts w:ascii="Times New Roman" w:hAnsi="Times New Roman" w:cs="Times New Roman"/>
          <w:bCs/>
        </w:rPr>
        <w:t>: ú</w:t>
      </w:r>
      <w:r>
        <w:rPr>
          <w:rFonts w:ascii="Times New Roman" w:hAnsi="Times New Roman" w:cs="Times New Roman"/>
        </w:rPr>
        <w:t xml:space="preserve">bytok </w:t>
      </w:r>
      <w:r w:rsidRPr="00105636">
        <w:rPr>
          <w:rFonts w:ascii="Times New Roman" w:hAnsi="Times New Roman" w:cs="Times New Roman"/>
        </w:rPr>
        <w:t>vo výške 0,</w:t>
      </w:r>
      <w:r>
        <w:rPr>
          <w:rFonts w:ascii="Times New Roman" w:hAnsi="Times New Roman" w:cs="Times New Roman"/>
        </w:rPr>
        <w:t>2</w:t>
      </w:r>
      <w:r w:rsidRPr="00105636">
        <w:rPr>
          <w:rFonts w:ascii="Times New Roman" w:hAnsi="Times New Roman" w:cs="Times New Roman"/>
        </w:rPr>
        <w:t xml:space="preserve"> mil. Sk predstavujú úhrady vynaložených prostriedkov na vypracovanie znaleckých posudkov a súdne trovy, uhradené oprávnenými fyzickými osobami</w:t>
      </w:r>
      <w:r>
        <w:rPr>
          <w:rFonts w:ascii="Times New Roman" w:hAnsi="Times New Roman" w:cs="Times New Roman"/>
        </w:rPr>
        <w:t>,</w:t>
      </w:r>
    </w:p>
    <w:p w:rsidR="00B534F8" w:rsidRPr="00105636" w:rsidP="00B534F8">
      <w:pPr>
        <w:spacing w:before="120" w:line="360" w:lineRule="auto"/>
        <w:jc w:val="both"/>
        <w:rPr>
          <w:rFonts w:ascii="Times New Roman" w:hAnsi="Times New Roman" w:cs="Times New Roman"/>
        </w:rPr>
      </w:pPr>
      <w:r>
        <w:rPr>
          <w:rFonts w:ascii="Times New Roman" w:hAnsi="Times New Roman" w:cs="Times New Roman"/>
          <w:bCs/>
        </w:rPr>
        <w:t xml:space="preserve">     </w:t>
      </w:r>
      <w:r>
        <w:rPr>
          <w:rFonts w:ascii="Arial Narrow" w:hAnsi="Arial Narrow" w:cs="Times New Roman"/>
          <w:bCs/>
        </w:rPr>
        <w:t>•</w:t>
      </w:r>
      <w:r>
        <w:rPr>
          <w:rFonts w:ascii="Times New Roman" w:hAnsi="Times New Roman" w:cs="Times New Roman"/>
          <w:bCs/>
        </w:rPr>
        <w:t xml:space="preserve"> f</w:t>
      </w:r>
      <w:r w:rsidRPr="0022009A">
        <w:rPr>
          <w:rFonts w:ascii="Times New Roman" w:hAnsi="Times New Roman" w:cs="Times New Roman"/>
          <w:bCs/>
        </w:rPr>
        <w:t>inančné náhrady - zákon o pozemkových úpravách</w:t>
      </w:r>
      <w:r>
        <w:rPr>
          <w:rFonts w:ascii="Times New Roman" w:hAnsi="Times New Roman" w:cs="Times New Roman"/>
          <w:bCs/>
        </w:rPr>
        <w:t>: p</w:t>
      </w:r>
      <w:r w:rsidRPr="0022009A">
        <w:rPr>
          <w:rFonts w:ascii="Times New Roman" w:hAnsi="Times New Roman" w:cs="Times New Roman"/>
          <w:bCs/>
        </w:rPr>
        <w:t>ríjem</w:t>
      </w:r>
      <w:r w:rsidRPr="0022009A">
        <w:rPr>
          <w:rFonts w:ascii="Times New Roman" w:hAnsi="Times New Roman" w:cs="Times New Roman"/>
        </w:rPr>
        <w:t xml:space="preserve"> vo výške </w:t>
      </w:r>
      <w:r>
        <w:rPr>
          <w:rFonts w:ascii="Times New Roman" w:hAnsi="Times New Roman" w:cs="Times New Roman"/>
        </w:rPr>
        <w:t>2</w:t>
      </w:r>
      <w:r w:rsidRPr="0022009A">
        <w:rPr>
          <w:rFonts w:ascii="Times New Roman" w:hAnsi="Times New Roman" w:cs="Times New Roman"/>
        </w:rPr>
        <w:t>,0 mil. Sk predstavujú</w:t>
      </w:r>
      <w:r w:rsidRPr="00105636">
        <w:rPr>
          <w:rFonts w:ascii="Times New Roman" w:hAnsi="Times New Roman" w:cs="Times New Roman"/>
        </w:rPr>
        <w:t xml:space="preserve"> platby od fyzických osôb. Ide o vrátenie príslušných finančných čiastok náhrad</w:t>
      </w:r>
      <w:r>
        <w:rPr>
          <w:rFonts w:ascii="Times New Roman" w:hAnsi="Times New Roman" w:cs="Times New Roman"/>
        </w:rPr>
        <w:t>, ktoré boli</w:t>
      </w:r>
      <w:r w:rsidRPr="00105636">
        <w:rPr>
          <w:rFonts w:ascii="Times New Roman" w:hAnsi="Times New Roman" w:cs="Times New Roman"/>
        </w:rPr>
        <w:t xml:space="preserve">  fyzickým osobám vyplaten</w:t>
      </w:r>
      <w:r>
        <w:rPr>
          <w:rFonts w:ascii="Times New Roman" w:hAnsi="Times New Roman" w:cs="Times New Roman"/>
        </w:rPr>
        <w:t>é</w:t>
      </w:r>
      <w:r w:rsidRPr="00105636">
        <w:rPr>
          <w:rFonts w:ascii="Times New Roman" w:hAnsi="Times New Roman" w:cs="Times New Roman"/>
        </w:rPr>
        <w:t xml:space="preserve"> pri vyvlastňovaní nehnuteľností</w:t>
      </w:r>
      <w:r>
        <w:rPr>
          <w:rFonts w:ascii="Times New Roman" w:hAnsi="Times New Roman" w:cs="Times New Roman"/>
        </w:rPr>
        <w:t xml:space="preserve"> na základe</w:t>
      </w:r>
      <w:r w:rsidRPr="00105636">
        <w:rPr>
          <w:rFonts w:ascii="Times New Roman" w:hAnsi="Times New Roman" w:cs="Times New Roman"/>
        </w:rPr>
        <w:t xml:space="preserve"> rozhodnutí príslušných obvodných pozemkových úradov </w:t>
      </w:r>
      <w:r>
        <w:rPr>
          <w:rFonts w:ascii="Times New Roman" w:hAnsi="Times New Roman" w:cs="Times New Roman"/>
        </w:rPr>
        <w:t>v zmysle z</w:t>
      </w:r>
      <w:r w:rsidRPr="00105636">
        <w:rPr>
          <w:rFonts w:ascii="Times New Roman" w:hAnsi="Times New Roman" w:cs="Times New Roman"/>
        </w:rPr>
        <w:t>ákona č. 503/2003 Z. z. o navrátení vlastníctva k pozemkom v znení neskorších predpisov</w:t>
      </w:r>
      <w:r>
        <w:rPr>
          <w:rFonts w:ascii="Times New Roman" w:hAnsi="Times New Roman" w:cs="Times New Roman"/>
        </w:rPr>
        <w:t>,</w:t>
      </w:r>
    </w:p>
    <w:p w:rsidR="00B534F8" w:rsidP="00B534F8">
      <w:pPr>
        <w:spacing w:before="120" w:line="360" w:lineRule="auto"/>
        <w:jc w:val="both"/>
        <w:rPr>
          <w:rFonts w:ascii="Times New Roman" w:hAnsi="Times New Roman" w:cs="Times New Roman"/>
        </w:rPr>
      </w:pPr>
      <w:r w:rsidR="00EA72AD">
        <w:rPr>
          <w:rFonts w:ascii="Times New Roman" w:hAnsi="Times New Roman" w:cs="Times New Roman"/>
          <w:bCs/>
        </w:rPr>
        <w:t xml:space="preserve">     </w:t>
      </w:r>
      <w:r>
        <w:rPr>
          <w:rFonts w:ascii="Arial Narrow" w:hAnsi="Arial Narrow" w:cs="Times New Roman"/>
          <w:bCs/>
        </w:rPr>
        <w:t>•</w:t>
      </w:r>
      <w:r>
        <w:rPr>
          <w:rFonts w:ascii="Times New Roman" w:hAnsi="Times New Roman" w:cs="Times New Roman"/>
          <w:bCs/>
        </w:rPr>
        <w:t xml:space="preserve"> ú</w:t>
      </w:r>
      <w:r w:rsidRPr="0022009A">
        <w:rPr>
          <w:rFonts w:ascii="Times New Roman" w:hAnsi="Times New Roman" w:cs="Times New Roman"/>
          <w:bCs/>
        </w:rPr>
        <w:t>čelové prostriedky z FNM na splácanie štátneho dlhu</w:t>
      </w:r>
      <w:r>
        <w:rPr>
          <w:rFonts w:ascii="Times New Roman" w:hAnsi="Times New Roman" w:cs="Times New Roman"/>
          <w:bCs/>
        </w:rPr>
        <w:t xml:space="preserve">: </w:t>
      </w:r>
      <w:r w:rsidRPr="00105636">
        <w:rPr>
          <w:rFonts w:ascii="Times New Roman" w:hAnsi="Times New Roman" w:cs="Times New Roman"/>
        </w:rPr>
        <w:t>predstavujú prostriedky</w:t>
      </w:r>
      <w:r>
        <w:rPr>
          <w:rFonts w:ascii="Times New Roman" w:hAnsi="Times New Roman" w:cs="Times New Roman"/>
        </w:rPr>
        <w:t xml:space="preserve"> z dividend, ktoré</w:t>
      </w:r>
      <w:r w:rsidRPr="00105636">
        <w:rPr>
          <w:rFonts w:ascii="Times New Roman" w:hAnsi="Times New Roman" w:cs="Times New Roman"/>
        </w:rPr>
        <w:t xml:space="preserve"> FNM SR</w:t>
      </w:r>
      <w:r>
        <w:rPr>
          <w:rFonts w:ascii="Times New Roman" w:hAnsi="Times New Roman" w:cs="Times New Roman"/>
        </w:rPr>
        <w:t xml:space="preserve"> odviedol</w:t>
      </w:r>
      <w:r w:rsidRPr="00105636">
        <w:rPr>
          <w:rFonts w:ascii="Times New Roman" w:hAnsi="Times New Roman" w:cs="Times New Roman"/>
        </w:rPr>
        <w:t xml:space="preserve"> na základe  zmluvy z 25.07.2005</w:t>
      </w:r>
      <w:r>
        <w:rPr>
          <w:rFonts w:ascii="Times New Roman" w:hAnsi="Times New Roman" w:cs="Times New Roman"/>
        </w:rPr>
        <w:t xml:space="preserve"> v zmysle uznesenia vlády SR č. 963/2004 k návrhu rozpočtu verejnej správy na roky 2005 až 2007 do štátnych finančných aktív,</w:t>
      </w:r>
    </w:p>
    <w:p w:rsidR="00B534F8" w:rsidRPr="00105636" w:rsidP="00B534F8">
      <w:pPr>
        <w:spacing w:before="120" w:line="360" w:lineRule="auto"/>
        <w:jc w:val="both"/>
        <w:rPr>
          <w:rFonts w:ascii="Times New Roman" w:hAnsi="Times New Roman" w:cs="Times New Roman"/>
        </w:rPr>
      </w:pPr>
      <w:r>
        <w:rPr>
          <w:rFonts w:ascii="Times New Roman" w:hAnsi="Times New Roman" w:cs="Times New Roman"/>
          <w:bCs/>
        </w:rPr>
        <w:t xml:space="preserve">     </w:t>
      </w:r>
      <w:r>
        <w:rPr>
          <w:rFonts w:ascii="Arial Narrow" w:hAnsi="Arial Narrow" w:cs="Times New Roman"/>
          <w:bCs/>
        </w:rPr>
        <w:t>•</w:t>
      </w:r>
      <w:r>
        <w:rPr>
          <w:rFonts w:ascii="Times New Roman" w:hAnsi="Times New Roman" w:cs="Times New Roman"/>
          <w:bCs/>
        </w:rPr>
        <w:t xml:space="preserve"> v</w:t>
      </w:r>
      <w:r w:rsidRPr="00A00100">
        <w:rPr>
          <w:rFonts w:ascii="Times New Roman" w:hAnsi="Times New Roman" w:cs="Times New Roman"/>
          <w:bCs/>
        </w:rPr>
        <w:t>kladový účet štátnych finančných aktív</w:t>
      </w:r>
      <w:r>
        <w:rPr>
          <w:rFonts w:ascii="Times New Roman" w:hAnsi="Times New Roman" w:cs="Times New Roman"/>
          <w:bCs/>
        </w:rPr>
        <w:t>: sa znížil o 0,2</w:t>
      </w:r>
      <w:r w:rsidRPr="00A00100">
        <w:rPr>
          <w:rFonts w:ascii="Times New Roman" w:hAnsi="Times New Roman" w:cs="Times New Roman"/>
        </w:rPr>
        <w:t xml:space="preserve"> mil. Sk</w:t>
      </w:r>
      <w:r>
        <w:rPr>
          <w:rFonts w:ascii="Times New Roman" w:hAnsi="Times New Roman" w:cs="Times New Roman"/>
        </w:rPr>
        <w:t xml:space="preserve"> z dôvodu úhrad splatných pohľadávok voči </w:t>
      </w:r>
      <w:r w:rsidRPr="00105636">
        <w:rPr>
          <w:rFonts w:ascii="Times New Roman" w:hAnsi="Times New Roman" w:cs="Times New Roman"/>
        </w:rPr>
        <w:t xml:space="preserve"> fyzickým osobám</w:t>
      </w:r>
      <w:r>
        <w:rPr>
          <w:rFonts w:ascii="Times New Roman" w:hAnsi="Times New Roman" w:cs="Times New Roman"/>
        </w:rPr>
        <w:t>,</w:t>
      </w:r>
    </w:p>
    <w:p w:rsidR="00B534F8" w:rsidP="00B534F8">
      <w:pPr>
        <w:spacing w:before="120" w:line="360" w:lineRule="auto"/>
        <w:jc w:val="both"/>
        <w:rPr>
          <w:rFonts w:ascii="Times New Roman" w:hAnsi="Times New Roman" w:cs="Times New Roman"/>
        </w:rPr>
      </w:pPr>
      <w:r>
        <w:rPr>
          <w:rFonts w:ascii="Times New Roman" w:hAnsi="Times New Roman" w:cs="Times New Roman"/>
        </w:rPr>
        <w:t xml:space="preserve">     </w:t>
      </w:r>
      <w:r>
        <w:rPr>
          <w:rFonts w:ascii="Arial Narrow" w:hAnsi="Arial Narrow" w:cs="Times New Roman"/>
        </w:rPr>
        <w:t>•</w:t>
      </w:r>
      <w:r>
        <w:rPr>
          <w:rFonts w:ascii="Times New Roman" w:hAnsi="Times New Roman" w:cs="Times New Roman"/>
        </w:rPr>
        <w:t xml:space="preserve"> t</w:t>
      </w:r>
      <w:r w:rsidRPr="00A00100">
        <w:rPr>
          <w:rFonts w:ascii="Times New Roman" w:hAnsi="Times New Roman" w:cs="Times New Roman"/>
        </w:rPr>
        <w:t>ermínovan</w:t>
      </w:r>
      <w:r>
        <w:rPr>
          <w:rFonts w:ascii="Times New Roman" w:hAnsi="Times New Roman" w:cs="Times New Roman"/>
        </w:rPr>
        <w:t xml:space="preserve">ý účet </w:t>
      </w:r>
      <w:r w:rsidRPr="00A00100">
        <w:rPr>
          <w:rFonts w:ascii="Times New Roman" w:hAnsi="Times New Roman" w:cs="Times New Roman"/>
        </w:rPr>
        <w:t>– dôchodková reforma</w:t>
      </w:r>
      <w:r>
        <w:rPr>
          <w:rFonts w:ascii="Times New Roman" w:hAnsi="Times New Roman" w:cs="Times New Roman"/>
        </w:rPr>
        <w:t>: za</w:t>
      </w:r>
      <w:r w:rsidRPr="00A00100">
        <w:rPr>
          <w:rFonts w:ascii="Times New Roman" w:hAnsi="Times New Roman" w:cs="Times New Roman"/>
        </w:rPr>
        <w:t>čiatočný stav účtu 70</w:t>
      </w:r>
      <w:r>
        <w:rPr>
          <w:rFonts w:ascii="Times New Roman" w:hAnsi="Times New Roman" w:cs="Times New Roman"/>
        </w:rPr>
        <w:t xml:space="preserve"> 209,3 </w:t>
      </w:r>
      <w:r w:rsidRPr="00A00100">
        <w:rPr>
          <w:rFonts w:ascii="Times New Roman" w:hAnsi="Times New Roman" w:cs="Times New Roman"/>
        </w:rPr>
        <w:t xml:space="preserve"> mil. Sk sa</w:t>
      </w:r>
      <w:r w:rsidRPr="00105636">
        <w:rPr>
          <w:rFonts w:ascii="Times New Roman" w:hAnsi="Times New Roman" w:cs="Times New Roman"/>
        </w:rPr>
        <w:t xml:space="preserve"> zvýšil o</w:t>
      </w:r>
      <w:r>
        <w:rPr>
          <w:rFonts w:ascii="Times New Roman" w:hAnsi="Times New Roman" w:cs="Times New Roman"/>
        </w:rPr>
        <w:t> pripísané kreditné úroky z titulu úročenia tohto účtu Štátnou pokladnicou vo výške 3 603,8 mil. Sk a prevodu peňažných prostriedkov zo splátok vládneho úveru zo zahraničia vo výške 1 030,9 mil. Sk. V priebehu roka 2006 z tohto účtu boli poskytnuté peňažné prostriedky vo výške 19 200,0  mil. Sk Sociálnej poisťovni v rámci koncepcie dôchodkovej reformy,</w:t>
      </w:r>
    </w:p>
    <w:p w:rsidR="00B534F8" w:rsidRPr="00105636" w:rsidP="00B534F8">
      <w:pPr>
        <w:spacing w:before="120" w:line="360" w:lineRule="auto"/>
        <w:jc w:val="both"/>
        <w:rPr>
          <w:rFonts w:ascii="Times New Roman" w:hAnsi="Times New Roman" w:cs="Times New Roman"/>
        </w:rPr>
      </w:pPr>
      <w:r>
        <w:rPr>
          <w:rFonts w:ascii="Times New Roman" w:hAnsi="Times New Roman" w:cs="Times New Roman"/>
          <w:color w:val="000000"/>
        </w:rPr>
        <w:t xml:space="preserve">     </w:t>
      </w:r>
      <w:r>
        <w:rPr>
          <w:rFonts w:ascii="Arial Narrow" w:hAnsi="Arial Narrow" w:cs="Times New Roman"/>
          <w:color w:val="000000"/>
        </w:rPr>
        <w:t>•</w:t>
      </w:r>
      <w:r>
        <w:rPr>
          <w:rFonts w:ascii="Times New Roman" w:hAnsi="Times New Roman" w:cs="Times New Roman"/>
          <w:color w:val="000000"/>
        </w:rPr>
        <w:t xml:space="preserve"> účet splátok návratných finančných výpomocí: začiatočný stav účtu </w:t>
      </w:r>
      <w:r w:rsidRPr="00A00100">
        <w:rPr>
          <w:rFonts w:ascii="Times New Roman" w:hAnsi="Times New Roman" w:cs="Times New Roman"/>
          <w:color w:val="000000"/>
        </w:rPr>
        <w:t>splátok návratných finančných výpomocí</w:t>
      </w:r>
      <w:r>
        <w:rPr>
          <w:rFonts w:ascii="Times New Roman" w:hAnsi="Times New Roman" w:cs="Times New Roman"/>
          <w:color w:val="000000"/>
        </w:rPr>
        <w:t xml:space="preserve"> vo výške 1 328,6 mil. Sk  bol znížený  v priebehu roka o 356,3 mil. Sk a k 31.12.2006 dosiahol 972,3 mil. Sk. Na účte bol zaznamenaný prírastok zdrojov v sume 1 092,8 mil. Sk. Tieto zdroje tvorili príjmy vo forme splátok návratných finančných výpomocí od verejnoprávnych inštitúcií v úhrnnej sume 277,1 mil. Sk, od bývalého zrušeného Štátneho podporného fondu pôdohospodárstva a potravinárstva 235,7 mil. Sk, od nefinančných subjektov 538,3 mil. Sk a od obcí 41,7 mil. Sk. Úbytok na účte bol spôsobený poukázaním prostriedkov v sume 1 064,7 mil. Sk pre  Ministerstvo hospodárstva SR na založenie 100% spoločnosti s ručením obmedzeným, ktorá zabezpečí výstavbu a prevádzku obytného súboru, poukázaním peňažných prostriedkov pre</w:t>
      </w:r>
      <w:r w:rsidRPr="007129B9">
        <w:rPr>
          <w:rFonts w:ascii="Times New Roman" w:hAnsi="Times New Roman" w:cs="Times New Roman"/>
          <w:color w:val="000000"/>
        </w:rPr>
        <w:t xml:space="preserve"> </w:t>
      </w:r>
      <w:r>
        <w:rPr>
          <w:rFonts w:ascii="Times New Roman" w:hAnsi="Times New Roman" w:cs="Times New Roman"/>
          <w:color w:val="000000"/>
        </w:rPr>
        <w:t>Ministerstvo hospodárstva SR v sume 0,3 mil. Sk v súvislosti s projektom Samsung na vybudovanie závodu na výrobu LCD modulov a vkladom do medzinárodných inštitúcií ako účasť na majetku vo výške  384,1 mil. Sk,</w:t>
      </w:r>
    </w:p>
    <w:p w:rsidR="00B534F8" w:rsidP="00B534F8">
      <w:pPr>
        <w:spacing w:before="120" w:line="360" w:lineRule="auto"/>
        <w:jc w:val="both"/>
        <w:rPr>
          <w:rFonts w:ascii="Times New Roman" w:hAnsi="Times New Roman" w:cs="Times New Roman"/>
        </w:rPr>
      </w:pPr>
      <w:r>
        <w:rPr>
          <w:rFonts w:ascii="Times New Roman" w:hAnsi="Times New Roman" w:cs="Times New Roman"/>
          <w:color w:val="000000"/>
        </w:rPr>
        <w:t xml:space="preserve">    </w:t>
      </w:r>
      <w:r w:rsidR="00E046F6">
        <w:rPr>
          <w:rFonts w:ascii="Times New Roman" w:hAnsi="Times New Roman" w:cs="Times New Roman"/>
          <w:color w:val="000000"/>
        </w:rPr>
        <w:t xml:space="preserve"> </w:t>
      </w:r>
      <w:r>
        <w:rPr>
          <w:rFonts w:ascii="Arial Narrow" w:hAnsi="Arial Narrow" w:cs="Times New Roman"/>
          <w:bCs/>
        </w:rPr>
        <w:t>•</w:t>
      </w:r>
      <w:r>
        <w:rPr>
          <w:rFonts w:ascii="Times New Roman" w:hAnsi="Times New Roman" w:cs="Times New Roman"/>
          <w:bCs/>
        </w:rPr>
        <w:t xml:space="preserve"> ú</w:t>
      </w:r>
      <w:r w:rsidRPr="004D0BD0">
        <w:rPr>
          <w:rFonts w:ascii="Times New Roman" w:hAnsi="Times New Roman" w:cs="Times New Roman"/>
          <w:bCs/>
        </w:rPr>
        <w:t>čet prevádzkovateľov lotérií a iných podobných hier</w:t>
      </w:r>
      <w:r>
        <w:rPr>
          <w:rFonts w:ascii="Times New Roman" w:hAnsi="Times New Roman" w:cs="Times New Roman"/>
          <w:bCs/>
        </w:rPr>
        <w:t xml:space="preserve">: úbytok </w:t>
      </w:r>
      <w:r w:rsidRPr="004D0BD0">
        <w:rPr>
          <w:rFonts w:ascii="Times New Roman" w:hAnsi="Times New Roman" w:cs="Times New Roman"/>
        </w:rPr>
        <w:t>vo výške 1,</w:t>
      </w:r>
      <w:r>
        <w:rPr>
          <w:rFonts w:ascii="Times New Roman" w:hAnsi="Times New Roman" w:cs="Times New Roman"/>
        </w:rPr>
        <w:t>0</w:t>
      </w:r>
      <w:r w:rsidRPr="004D0BD0">
        <w:rPr>
          <w:rFonts w:ascii="Times New Roman" w:hAnsi="Times New Roman" w:cs="Times New Roman"/>
        </w:rPr>
        <w:t xml:space="preserve"> mil. Sk</w:t>
      </w:r>
      <w:r w:rsidRPr="00105636">
        <w:rPr>
          <w:rFonts w:ascii="Times New Roman" w:hAnsi="Times New Roman" w:cs="Times New Roman"/>
        </w:rPr>
        <w:t xml:space="preserve"> predstavujú vrátené prostriedky, preplatky z nadmerných odvodov prevádzkovateľov lotérií a iných podobných hier oprávneným právnickým osobám</w:t>
      </w:r>
      <w:r>
        <w:rPr>
          <w:rFonts w:ascii="Times New Roman" w:hAnsi="Times New Roman" w:cs="Times New Roman"/>
        </w:rPr>
        <w:t xml:space="preserve"> –</w:t>
      </w:r>
      <w:r w:rsidRPr="00105636">
        <w:rPr>
          <w:rFonts w:ascii="Times New Roman" w:hAnsi="Times New Roman" w:cs="Times New Roman"/>
        </w:rPr>
        <w:t xml:space="preserve"> prevádzkovateľom</w:t>
      </w:r>
      <w:r>
        <w:rPr>
          <w:rFonts w:ascii="Times New Roman" w:hAnsi="Times New Roman" w:cs="Times New Roman"/>
        </w:rPr>
        <w:t xml:space="preserve"> hier,</w:t>
      </w:r>
    </w:p>
    <w:p w:rsidR="00B534F8" w:rsidP="00B534F8">
      <w:pPr>
        <w:spacing w:before="120" w:line="360" w:lineRule="auto"/>
        <w:jc w:val="both"/>
        <w:rPr>
          <w:rFonts w:ascii="Times New Roman" w:hAnsi="Times New Roman" w:cs="Times New Roman"/>
        </w:rPr>
      </w:pPr>
      <w:r w:rsidRPr="00D554E3">
        <w:rPr>
          <w:rFonts w:ascii="Arial Narrow" w:hAnsi="Arial Narrow" w:cs="Times New Roman"/>
          <w:bCs/>
        </w:rPr>
        <w:t xml:space="preserve">     •</w:t>
      </w:r>
      <w:r w:rsidRPr="00D554E3">
        <w:rPr>
          <w:rFonts w:ascii="Times New Roman" w:hAnsi="Times New Roman" w:cs="Times New Roman"/>
          <w:bCs/>
        </w:rPr>
        <w:t xml:space="preserve"> účet splátok vládnych úverov zo zahraničia – špeciál</w:t>
      </w:r>
      <w:r w:rsidRPr="00934689">
        <w:rPr>
          <w:rFonts w:ascii="Times New Roman" w:hAnsi="Times New Roman" w:cs="Times New Roman"/>
          <w:bCs/>
        </w:rPr>
        <w:t xml:space="preserve">: </w:t>
      </w:r>
      <w:r>
        <w:rPr>
          <w:rFonts w:ascii="Times New Roman" w:hAnsi="Times New Roman" w:cs="Times New Roman"/>
          <w:bCs/>
        </w:rPr>
        <w:t xml:space="preserve"> za</w:t>
      </w:r>
      <w:r w:rsidRPr="00934689">
        <w:rPr>
          <w:rFonts w:ascii="Times New Roman" w:hAnsi="Times New Roman" w:cs="Times New Roman"/>
          <w:bCs/>
        </w:rPr>
        <w:t xml:space="preserve">čiatočný stav </w:t>
      </w:r>
      <w:r>
        <w:rPr>
          <w:rFonts w:ascii="Times New Roman" w:hAnsi="Times New Roman" w:cs="Times New Roman"/>
          <w:bCs/>
        </w:rPr>
        <w:t>účtu</w:t>
      </w:r>
      <w:r w:rsidRPr="00934689">
        <w:rPr>
          <w:rFonts w:ascii="Times New Roman" w:hAnsi="Times New Roman" w:cs="Times New Roman"/>
          <w:bCs/>
        </w:rPr>
        <w:t xml:space="preserve"> </w:t>
      </w:r>
      <w:r>
        <w:rPr>
          <w:rFonts w:ascii="Times New Roman" w:hAnsi="Times New Roman" w:cs="Times New Roman"/>
          <w:bCs/>
        </w:rPr>
        <w:t xml:space="preserve"> vo výške 9</w:t>
      </w:r>
      <w:r w:rsidRPr="00934689">
        <w:rPr>
          <w:rFonts w:ascii="Times New Roman" w:hAnsi="Times New Roman" w:cs="Times New Roman"/>
          <w:bCs/>
        </w:rPr>
        <w:t>4</w:t>
      </w:r>
      <w:r>
        <w:rPr>
          <w:rFonts w:ascii="Times New Roman" w:hAnsi="Times New Roman" w:cs="Times New Roman"/>
          <w:bCs/>
        </w:rPr>
        <w:t>,9</w:t>
      </w:r>
      <w:r w:rsidRPr="00934689">
        <w:rPr>
          <w:rFonts w:ascii="Times New Roman" w:hAnsi="Times New Roman" w:cs="Times New Roman"/>
          <w:bCs/>
        </w:rPr>
        <w:t xml:space="preserve"> mil. Sk</w:t>
      </w:r>
      <w:r>
        <w:rPr>
          <w:rFonts w:ascii="Times New Roman" w:hAnsi="Times New Roman" w:cs="Times New Roman"/>
          <w:bCs/>
        </w:rPr>
        <w:t xml:space="preserve"> sa zvýšil o splátky vládnych úverov a pohľadávok vo výške 976,4 mil. Sk z Alžírska.</w:t>
      </w:r>
      <w:r>
        <w:rPr>
          <w:rFonts w:ascii="Times New Roman" w:hAnsi="Times New Roman" w:cs="Times New Roman"/>
        </w:rPr>
        <w:t xml:space="preserve"> Z tohto účtu boli zrealizované celkové výdavky vo výške 1 045,0 mil. Sk. Tieto výdavky predstavovali </w:t>
      </w:r>
      <w:r w:rsidRPr="00934689">
        <w:rPr>
          <w:rFonts w:ascii="Times New Roman" w:hAnsi="Times New Roman" w:cs="Times New Roman"/>
        </w:rPr>
        <w:t xml:space="preserve"> majetkový vklad do </w:t>
      </w:r>
      <w:r>
        <w:rPr>
          <w:rFonts w:ascii="Times New Roman" w:hAnsi="Times New Roman" w:cs="Times New Roman"/>
        </w:rPr>
        <w:t>Spoločnej zdravotnej poisťovne</w:t>
      </w:r>
      <w:r w:rsidRPr="00934689">
        <w:rPr>
          <w:rFonts w:ascii="Times New Roman" w:hAnsi="Times New Roman" w:cs="Times New Roman"/>
        </w:rPr>
        <w:t xml:space="preserve"> realizovaný pre Ministerstvo dopravy pôšt a telekomunikácií SR v</w:t>
      </w:r>
      <w:r>
        <w:rPr>
          <w:rFonts w:ascii="Times New Roman" w:hAnsi="Times New Roman" w:cs="Times New Roman"/>
        </w:rPr>
        <w:t xml:space="preserve"> </w:t>
      </w:r>
      <w:r w:rsidRPr="00934689">
        <w:rPr>
          <w:rFonts w:ascii="Times New Roman" w:hAnsi="Times New Roman" w:cs="Times New Roman"/>
        </w:rPr>
        <w:t xml:space="preserve"> sume </w:t>
      </w:r>
      <w:r>
        <w:rPr>
          <w:rFonts w:ascii="Times New Roman" w:hAnsi="Times New Roman" w:cs="Times New Roman"/>
        </w:rPr>
        <w:t>5</w:t>
      </w:r>
      <w:r w:rsidRPr="00934689">
        <w:rPr>
          <w:rFonts w:ascii="Times New Roman" w:hAnsi="Times New Roman" w:cs="Times New Roman"/>
        </w:rPr>
        <w:t>8,0 mil. Sk</w:t>
      </w:r>
      <w:r>
        <w:rPr>
          <w:rFonts w:ascii="Times New Roman" w:hAnsi="Times New Roman" w:cs="Times New Roman"/>
        </w:rPr>
        <w:t xml:space="preserve">, </w:t>
      </w:r>
      <w:r w:rsidRPr="00934689">
        <w:rPr>
          <w:rFonts w:ascii="Times New Roman" w:hAnsi="Times New Roman" w:cs="Times New Roman"/>
        </w:rPr>
        <w:t>majetkový vklad do spoločnosti</w:t>
      </w:r>
      <w:r>
        <w:rPr>
          <w:rFonts w:ascii="Times New Roman" w:hAnsi="Times New Roman" w:cs="Times New Roman"/>
        </w:rPr>
        <w:t xml:space="preserve"> s ručením obmedzeným, ktorá zabezpečí výstavbu a prevádzku obytného súboru v súlade s bodom C.5. Uznesenia vlády č. 94 z 1.2.2006 </w:t>
      </w:r>
      <w:r w:rsidRPr="00934689">
        <w:rPr>
          <w:rFonts w:ascii="Times New Roman" w:hAnsi="Times New Roman" w:cs="Times New Roman"/>
        </w:rPr>
        <w:t>realizovaný pre Ministerstvo hospodárstva  SR v</w:t>
      </w:r>
      <w:r>
        <w:rPr>
          <w:rFonts w:ascii="Times New Roman" w:hAnsi="Times New Roman" w:cs="Times New Roman"/>
        </w:rPr>
        <w:t> </w:t>
      </w:r>
      <w:r w:rsidRPr="00934689">
        <w:rPr>
          <w:rFonts w:ascii="Times New Roman" w:hAnsi="Times New Roman" w:cs="Times New Roman"/>
        </w:rPr>
        <w:t>sume</w:t>
      </w:r>
      <w:r>
        <w:rPr>
          <w:rFonts w:ascii="Times New Roman" w:hAnsi="Times New Roman" w:cs="Times New Roman"/>
        </w:rPr>
        <w:t xml:space="preserve"> 36,9 mil. Sk, </w:t>
      </w:r>
      <w:r w:rsidRPr="00934689">
        <w:rPr>
          <w:rFonts w:ascii="Times New Roman" w:hAnsi="Times New Roman" w:cs="Times New Roman"/>
        </w:rPr>
        <w:t xml:space="preserve">a prevod prostriedkov na termínovaný vkladový účet pre účely dôchodkovej reformy v sume </w:t>
      </w:r>
      <w:r>
        <w:rPr>
          <w:rFonts w:ascii="Times New Roman" w:hAnsi="Times New Roman" w:cs="Times New Roman"/>
        </w:rPr>
        <w:t>950,1 mil. Sk,</w:t>
      </w:r>
      <w:r w:rsidRPr="00934689">
        <w:rPr>
          <w:rFonts w:ascii="Times New Roman" w:hAnsi="Times New Roman" w:cs="Times New Roman"/>
        </w:rPr>
        <w:t xml:space="preserve"> </w:t>
      </w:r>
    </w:p>
    <w:p w:rsidR="00B534F8" w:rsidP="00B534F8">
      <w:pPr>
        <w:spacing w:before="120" w:line="360" w:lineRule="auto"/>
        <w:jc w:val="both"/>
        <w:rPr>
          <w:rFonts w:ascii="Times New Roman" w:hAnsi="Times New Roman" w:cs="Times New Roman"/>
          <w:bCs/>
        </w:rPr>
      </w:pPr>
      <w:r>
        <w:rPr>
          <w:rFonts w:ascii="Arial Narrow" w:hAnsi="Arial Narrow" w:cs="Times New Roman"/>
          <w:bCs/>
        </w:rPr>
        <w:t xml:space="preserve">     </w:t>
      </w:r>
      <w:r w:rsidRPr="001844E4">
        <w:rPr>
          <w:rFonts w:ascii="Arial Narrow" w:hAnsi="Arial Narrow" w:cs="Times New Roman"/>
          <w:bCs/>
        </w:rPr>
        <w:t>•</w:t>
      </w:r>
      <w:r w:rsidRPr="001844E4">
        <w:rPr>
          <w:rFonts w:ascii="Times New Roman" w:hAnsi="Times New Roman" w:cs="Times New Roman"/>
          <w:bCs/>
        </w:rPr>
        <w:t xml:space="preserve"> účet splátok vládnych úverov zo zahraničia – civil</w:t>
      </w:r>
      <w:r w:rsidRPr="00934689">
        <w:rPr>
          <w:rFonts w:ascii="Times New Roman" w:hAnsi="Times New Roman" w:cs="Times New Roman"/>
          <w:bCs/>
        </w:rPr>
        <w:t xml:space="preserve">: </w:t>
      </w:r>
      <w:r>
        <w:rPr>
          <w:rFonts w:ascii="Times New Roman" w:hAnsi="Times New Roman" w:cs="Times New Roman"/>
          <w:bCs/>
        </w:rPr>
        <w:t>začiatočný</w:t>
      </w:r>
      <w:r w:rsidRPr="00934689">
        <w:rPr>
          <w:rFonts w:ascii="Times New Roman" w:hAnsi="Times New Roman" w:cs="Times New Roman"/>
          <w:bCs/>
        </w:rPr>
        <w:t xml:space="preserve"> stav účtu </w:t>
      </w:r>
      <w:r>
        <w:rPr>
          <w:rFonts w:ascii="Times New Roman" w:hAnsi="Times New Roman" w:cs="Times New Roman"/>
          <w:bCs/>
        </w:rPr>
        <w:t xml:space="preserve">vo výške </w:t>
      </w:r>
      <w:r w:rsidRPr="00934689">
        <w:rPr>
          <w:rFonts w:ascii="Times New Roman" w:hAnsi="Times New Roman" w:cs="Times New Roman"/>
          <w:bCs/>
        </w:rPr>
        <w:t xml:space="preserve"> 22,4 mil. Sk </w:t>
      </w:r>
      <w:r>
        <w:rPr>
          <w:rFonts w:ascii="Times New Roman" w:hAnsi="Times New Roman" w:cs="Times New Roman"/>
          <w:bCs/>
        </w:rPr>
        <w:t xml:space="preserve"> sa v priebehu roka zvýšil o splátky istín z vládnych pohľadávok a úverov o 228,4 mil. Sk. Tieto splátky istín tvorili splátky od dlžníckych krajín ako sú napr.: Alžírsko, Laos, Nikaragua, Albánsko, Sýria Myanmar, India a Ruská federácia.</w:t>
      </w:r>
      <w:r w:rsidRPr="00934689">
        <w:rPr>
          <w:rFonts w:ascii="Times New Roman" w:hAnsi="Times New Roman" w:cs="Times New Roman"/>
        </w:rPr>
        <w:t xml:space="preserve"> </w:t>
      </w:r>
      <w:r>
        <w:rPr>
          <w:rFonts w:ascii="Times New Roman" w:hAnsi="Times New Roman" w:cs="Times New Roman"/>
        </w:rPr>
        <w:t xml:space="preserve">Z </w:t>
      </w:r>
      <w:r w:rsidRPr="00934689">
        <w:rPr>
          <w:rFonts w:ascii="Times New Roman" w:hAnsi="Times New Roman" w:cs="Times New Roman"/>
        </w:rPr>
        <w:t xml:space="preserve"> tohto účtu </w:t>
      </w:r>
      <w:r>
        <w:rPr>
          <w:rFonts w:ascii="Times New Roman" w:hAnsi="Times New Roman" w:cs="Times New Roman"/>
        </w:rPr>
        <w:t xml:space="preserve">boli zrealizované  celkové výdavky v </w:t>
      </w:r>
      <w:r w:rsidRPr="00934689">
        <w:rPr>
          <w:rFonts w:ascii="Times New Roman" w:hAnsi="Times New Roman" w:cs="Times New Roman"/>
        </w:rPr>
        <w:t xml:space="preserve"> sume 180,9 mil. Sk</w:t>
      </w:r>
      <w:r>
        <w:rPr>
          <w:rFonts w:ascii="Times New Roman" w:hAnsi="Times New Roman" w:cs="Times New Roman"/>
        </w:rPr>
        <w:t xml:space="preserve">. Tieto výdavky tvorili </w:t>
      </w:r>
      <w:r w:rsidRPr="00934689">
        <w:rPr>
          <w:rFonts w:ascii="Times New Roman" w:hAnsi="Times New Roman" w:cs="Times New Roman"/>
        </w:rPr>
        <w:t xml:space="preserve"> majetkov</w:t>
      </w:r>
      <w:r>
        <w:rPr>
          <w:rFonts w:ascii="Times New Roman" w:hAnsi="Times New Roman" w:cs="Times New Roman"/>
        </w:rPr>
        <w:t xml:space="preserve">ý  vklad </w:t>
      </w:r>
      <w:r w:rsidRPr="00934689">
        <w:rPr>
          <w:rFonts w:ascii="Times New Roman" w:hAnsi="Times New Roman" w:cs="Times New Roman"/>
        </w:rPr>
        <w:t xml:space="preserve"> do </w:t>
      </w:r>
      <w:r>
        <w:rPr>
          <w:rFonts w:ascii="Times New Roman" w:hAnsi="Times New Roman" w:cs="Times New Roman"/>
        </w:rPr>
        <w:t xml:space="preserve">obchodnej </w:t>
      </w:r>
      <w:r w:rsidRPr="00934689">
        <w:rPr>
          <w:rFonts w:ascii="Times New Roman" w:hAnsi="Times New Roman" w:cs="Times New Roman"/>
        </w:rPr>
        <w:t xml:space="preserve">spoločnosti </w:t>
      </w:r>
      <w:r>
        <w:rPr>
          <w:rFonts w:ascii="Times New Roman" w:hAnsi="Times New Roman" w:cs="Times New Roman"/>
        </w:rPr>
        <w:t xml:space="preserve">v pôsobnosti </w:t>
      </w:r>
      <w:r w:rsidRPr="00934689">
        <w:rPr>
          <w:rFonts w:ascii="Times New Roman" w:hAnsi="Times New Roman" w:cs="Times New Roman"/>
        </w:rPr>
        <w:t xml:space="preserve"> Ministerstvo hospodárstva  SR v sume  57,5 mil. Sk, majetkový vklad do spoločnosti realizovaný pre Ministerstvo dopravy pôšt a telekomunikácií SR  v sume 80,0 mil. Sk a  prevod prostriedkov na termínovaný vkladový účet pre účely dôchodkovej reformy v sume 43,4 mil.</w:t>
      </w:r>
      <w:r>
        <w:rPr>
          <w:rFonts w:ascii="Times New Roman" w:hAnsi="Times New Roman" w:cs="Times New Roman"/>
        </w:rPr>
        <w:t xml:space="preserve"> </w:t>
      </w:r>
      <w:r w:rsidRPr="00934689">
        <w:rPr>
          <w:rFonts w:ascii="Times New Roman" w:hAnsi="Times New Roman" w:cs="Times New Roman"/>
        </w:rPr>
        <w:t>Sk</w:t>
      </w:r>
      <w:r>
        <w:rPr>
          <w:rFonts w:ascii="Times New Roman" w:hAnsi="Times New Roman" w:cs="Times New Roman"/>
        </w:rPr>
        <w:t>. Konečný zostatok účtu k 31.12.2006 je 69,9 mil. Sk,</w:t>
      </w:r>
      <w:r w:rsidRPr="00934689">
        <w:rPr>
          <w:rFonts w:ascii="Times New Roman" w:hAnsi="Times New Roman" w:cs="Times New Roman"/>
          <w:bCs/>
        </w:rPr>
        <w:t xml:space="preserve">  </w:t>
      </w:r>
    </w:p>
    <w:p w:rsidR="00B534F8" w:rsidRPr="00105636" w:rsidP="00B534F8">
      <w:pPr>
        <w:spacing w:before="120" w:line="360" w:lineRule="auto"/>
        <w:jc w:val="both"/>
        <w:rPr>
          <w:rFonts w:ascii="Times New Roman" w:hAnsi="Times New Roman" w:cs="Times New Roman"/>
        </w:rPr>
      </w:pPr>
      <w:r w:rsidRPr="00934689">
        <w:rPr>
          <w:rFonts w:ascii="Times New Roman" w:hAnsi="Times New Roman" w:cs="Times New Roman"/>
          <w:bCs/>
        </w:rPr>
        <w:t xml:space="preserve">  </w:t>
      </w:r>
      <w:r w:rsidR="00E046F6">
        <w:rPr>
          <w:rFonts w:ascii="Times New Roman" w:hAnsi="Times New Roman" w:cs="Times New Roman"/>
          <w:bCs/>
        </w:rPr>
        <w:t xml:space="preserve">  </w:t>
      </w:r>
      <w:r w:rsidRPr="00934689">
        <w:rPr>
          <w:rFonts w:ascii="Times New Roman" w:hAnsi="Times New Roman" w:cs="Times New Roman"/>
          <w:bCs/>
        </w:rPr>
        <w:t xml:space="preserve"> </w:t>
      </w:r>
      <w:r w:rsidRPr="000B78CD">
        <w:rPr>
          <w:rFonts w:ascii="Arial Narrow" w:hAnsi="Arial Narrow" w:cs="Times New Roman"/>
          <w:bCs/>
        </w:rPr>
        <w:t>•</w:t>
      </w:r>
      <w:r w:rsidRPr="000B78CD">
        <w:rPr>
          <w:rFonts w:ascii="Times New Roman" w:hAnsi="Times New Roman" w:cs="Times New Roman"/>
          <w:bCs/>
        </w:rPr>
        <w:t xml:space="preserve"> účet vládnych pohľadávok a záväzkov prevzatých </w:t>
      </w:r>
      <w:r w:rsidRPr="00DE6857">
        <w:rPr>
          <w:rFonts w:ascii="Times New Roman" w:hAnsi="Times New Roman" w:cs="Times New Roman"/>
          <w:bCs/>
        </w:rPr>
        <w:t>od ČSOB (CDZ): stav</w:t>
      </w:r>
      <w:r w:rsidRPr="00934689">
        <w:rPr>
          <w:rFonts w:ascii="Times New Roman" w:hAnsi="Times New Roman" w:cs="Times New Roman"/>
          <w:bCs/>
        </w:rPr>
        <w:t xml:space="preserve"> účtu na začiatku roka</w:t>
      </w:r>
      <w:r>
        <w:rPr>
          <w:rFonts w:ascii="Times New Roman" w:hAnsi="Times New Roman" w:cs="Times New Roman"/>
          <w:bCs/>
        </w:rPr>
        <w:t xml:space="preserve"> 2006</w:t>
      </w:r>
      <w:r w:rsidRPr="00934689">
        <w:rPr>
          <w:rFonts w:ascii="Times New Roman" w:hAnsi="Times New Roman" w:cs="Times New Roman"/>
          <w:bCs/>
        </w:rPr>
        <w:t xml:space="preserve"> bol 5,6 mil. Sk. </w:t>
      </w:r>
      <w:r>
        <w:rPr>
          <w:rFonts w:ascii="Times New Roman" w:hAnsi="Times New Roman" w:cs="Times New Roman"/>
          <w:bCs/>
        </w:rPr>
        <w:t>V priebehu roka v prospech účtu bola prijatá platba z Kambodže vo výške 1,1 mil. Sk. Z tohto účtu bol zrealizovaný výdavok vo výške 5,6 mil. Sk ako vklad do základného imania obchodnej spoločnosti v pôsobnosti rezortu Ministerstva hospodárstva SR.</w:t>
      </w:r>
    </w:p>
    <w:p w:rsidR="00B534F8" w:rsidP="00B534F8">
      <w:pPr>
        <w:spacing w:line="360" w:lineRule="auto"/>
        <w:jc w:val="both"/>
        <w:rPr>
          <w:rFonts w:ascii="Arial Narrow" w:hAnsi="Arial Narrow" w:cs="Times New Roman"/>
        </w:rPr>
      </w:pPr>
    </w:p>
    <w:p w:rsidR="00B534F8" w:rsidP="00B534F8">
      <w:pPr>
        <w:spacing w:before="120" w:line="360" w:lineRule="auto"/>
        <w:jc w:val="both"/>
        <w:rPr>
          <w:rFonts w:ascii="Times New Roman" w:hAnsi="Times New Roman" w:cs="Times New Roman"/>
        </w:rPr>
      </w:pPr>
      <w:r w:rsidRPr="00F72EA0">
        <w:rPr>
          <w:rFonts w:ascii="Times New Roman" w:hAnsi="Times New Roman" w:cs="Times New Roman"/>
          <w:i/>
        </w:rPr>
        <w:t>Účet ostatných operácií ARDAL Štátny dlh – korunový</w:t>
      </w:r>
      <w:r>
        <w:rPr>
          <w:rFonts w:ascii="Times New Roman" w:hAnsi="Times New Roman" w:cs="Times New Roman"/>
          <w:i/>
        </w:rPr>
        <w:t>:</w:t>
      </w:r>
      <w:r w:rsidRPr="002C1636">
        <w:rPr>
          <w:rFonts w:ascii="Times New Roman" w:hAnsi="Times New Roman" w:cs="Times New Roman"/>
        </w:rPr>
        <w:t xml:space="preserve"> </w:t>
      </w:r>
      <w:r>
        <w:rPr>
          <w:rFonts w:ascii="Times New Roman" w:hAnsi="Times New Roman" w:cs="Times New Roman"/>
        </w:rPr>
        <w:t>začiatočný stav na účte k 1.1.2006 bol 33 983,6 mil. Sk. N</w:t>
      </w:r>
      <w:r w:rsidRPr="002C1636">
        <w:rPr>
          <w:rFonts w:ascii="Times New Roman" w:hAnsi="Times New Roman" w:cs="Times New Roman"/>
        </w:rPr>
        <w:t xml:space="preserve">a účet boli prijaté finančné prostriedky </w:t>
      </w:r>
      <w:r>
        <w:rPr>
          <w:rFonts w:ascii="Times New Roman" w:hAnsi="Times New Roman" w:cs="Times New Roman"/>
        </w:rPr>
        <w:t xml:space="preserve"> v sume 226 984,5 mil. Sk, ktoré tvorili:</w:t>
      </w:r>
    </w:p>
    <w:p w:rsidR="00B534F8" w:rsidP="00B534F8">
      <w:pPr>
        <w:numPr>
          <w:ilvl w:val="0"/>
          <w:numId w:val="40"/>
        </w:numPr>
        <w:tabs>
          <w:tab w:val="left" w:pos="720"/>
        </w:tabs>
        <w:spacing w:before="120" w:line="360" w:lineRule="auto"/>
        <w:jc w:val="both"/>
        <w:rPr>
          <w:rFonts w:ascii="Times New Roman" w:hAnsi="Times New Roman" w:cs="Times New Roman"/>
        </w:rPr>
      </w:pPr>
      <w:r>
        <w:rPr>
          <w:rFonts w:ascii="Times New Roman" w:hAnsi="Times New Roman" w:cs="Times New Roman"/>
        </w:rPr>
        <w:t>1 414,5 mil. Sk čerpanie tranží úverov  na krytie schodku ŠR,</w:t>
      </w:r>
    </w:p>
    <w:p w:rsidR="00B534F8" w:rsidP="00B534F8">
      <w:pPr>
        <w:numPr>
          <w:ilvl w:val="0"/>
          <w:numId w:val="40"/>
        </w:numPr>
        <w:tabs>
          <w:tab w:val="left" w:pos="720"/>
        </w:tabs>
        <w:spacing w:before="120" w:line="360" w:lineRule="auto"/>
        <w:jc w:val="both"/>
        <w:rPr>
          <w:rFonts w:ascii="Times New Roman" w:hAnsi="Times New Roman" w:cs="Times New Roman"/>
        </w:rPr>
      </w:pPr>
      <w:r w:rsidR="00387C57">
        <w:rPr>
          <w:rFonts w:ascii="Times New Roman" w:hAnsi="Times New Roman" w:cs="Times New Roman"/>
        </w:rPr>
        <w:t>32 234</w:t>
      </w:r>
      <w:r>
        <w:rPr>
          <w:rFonts w:ascii="Times New Roman" w:hAnsi="Times New Roman" w:cs="Times New Roman"/>
        </w:rPr>
        <w:t>,</w:t>
      </w:r>
      <w:r w:rsidR="00387C57">
        <w:rPr>
          <w:rFonts w:ascii="Times New Roman" w:hAnsi="Times New Roman" w:cs="Times New Roman"/>
        </w:rPr>
        <w:t>1</w:t>
      </w:r>
      <w:r>
        <w:rPr>
          <w:rFonts w:ascii="Times New Roman" w:hAnsi="Times New Roman" w:cs="Times New Roman"/>
        </w:rPr>
        <w:t xml:space="preserve"> mil. Sk emisia tuzemských štátnych dlhopisov vrátane alikvotného úrokového výnosu a prémií, </w:t>
      </w:r>
    </w:p>
    <w:p w:rsidR="00B534F8" w:rsidP="00B534F8">
      <w:pPr>
        <w:numPr>
          <w:ilvl w:val="0"/>
          <w:numId w:val="40"/>
        </w:numPr>
        <w:tabs>
          <w:tab w:val="left" w:pos="720"/>
        </w:tabs>
        <w:spacing w:before="120" w:line="360" w:lineRule="auto"/>
        <w:jc w:val="both"/>
        <w:rPr>
          <w:rFonts w:ascii="Times New Roman" w:hAnsi="Times New Roman" w:cs="Times New Roman"/>
        </w:rPr>
      </w:pPr>
      <w:r>
        <w:rPr>
          <w:rFonts w:ascii="Times New Roman" w:hAnsi="Times New Roman" w:cs="Times New Roman"/>
        </w:rPr>
        <w:t>32 606,3 mil. Sk  vysporiadanie obchodu FX-Swap,</w:t>
      </w:r>
    </w:p>
    <w:p w:rsidR="00B534F8" w:rsidP="00B534F8">
      <w:pPr>
        <w:numPr>
          <w:ilvl w:val="0"/>
          <w:numId w:val="40"/>
        </w:numPr>
        <w:tabs>
          <w:tab w:val="left" w:pos="720"/>
        </w:tabs>
        <w:spacing w:before="120" w:line="360" w:lineRule="auto"/>
        <w:jc w:val="both"/>
        <w:rPr>
          <w:rFonts w:ascii="Times New Roman" w:hAnsi="Times New Roman" w:cs="Times New Roman"/>
        </w:rPr>
      </w:pPr>
      <w:r>
        <w:rPr>
          <w:rFonts w:ascii="Times New Roman" w:hAnsi="Times New Roman" w:cs="Times New Roman"/>
        </w:rPr>
        <w:t xml:space="preserve">151 882,0 mil. Sk pôžička z krátkodobého refinančného systému, </w:t>
      </w:r>
    </w:p>
    <w:p w:rsidR="00B534F8" w:rsidP="00B534F8">
      <w:pPr>
        <w:numPr>
          <w:ilvl w:val="0"/>
          <w:numId w:val="40"/>
        </w:numPr>
        <w:tabs>
          <w:tab w:val="left" w:pos="720"/>
        </w:tabs>
        <w:spacing w:before="120" w:line="360" w:lineRule="auto"/>
        <w:jc w:val="both"/>
        <w:rPr>
          <w:rFonts w:ascii="Times New Roman" w:hAnsi="Times New Roman" w:cs="Times New Roman"/>
        </w:rPr>
      </w:pPr>
      <w:r>
        <w:rPr>
          <w:rFonts w:ascii="Times New Roman" w:hAnsi="Times New Roman" w:cs="Times New Roman"/>
        </w:rPr>
        <w:t>3 2</w:t>
      </w:r>
      <w:r w:rsidR="00387C57">
        <w:rPr>
          <w:rFonts w:ascii="Times New Roman" w:hAnsi="Times New Roman" w:cs="Times New Roman"/>
        </w:rPr>
        <w:t>64</w:t>
      </w:r>
      <w:r>
        <w:rPr>
          <w:rFonts w:ascii="Times New Roman" w:hAnsi="Times New Roman" w:cs="Times New Roman"/>
        </w:rPr>
        <w:t>,</w:t>
      </w:r>
      <w:r w:rsidR="00387C57">
        <w:rPr>
          <w:rFonts w:ascii="Times New Roman" w:hAnsi="Times New Roman" w:cs="Times New Roman"/>
        </w:rPr>
        <w:t>9</w:t>
      </w:r>
      <w:r>
        <w:rPr>
          <w:rFonts w:ascii="Times New Roman" w:hAnsi="Times New Roman" w:cs="Times New Roman"/>
        </w:rPr>
        <w:t xml:space="preserve"> mil. Sk  </w:t>
      </w:r>
      <w:r w:rsidRPr="00105636">
        <w:rPr>
          <w:rFonts w:ascii="Times New Roman" w:hAnsi="Times New Roman" w:cs="Times New Roman"/>
        </w:rPr>
        <w:t xml:space="preserve">poplatky a úroky, ktorých ekvivalent bol preúčtovaný z výdavkového účtu </w:t>
      </w:r>
      <w:r>
        <w:rPr>
          <w:rFonts w:ascii="Times New Roman" w:hAnsi="Times New Roman" w:cs="Times New Roman"/>
        </w:rPr>
        <w:t xml:space="preserve">a príjmového rozpočtového účtu </w:t>
      </w:r>
      <w:r w:rsidRPr="00105636">
        <w:rPr>
          <w:rFonts w:ascii="Times New Roman" w:hAnsi="Times New Roman" w:cs="Times New Roman"/>
        </w:rPr>
        <w:t>na korunový</w:t>
      </w:r>
      <w:r>
        <w:rPr>
          <w:rFonts w:ascii="Times New Roman" w:hAnsi="Times New Roman" w:cs="Times New Roman"/>
        </w:rPr>
        <w:t xml:space="preserve"> mimorozpočtový </w:t>
      </w:r>
      <w:r w:rsidRPr="00105636">
        <w:rPr>
          <w:rFonts w:ascii="Times New Roman" w:hAnsi="Times New Roman" w:cs="Times New Roman"/>
        </w:rPr>
        <w:t xml:space="preserve"> účet ostatné operácie ARDAL Štátny dl</w:t>
      </w:r>
      <w:r>
        <w:rPr>
          <w:rFonts w:ascii="Times New Roman" w:hAnsi="Times New Roman" w:cs="Times New Roman"/>
        </w:rPr>
        <w:t>h,</w:t>
      </w:r>
    </w:p>
    <w:p w:rsidR="00B534F8" w:rsidP="00B534F8">
      <w:pPr>
        <w:numPr>
          <w:ilvl w:val="0"/>
          <w:numId w:val="40"/>
        </w:numPr>
        <w:tabs>
          <w:tab w:val="left" w:pos="720"/>
        </w:tabs>
        <w:spacing w:before="120" w:line="360" w:lineRule="auto"/>
        <w:jc w:val="both"/>
        <w:rPr>
          <w:rFonts w:ascii="Times New Roman" w:hAnsi="Times New Roman" w:cs="Times New Roman"/>
        </w:rPr>
      </w:pPr>
      <w:r>
        <w:rPr>
          <w:rFonts w:ascii="Times New Roman" w:hAnsi="Times New Roman" w:cs="Times New Roman"/>
        </w:rPr>
        <w:t xml:space="preserve"> 5 582,7 mil. Sk konverzia USD/SKK a obchod FX-SPOT.</w:t>
      </w:r>
    </w:p>
    <w:p w:rsidR="00B534F8" w:rsidP="00B534F8">
      <w:pPr>
        <w:spacing w:before="120" w:line="360" w:lineRule="auto"/>
        <w:jc w:val="both"/>
        <w:rPr>
          <w:rFonts w:ascii="Times New Roman" w:hAnsi="Times New Roman" w:cs="Times New Roman"/>
        </w:rPr>
      </w:pPr>
      <w:r>
        <w:rPr>
          <w:rFonts w:ascii="Times New Roman" w:hAnsi="Times New Roman" w:cs="Times New Roman"/>
        </w:rPr>
        <w:t>Z účtu bolo uhradených 229 268,6 mil. Sk, ktoré tvorili:</w:t>
      </w:r>
    </w:p>
    <w:p w:rsidR="00B534F8" w:rsidP="00B534F8">
      <w:pPr>
        <w:numPr>
          <w:ilvl w:val="0"/>
          <w:numId w:val="40"/>
        </w:numPr>
        <w:tabs>
          <w:tab w:val="left" w:pos="720"/>
        </w:tabs>
        <w:spacing w:before="120" w:line="360" w:lineRule="auto"/>
        <w:jc w:val="both"/>
        <w:rPr>
          <w:rFonts w:ascii="Times New Roman" w:hAnsi="Times New Roman" w:cs="Times New Roman"/>
        </w:rPr>
      </w:pPr>
      <w:r>
        <w:rPr>
          <w:rFonts w:ascii="Times New Roman" w:hAnsi="Times New Roman" w:cs="Times New Roman"/>
        </w:rPr>
        <w:t>35 400,0 mil. Sk  splátka tuzemských dlhopisov,</w:t>
      </w:r>
    </w:p>
    <w:p w:rsidR="00B534F8" w:rsidP="00B534F8">
      <w:pPr>
        <w:numPr>
          <w:ilvl w:val="0"/>
          <w:numId w:val="40"/>
        </w:numPr>
        <w:tabs>
          <w:tab w:val="left" w:pos="720"/>
        </w:tabs>
        <w:spacing w:before="120" w:line="360" w:lineRule="auto"/>
        <w:jc w:val="both"/>
        <w:rPr>
          <w:rFonts w:ascii="Times New Roman" w:hAnsi="Times New Roman" w:cs="Times New Roman"/>
        </w:rPr>
      </w:pPr>
      <w:r>
        <w:rPr>
          <w:rFonts w:ascii="Times New Roman" w:hAnsi="Times New Roman" w:cs="Times New Roman"/>
        </w:rPr>
        <w:t xml:space="preserve"> 5 724,1 mil. Sk úhrada ŠPP emitovaných v r. 2005 a splatných v r. 2006,</w:t>
      </w:r>
    </w:p>
    <w:p w:rsidR="00B534F8" w:rsidP="00B534F8">
      <w:pPr>
        <w:numPr>
          <w:ilvl w:val="0"/>
          <w:numId w:val="40"/>
        </w:numPr>
        <w:tabs>
          <w:tab w:val="left" w:pos="720"/>
        </w:tabs>
        <w:spacing w:before="120" w:line="360" w:lineRule="auto"/>
        <w:jc w:val="both"/>
        <w:rPr>
          <w:rFonts w:ascii="Times New Roman" w:hAnsi="Times New Roman" w:cs="Times New Roman"/>
        </w:rPr>
      </w:pPr>
      <w:r>
        <w:rPr>
          <w:rFonts w:ascii="Times New Roman" w:hAnsi="Times New Roman" w:cs="Times New Roman"/>
        </w:rPr>
        <w:t>7 591,0  mil. Sk splátka istín úverov,</w:t>
      </w:r>
    </w:p>
    <w:p w:rsidR="00B534F8" w:rsidP="00B534F8">
      <w:pPr>
        <w:numPr>
          <w:ilvl w:val="0"/>
          <w:numId w:val="40"/>
        </w:numPr>
        <w:tabs>
          <w:tab w:val="left" w:pos="720"/>
        </w:tabs>
        <w:spacing w:before="120" w:line="360" w:lineRule="auto"/>
        <w:jc w:val="both"/>
        <w:rPr>
          <w:rFonts w:ascii="Times New Roman" w:hAnsi="Times New Roman" w:cs="Times New Roman"/>
        </w:rPr>
      </w:pPr>
      <w:r>
        <w:rPr>
          <w:rFonts w:ascii="Times New Roman" w:hAnsi="Times New Roman" w:cs="Times New Roman"/>
        </w:rPr>
        <w:t>70 209,3 mil. Sk splátka pôžičiek voči ŠP z dlhodobého refinančného systému,</w:t>
      </w:r>
    </w:p>
    <w:p w:rsidR="00B534F8" w:rsidP="00B534F8">
      <w:pPr>
        <w:numPr>
          <w:ilvl w:val="0"/>
          <w:numId w:val="40"/>
        </w:numPr>
        <w:tabs>
          <w:tab w:val="left" w:pos="720"/>
        </w:tabs>
        <w:spacing w:before="120" w:line="360" w:lineRule="auto"/>
        <w:jc w:val="both"/>
        <w:rPr>
          <w:rFonts w:ascii="Times New Roman" w:hAnsi="Times New Roman" w:cs="Times New Roman"/>
        </w:rPr>
      </w:pPr>
      <w:r>
        <w:rPr>
          <w:rFonts w:ascii="Times New Roman" w:hAnsi="Times New Roman" w:cs="Times New Roman"/>
        </w:rPr>
        <w:t>6 065,9 mil. Sk splátka pôžičky voči ŠP  z roku 2005,</w:t>
      </w:r>
    </w:p>
    <w:p w:rsidR="00B534F8" w:rsidP="00B534F8">
      <w:pPr>
        <w:numPr>
          <w:ilvl w:val="0"/>
          <w:numId w:val="40"/>
        </w:numPr>
        <w:tabs>
          <w:tab w:val="left" w:pos="720"/>
        </w:tabs>
        <w:spacing w:before="120" w:line="360" w:lineRule="auto"/>
        <w:jc w:val="both"/>
        <w:rPr>
          <w:rFonts w:ascii="Times New Roman" w:hAnsi="Times New Roman" w:cs="Times New Roman"/>
        </w:rPr>
      </w:pPr>
      <w:r>
        <w:rPr>
          <w:rFonts w:ascii="Times New Roman" w:hAnsi="Times New Roman" w:cs="Times New Roman"/>
        </w:rPr>
        <w:t>33 886,3 mil. Sk úhrada schodku štátneho rozpočtu za rok 2005,</w:t>
      </w:r>
    </w:p>
    <w:p w:rsidR="00B534F8" w:rsidP="00B534F8">
      <w:pPr>
        <w:numPr>
          <w:ilvl w:val="0"/>
          <w:numId w:val="40"/>
        </w:numPr>
        <w:tabs>
          <w:tab w:val="left" w:pos="720"/>
        </w:tabs>
        <w:spacing w:before="120" w:line="360" w:lineRule="auto"/>
        <w:jc w:val="both"/>
        <w:rPr>
          <w:rFonts w:ascii="Times New Roman" w:hAnsi="Times New Roman" w:cs="Times New Roman"/>
        </w:rPr>
      </w:pPr>
      <w:r>
        <w:rPr>
          <w:rFonts w:ascii="Times New Roman" w:hAnsi="Times New Roman" w:cs="Times New Roman"/>
        </w:rPr>
        <w:t>32 501,7 mil. Sk pôžičky tuzemským bankám,</w:t>
      </w:r>
    </w:p>
    <w:p w:rsidR="00B534F8" w:rsidP="00B534F8">
      <w:pPr>
        <w:numPr>
          <w:ilvl w:val="0"/>
          <w:numId w:val="40"/>
        </w:numPr>
        <w:tabs>
          <w:tab w:val="left" w:pos="720"/>
        </w:tabs>
        <w:spacing w:before="120" w:line="360" w:lineRule="auto"/>
        <w:jc w:val="both"/>
        <w:rPr>
          <w:rFonts w:ascii="Times New Roman" w:hAnsi="Times New Roman" w:cs="Times New Roman"/>
        </w:rPr>
      </w:pPr>
      <w:r>
        <w:rPr>
          <w:rFonts w:ascii="Times New Roman" w:hAnsi="Times New Roman" w:cs="Times New Roman"/>
        </w:rPr>
        <w:t>36 888,0 mil. Sk konverzie cudzích mien ( SKK/JPY, SKK/USD, SKK/EUR),</w:t>
      </w:r>
    </w:p>
    <w:p w:rsidR="00B534F8" w:rsidP="00B534F8">
      <w:pPr>
        <w:numPr>
          <w:ilvl w:val="0"/>
          <w:numId w:val="40"/>
        </w:numPr>
        <w:tabs>
          <w:tab w:val="left" w:pos="720"/>
        </w:tabs>
        <w:spacing w:before="120" w:line="360" w:lineRule="auto"/>
        <w:jc w:val="both"/>
        <w:rPr>
          <w:rFonts w:ascii="Times New Roman" w:hAnsi="Times New Roman" w:cs="Times New Roman"/>
        </w:rPr>
      </w:pPr>
      <w:r>
        <w:rPr>
          <w:rFonts w:ascii="Times New Roman" w:hAnsi="Times New Roman" w:cs="Times New Roman"/>
        </w:rPr>
        <w:t xml:space="preserve">    937,6 mil. Sk prevod AÚV a prémie do príjmov štátneho rozpočtu,</w:t>
      </w:r>
    </w:p>
    <w:p w:rsidR="00B534F8" w:rsidP="00B534F8">
      <w:pPr>
        <w:numPr>
          <w:ilvl w:val="0"/>
          <w:numId w:val="40"/>
        </w:numPr>
        <w:tabs>
          <w:tab w:val="left" w:pos="720"/>
        </w:tabs>
        <w:spacing w:before="120" w:line="360" w:lineRule="auto"/>
        <w:jc w:val="both"/>
        <w:rPr>
          <w:rFonts w:ascii="Times New Roman" w:hAnsi="Times New Roman" w:cs="Times New Roman"/>
        </w:rPr>
      </w:pPr>
      <w:r>
        <w:rPr>
          <w:rFonts w:ascii="Times New Roman" w:hAnsi="Times New Roman" w:cs="Times New Roman"/>
        </w:rPr>
        <w:t xml:space="preserve">     64,7 mil. Sk prevod výnosu z obchodu FX-Swap do príjmov štátneho rozpočtu.     </w:t>
      </w:r>
    </w:p>
    <w:p w:rsidR="00B534F8" w:rsidP="00B534F8">
      <w:pPr>
        <w:spacing w:before="120" w:line="360" w:lineRule="auto"/>
        <w:jc w:val="both"/>
        <w:rPr>
          <w:rFonts w:ascii="Times New Roman" w:hAnsi="Times New Roman" w:cs="Times New Roman"/>
        </w:rPr>
      </w:pPr>
      <w:r>
        <w:rPr>
          <w:rFonts w:ascii="Times New Roman" w:hAnsi="Times New Roman" w:cs="Times New Roman"/>
        </w:rPr>
        <w:t>Zostatok na účte k 31.12.2006 bol 31 699,5</w:t>
      </w:r>
      <w:r w:rsidRPr="002C1636">
        <w:rPr>
          <w:rFonts w:ascii="Times New Roman" w:hAnsi="Times New Roman" w:cs="Times New Roman"/>
        </w:rPr>
        <w:t xml:space="preserve"> mil. Sk.</w:t>
      </w:r>
    </w:p>
    <w:p w:rsidR="00B534F8" w:rsidRPr="002C1636" w:rsidP="00B534F8">
      <w:pPr>
        <w:spacing w:before="120" w:line="360" w:lineRule="auto"/>
        <w:jc w:val="both"/>
        <w:rPr>
          <w:rFonts w:ascii="Times New Roman" w:hAnsi="Times New Roman" w:cs="Times New Roman"/>
        </w:rPr>
      </w:pPr>
    </w:p>
    <w:p w:rsidR="00B534F8" w:rsidP="00B534F8">
      <w:pPr>
        <w:spacing w:before="120" w:line="360" w:lineRule="auto"/>
        <w:jc w:val="both"/>
        <w:rPr>
          <w:rFonts w:ascii="Times New Roman" w:hAnsi="Times New Roman" w:cs="Times New Roman"/>
        </w:rPr>
      </w:pPr>
      <w:r>
        <w:rPr>
          <w:rFonts w:ascii="Times New Roman" w:hAnsi="Times New Roman" w:cs="Times New Roman"/>
          <w:i/>
        </w:rPr>
        <w:t>Účet USD</w:t>
      </w:r>
      <w:r w:rsidRPr="00A275EE">
        <w:rPr>
          <w:rFonts w:ascii="Times New Roman" w:hAnsi="Times New Roman" w:cs="Times New Roman"/>
          <w:i/>
        </w:rPr>
        <w:t xml:space="preserve"> pre operácie ARDAL Štátny dlh</w:t>
      </w:r>
      <w:r>
        <w:rPr>
          <w:rFonts w:ascii="Times New Roman" w:hAnsi="Times New Roman" w:cs="Times New Roman"/>
          <w:i/>
        </w:rPr>
        <w:t xml:space="preserve">: </w:t>
      </w:r>
      <w:r w:rsidRPr="0055046E">
        <w:rPr>
          <w:rFonts w:ascii="Times New Roman" w:hAnsi="Times New Roman" w:cs="Times New Roman"/>
        </w:rPr>
        <w:t>nevykazova</w:t>
      </w:r>
      <w:r w:rsidRPr="00180976">
        <w:rPr>
          <w:rFonts w:ascii="Times New Roman" w:hAnsi="Times New Roman" w:cs="Times New Roman"/>
        </w:rPr>
        <w:t xml:space="preserve">l </w:t>
      </w:r>
      <w:r>
        <w:rPr>
          <w:rFonts w:ascii="Times New Roman" w:hAnsi="Times New Roman" w:cs="Times New Roman"/>
        </w:rPr>
        <w:t xml:space="preserve">k 1.1.2006 žiadny začiatočný stav. Na účet boli prijaté peňažné prostriedky v celkovej sume 16 954,8 mil. Sk: </w:t>
      </w:r>
    </w:p>
    <w:p w:rsidR="00B534F8" w:rsidP="00B534F8">
      <w:pPr>
        <w:numPr>
          <w:ilvl w:val="0"/>
          <w:numId w:val="41"/>
        </w:numPr>
        <w:tabs>
          <w:tab w:val="left" w:pos="720"/>
        </w:tabs>
        <w:spacing w:before="120" w:line="360" w:lineRule="auto"/>
        <w:jc w:val="both"/>
        <w:rPr>
          <w:rFonts w:ascii="Times New Roman" w:hAnsi="Times New Roman" w:cs="Times New Roman"/>
        </w:rPr>
      </w:pPr>
      <w:r>
        <w:rPr>
          <w:rFonts w:ascii="Times New Roman" w:hAnsi="Times New Roman" w:cs="Times New Roman"/>
        </w:rPr>
        <w:t xml:space="preserve">5,1 mil. Sk čerpanie tranží úverov, </w:t>
      </w:r>
    </w:p>
    <w:p w:rsidR="00B534F8" w:rsidP="00B534F8">
      <w:pPr>
        <w:numPr>
          <w:ilvl w:val="0"/>
          <w:numId w:val="41"/>
        </w:numPr>
        <w:tabs>
          <w:tab w:val="left" w:pos="720"/>
        </w:tabs>
        <w:spacing w:before="120" w:line="360" w:lineRule="auto"/>
        <w:jc w:val="both"/>
        <w:rPr>
          <w:rFonts w:ascii="Times New Roman" w:hAnsi="Times New Roman" w:cs="Times New Roman"/>
        </w:rPr>
      </w:pPr>
      <w:r>
        <w:rPr>
          <w:rFonts w:ascii="Times New Roman" w:hAnsi="Times New Roman" w:cs="Times New Roman"/>
        </w:rPr>
        <w:t xml:space="preserve">10 546,5 mil. Sk úhrada pôžičiek  od komerčných bánk, </w:t>
      </w:r>
    </w:p>
    <w:p w:rsidR="00B534F8" w:rsidP="00B534F8">
      <w:pPr>
        <w:numPr>
          <w:ilvl w:val="0"/>
          <w:numId w:val="41"/>
        </w:numPr>
        <w:tabs>
          <w:tab w:val="left" w:pos="720"/>
        </w:tabs>
        <w:spacing w:before="120" w:line="360" w:lineRule="auto"/>
        <w:jc w:val="both"/>
        <w:rPr>
          <w:rFonts w:ascii="Times New Roman" w:hAnsi="Times New Roman" w:cs="Times New Roman"/>
        </w:rPr>
      </w:pPr>
      <w:r>
        <w:rPr>
          <w:rFonts w:ascii="Times New Roman" w:hAnsi="Times New Roman" w:cs="Times New Roman"/>
        </w:rPr>
        <w:t xml:space="preserve">216,0 mil. Sk úroky z pôžičiek od komerčných bánk, </w:t>
      </w:r>
    </w:p>
    <w:p w:rsidR="00B534F8" w:rsidP="00B534F8">
      <w:pPr>
        <w:numPr>
          <w:ilvl w:val="0"/>
          <w:numId w:val="41"/>
        </w:numPr>
        <w:tabs>
          <w:tab w:val="left" w:pos="720"/>
        </w:tabs>
        <w:spacing w:before="120" w:line="360" w:lineRule="auto"/>
        <w:jc w:val="both"/>
        <w:rPr>
          <w:rFonts w:ascii="Times New Roman" w:hAnsi="Times New Roman" w:cs="Times New Roman"/>
        </w:rPr>
      </w:pPr>
      <w:r>
        <w:rPr>
          <w:rFonts w:ascii="Times New Roman" w:hAnsi="Times New Roman" w:cs="Times New Roman"/>
        </w:rPr>
        <w:t xml:space="preserve">6 069,6 mil. Sk konverzia SKK/USD. </w:t>
      </w:r>
    </w:p>
    <w:p w:rsidR="00B534F8" w:rsidP="00B534F8">
      <w:pPr>
        <w:numPr>
          <w:ilvl w:val="0"/>
          <w:numId w:val="41"/>
        </w:numPr>
        <w:tabs>
          <w:tab w:val="left" w:pos="720"/>
        </w:tabs>
        <w:spacing w:before="120" w:line="360" w:lineRule="auto"/>
        <w:jc w:val="both"/>
        <w:rPr>
          <w:rFonts w:ascii="Times New Roman" w:hAnsi="Times New Roman" w:cs="Times New Roman"/>
        </w:rPr>
      </w:pPr>
      <w:r>
        <w:rPr>
          <w:rFonts w:ascii="Times New Roman" w:hAnsi="Times New Roman" w:cs="Times New Roman"/>
        </w:rPr>
        <w:t xml:space="preserve"> kurzové rozdiely 117,6 mil. Sk.</w:t>
      </w:r>
    </w:p>
    <w:p w:rsidR="00B534F8" w:rsidP="00B534F8">
      <w:pPr>
        <w:spacing w:before="120" w:line="360" w:lineRule="auto"/>
        <w:jc w:val="both"/>
        <w:rPr>
          <w:rFonts w:ascii="Times New Roman" w:hAnsi="Times New Roman" w:cs="Times New Roman"/>
        </w:rPr>
      </w:pPr>
      <w:r>
        <w:rPr>
          <w:rFonts w:ascii="Times New Roman" w:hAnsi="Times New Roman" w:cs="Times New Roman"/>
        </w:rPr>
        <w:t xml:space="preserve"> Z účtu boli realizované platby spolu 16 954,8 mil. Sk, ktoré predstavujú: </w:t>
      </w:r>
    </w:p>
    <w:p w:rsidR="00B534F8" w:rsidP="00B534F8">
      <w:pPr>
        <w:numPr>
          <w:ilvl w:val="0"/>
          <w:numId w:val="42"/>
        </w:numPr>
        <w:tabs>
          <w:tab w:val="left" w:pos="780"/>
        </w:tabs>
        <w:spacing w:before="120" w:line="360" w:lineRule="auto"/>
        <w:jc w:val="both"/>
        <w:rPr>
          <w:rFonts w:ascii="Times New Roman" w:hAnsi="Times New Roman" w:cs="Times New Roman"/>
        </w:rPr>
      </w:pPr>
      <w:r>
        <w:rPr>
          <w:rFonts w:ascii="Times New Roman" w:hAnsi="Times New Roman" w:cs="Times New Roman"/>
        </w:rPr>
        <w:t>11 554,0 mil. Sk  pôžičky tuzemským bankám a zahraničnej banke,</w:t>
      </w:r>
    </w:p>
    <w:p w:rsidR="00B534F8" w:rsidP="00B534F8">
      <w:pPr>
        <w:numPr>
          <w:ilvl w:val="0"/>
          <w:numId w:val="42"/>
        </w:numPr>
        <w:tabs>
          <w:tab w:val="left" w:pos="780"/>
        </w:tabs>
        <w:spacing w:before="120" w:line="360" w:lineRule="auto"/>
        <w:jc w:val="both"/>
        <w:rPr>
          <w:rFonts w:ascii="Times New Roman" w:hAnsi="Times New Roman" w:cs="Times New Roman"/>
        </w:rPr>
      </w:pPr>
      <w:r>
        <w:rPr>
          <w:rFonts w:ascii="Times New Roman" w:hAnsi="Times New Roman" w:cs="Times New Roman"/>
        </w:rPr>
        <w:t xml:space="preserve">5 400,8 mil. Sk  konverzie cudzích mien ( USD/SKK, USD/EUR ).  </w:t>
      </w:r>
    </w:p>
    <w:p w:rsidR="00B534F8" w:rsidRPr="00DA3B8E" w:rsidP="00B534F8">
      <w:pPr>
        <w:spacing w:before="120" w:line="360" w:lineRule="auto"/>
        <w:ind w:left="60"/>
        <w:jc w:val="both"/>
        <w:rPr>
          <w:rFonts w:ascii="Times New Roman" w:hAnsi="Times New Roman" w:cs="Times New Roman"/>
        </w:rPr>
      </w:pPr>
      <w:r>
        <w:rPr>
          <w:rFonts w:ascii="Times New Roman" w:hAnsi="Times New Roman" w:cs="Times New Roman"/>
        </w:rPr>
        <w:t xml:space="preserve">Tento účet k 31.12.2006 nevykazoval konečný zostatok.  </w:t>
      </w:r>
    </w:p>
    <w:p w:rsidR="00B534F8" w:rsidRPr="00271C03" w:rsidP="00B534F8">
      <w:pPr>
        <w:spacing w:before="120" w:line="360" w:lineRule="auto"/>
        <w:jc w:val="both"/>
        <w:rPr>
          <w:rFonts w:ascii="Times New Roman" w:hAnsi="Times New Roman" w:cs="Times New Roman"/>
        </w:rPr>
      </w:pPr>
    </w:p>
    <w:p w:rsidR="00B534F8" w:rsidP="00B534F8">
      <w:pPr>
        <w:spacing w:before="120" w:line="360" w:lineRule="auto"/>
        <w:jc w:val="both"/>
        <w:rPr>
          <w:rFonts w:ascii="Times New Roman" w:hAnsi="Times New Roman" w:cs="Times New Roman"/>
        </w:rPr>
      </w:pPr>
      <w:r w:rsidRPr="00A275EE">
        <w:rPr>
          <w:rFonts w:ascii="Times New Roman" w:hAnsi="Times New Roman" w:cs="Times New Roman"/>
          <w:i/>
        </w:rPr>
        <w:t>Účet E</w:t>
      </w:r>
      <w:r>
        <w:rPr>
          <w:rFonts w:ascii="Times New Roman" w:hAnsi="Times New Roman" w:cs="Times New Roman"/>
          <w:i/>
        </w:rPr>
        <w:t>U</w:t>
      </w:r>
      <w:r w:rsidRPr="00A275EE">
        <w:rPr>
          <w:rFonts w:ascii="Times New Roman" w:hAnsi="Times New Roman" w:cs="Times New Roman"/>
          <w:i/>
        </w:rPr>
        <w:t>R pre operácie ARDAL Štátny dlh</w:t>
      </w:r>
      <w:r>
        <w:rPr>
          <w:rFonts w:ascii="Times New Roman" w:hAnsi="Times New Roman" w:cs="Times New Roman"/>
          <w:i/>
        </w:rPr>
        <w:t xml:space="preserve">: </w:t>
      </w:r>
      <w:r w:rsidRPr="00A275EE">
        <w:rPr>
          <w:rFonts w:ascii="Times New Roman" w:hAnsi="Times New Roman" w:cs="Times New Roman"/>
        </w:rPr>
        <w:t>stav</w:t>
      </w:r>
      <w:r w:rsidRPr="00105636">
        <w:rPr>
          <w:rFonts w:ascii="Times New Roman" w:hAnsi="Times New Roman" w:cs="Times New Roman"/>
        </w:rPr>
        <w:t xml:space="preserve"> na ú</w:t>
      </w:r>
      <w:r>
        <w:rPr>
          <w:rFonts w:ascii="Times New Roman" w:hAnsi="Times New Roman" w:cs="Times New Roman"/>
        </w:rPr>
        <w:t>čte k 1.1.2006 bol 14,9</w:t>
      </w:r>
      <w:r w:rsidRPr="00105636">
        <w:rPr>
          <w:rFonts w:ascii="Times New Roman" w:hAnsi="Times New Roman" w:cs="Times New Roman"/>
        </w:rPr>
        <w:t xml:space="preserve"> mil. Sk. </w:t>
      </w:r>
      <w:r>
        <w:rPr>
          <w:rFonts w:ascii="Times New Roman" w:hAnsi="Times New Roman" w:cs="Times New Roman"/>
        </w:rPr>
        <w:t>Na účet boli prijaté peňažné prostriedky</w:t>
      </w:r>
      <w:r w:rsidRPr="00105636">
        <w:rPr>
          <w:rFonts w:ascii="Times New Roman" w:hAnsi="Times New Roman" w:cs="Times New Roman"/>
        </w:rPr>
        <w:t xml:space="preserve"> </w:t>
      </w:r>
      <w:r>
        <w:rPr>
          <w:rFonts w:ascii="Times New Roman" w:hAnsi="Times New Roman" w:cs="Times New Roman"/>
        </w:rPr>
        <w:t xml:space="preserve"> v sume 124 272,2 mil. Sk, ktoré  </w:t>
      </w:r>
      <w:r w:rsidRPr="00105636">
        <w:rPr>
          <w:rFonts w:ascii="Times New Roman" w:hAnsi="Times New Roman" w:cs="Times New Roman"/>
        </w:rPr>
        <w:t>tvorili</w:t>
      </w:r>
      <w:r>
        <w:rPr>
          <w:rFonts w:ascii="Times New Roman" w:hAnsi="Times New Roman" w:cs="Times New Roman"/>
        </w:rPr>
        <w:t>:</w:t>
      </w:r>
      <w:r w:rsidRPr="00105636">
        <w:rPr>
          <w:rFonts w:ascii="Times New Roman" w:hAnsi="Times New Roman" w:cs="Times New Roman"/>
        </w:rPr>
        <w:t xml:space="preserve"> </w:t>
      </w:r>
    </w:p>
    <w:p w:rsidR="00B534F8" w:rsidP="00B534F8">
      <w:pPr>
        <w:numPr>
          <w:ilvl w:val="0"/>
          <w:numId w:val="43"/>
        </w:numPr>
        <w:tabs>
          <w:tab w:val="left" w:pos="720"/>
        </w:tabs>
        <w:spacing w:before="120" w:line="360" w:lineRule="auto"/>
        <w:jc w:val="both"/>
        <w:rPr>
          <w:rFonts w:ascii="Times New Roman" w:hAnsi="Times New Roman" w:cs="Times New Roman"/>
        </w:rPr>
      </w:pPr>
      <w:r>
        <w:rPr>
          <w:rFonts w:ascii="Times New Roman" w:hAnsi="Times New Roman" w:cs="Times New Roman"/>
        </w:rPr>
        <w:t xml:space="preserve">976 ,0 mil. Sk </w:t>
      </w:r>
      <w:r w:rsidRPr="00105636">
        <w:rPr>
          <w:rFonts w:ascii="Times New Roman" w:hAnsi="Times New Roman" w:cs="Times New Roman"/>
        </w:rPr>
        <w:t>čerpa</w:t>
      </w:r>
      <w:r>
        <w:rPr>
          <w:rFonts w:ascii="Times New Roman" w:hAnsi="Times New Roman" w:cs="Times New Roman"/>
        </w:rPr>
        <w:t>nie tranží úverov</w:t>
      </w:r>
      <w:r w:rsidRPr="00105636">
        <w:rPr>
          <w:rFonts w:ascii="Times New Roman" w:hAnsi="Times New Roman" w:cs="Times New Roman"/>
        </w:rPr>
        <w:t xml:space="preserve">, </w:t>
      </w:r>
      <w:r>
        <w:rPr>
          <w:rFonts w:ascii="Times New Roman" w:hAnsi="Times New Roman" w:cs="Times New Roman"/>
        </w:rPr>
        <w:t xml:space="preserve"> </w:t>
      </w:r>
    </w:p>
    <w:p w:rsidR="00B534F8" w:rsidP="00B534F8">
      <w:pPr>
        <w:numPr>
          <w:ilvl w:val="0"/>
          <w:numId w:val="43"/>
        </w:numPr>
        <w:tabs>
          <w:tab w:val="left" w:pos="720"/>
        </w:tabs>
        <w:spacing w:before="120" w:line="360" w:lineRule="auto"/>
        <w:jc w:val="both"/>
        <w:rPr>
          <w:rFonts w:ascii="Times New Roman" w:hAnsi="Times New Roman" w:cs="Times New Roman"/>
        </w:rPr>
      </w:pPr>
      <w:r>
        <w:rPr>
          <w:rFonts w:ascii="Times New Roman" w:hAnsi="Times New Roman" w:cs="Times New Roman"/>
        </w:rPr>
        <w:t xml:space="preserve">37 363,1 mil. Sk emisia  zahraničných štátnych dlhopisov , </w:t>
      </w:r>
    </w:p>
    <w:p w:rsidR="00B534F8" w:rsidP="00B534F8">
      <w:pPr>
        <w:numPr>
          <w:ilvl w:val="0"/>
          <w:numId w:val="43"/>
        </w:numPr>
        <w:tabs>
          <w:tab w:val="left" w:pos="720"/>
        </w:tabs>
        <w:spacing w:before="120" w:line="360" w:lineRule="auto"/>
        <w:jc w:val="both"/>
        <w:rPr>
          <w:rFonts w:ascii="Times New Roman" w:hAnsi="Times New Roman" w:cs="Times New Roman"/>
        </w:rPr>
      </w:pPr>
      <w:r>
        <w:rPr>
          <w:rFonts w:ascii="Times New Roman" w:hAnsi="Times New Roman" w:cs="Times New Roman"/>
        </w:rPr>
        <w:t>44 876,3 mil. Sk úhrada pôžičiek od komerčných bánk ,</w:t>
      </w:r>
    </w:p>
    <w:p w:rsidR="00B534F8" w:rsidP="00B534F8">
      <w:pPr>
        <w:numPr>
          <w:ilvl w:val="0"/>
          <w:numId w:val="43"/>
        </w:numPr>
        <w:tabs>
          <w:tab w:val="left" w:pos="720"/>
        </w:tabs>
        <w:spacing w:before="120" w:line="360" w:lineRule="auto"/>
        <w:jc w:val="both"/>
        <w:rPr>
          <w:rFonts w:ascii="Times New Roman" w:hAnsi="Times New Roman" w:cs="Times New Roman"/>
        </w:rPr>
      </w:pPr>
      <w:r>
        <w:rPr>
          <w:rFonts w:ascii="Times New Roman" w:hAnsi="Times New Roman" w:cs="Times New Roman"/>
        </w:rPr>
        <w:t>l 82,5 mil. Sk úroky z pôžičiek od komerčných bánk,</w:t>
      </w:r>
    </w:p>
    <w:p w:rsidR="00B534F8" w:rsidP="00B534F8">
      <w:pPr>
        <w:numPr>
          <w:ilvl w:val="0"/>
          <w:numId w:val="43"/>
        </w:numPr>
        <w:tabs>
          <w:tab w:val="left" w:pos="720"/>
        </w:tabs>
        <w:spacing w:before="120" w:line="360" w:lineRule="auto"/>
        <w:jc w:val="both"/>
        <w:rPr>
          <w:rFonts w:ascii="Times New Roman" w:hAnsi="Times New Roman" w:cs="Times New Roman"/>
        </w:rPr>
      </w:pPr>
      <w:r>
        <w:rPr>
          <w:rFonts w:ascii="Times New Roman" w:hAnsi="Times New Roman" w:cs="Times New Roman"/>
        </w:rPr>
        <w:t>30 789,5 mil. Sk konverzie cudzích mien ( USD/EUR, SKK/EUR )</w:t>
      </w:r>
    </w:p>
    <w:p w:rsidR="00B534F8" w:rsidP="00B534F8">
      <w:pPr>
        <w:numPr>
          <w:ilvl w:val="0"/>
          <w:numId w:val="43"/>
        </w:numPr>
        <w:tabs>
          <w:tab w:val="left" w:pos="720"/>
        </w:tabs>
        <w:spacing w:before="120" w:line="360" w:lineRule="auto"/>
        <w:jc w:val="both"/>
        <w:rPr>
          <w:rFonts w:ascii="Times New Roman" w:hAnsi="Times New Roman" w:cs="Times New Roman"/>
        </w:rPr>
      </w:pPr>
      <w:r>
        <w:rPr>
          <w:rFonts w:ascii="Times New Roman" w:hAnsi="Times New Roman" w:cs="Times New Roman"/>
        </w:rPr>
        <w:t xml:space="preserve">  9 369,3 mil. Sk pôžičky od ŠP z refinančného systému,</w:t>
      </w:r>
    </w:p>
    <w:p w:rsidR="00B534F8" w:rsidP="00B534F8">
      <w:pPr>
        <w:numPr>
          <w:ilvl w:val="0"/>
          <w:numId w:val="43"/>
        </w:numPr>
        <w:tabs>
          <w:tab w:val="left" w:pos="720"/>
        </w:tabs>
        <w:spacing w:before="120" w:line="360" w:lineRule="auto"/>
        <w:jc w:val="both"/>
        <w:rPr>
          <w:rFonts w:ascii="Times New Roman" w:hAnsi="Times New Roman" w:cs="Times New Roman"/>
        </w:rPr>
      </w:pPr>
      <w:r w:rsidR="00524382">
        <w:rPr>
          <w:rFonts w:ascii="Times New Roman" w:hAnsi="Times New Roman" w:cs="Times New Roman"/>
        </w:rPr>
        <w:t xml:space="preserve"> </w:t>
      </w:r>
      <w:r>
        <w:rPr>
          <w:rFonts w:ascii="Times New Roman" w:hAnsi="Times New Roman" w:cs="Times New Roman"/>
        </w:rPr>
        <w:t xml:space="preserve">715,5 mil. Sk pôžičky od Všeobecnej úverovej banky, a.s. </w:t>
      </w:r>
    </w:p>
    <w:p w:rsidR="00B534F8" w:rsidP="00B534F8">
      <w:pPr>
        <w:spacing w:before="120" w:line="360" w:lineRule="auto"/>
        <w:jc w:val="both"/>
        <w:rPr>
          <w:rFonts w:ascii="Times New Roman" w:hAnsi="Times New Roman" w:cs="Times New Roman"/>
        </w:rPr>
      </w:pPr>
      <w:r>
        <w:rPr>
          <w:rFonts w:ascii="Times New Roman" w:hAnsi="Times New Roman" w:cs="Times New Roman"/>
        </w:rPr>
        <w:t xml:space="preserve">Z účtu  bolo uhradených </w:t>
      </w:r>
      <w:r w:rsidRPr="00105636">
        <w:rPr>
          <w:rFonts w:ascii="Times New Roman" w:hAnsi="Times New Roman" w:cs="Times New Roman"/>
        </w:rPr>
        <w:t xml:space="preserve"> </w:t>
      </w:r>
      <w:r>
        <w:rPr>
          <w:rFonts w:ascii="Times New Roman" w:hAnsi="Times New Roman" w:cs="Times New Roman"/>
        </w:rPr>
        <w:t xml:space="preserve"> 124 236,2 mil. Sk, ktoré predstavujú: </w:t>
      </w:r>
    </w:p>
    <w:p w:rsidR="00B534F8" w:rsidP="00B534F8">
      <w:pPr>
        <w:numPr>
          <w:ilvl w:val="0"/>
          <w:numId w:val="45"/>
        </w:numPr>
        <w:tabs>
          <w:tab w:val="left" w:pos="720"/>
        </w:tabs>
        <w:spacing w:before="120" w:line="360" w:lineRule="auto"/>
        <w:jc w:val="both"/>
        <w:rPr>
          <w:rFonts w:ascii="Times New Roman" w:hAnsi="Times New Roman" w:cs="Times New Roman"/>
        </w:rPr>
      </w:pPr>
      <w:r>
        <w:rPr>
          <w:rFonts w:ascii="Times New Roman" w:hAnsi="Times New Roman" w:cs="Times New Roman"/>
        </w:rPr>
        <w:t>4 591,2</w:t>
      </w:r>
      <w:r w:rsidRPr="00105636">
        <w:rPr>
          <w:rFonts w:ascii="Times New Roman" w:hAnsi="Times New Roman" w:cs="Times New Roman"/>
        </w:rPr>
        <w:t xml:space="preserve"> mil. Sk poplatky a úroky, ktorých ekvivalent bol preúčtovaný z výdavkového účtu na korunový účet ostatné operácie ARDAL Štátny dl</w:t>
      </w:r>
      <w:r>
        <w:rPr>
          <w:rFonts w:ascii="Times New Roman" w:hAnsi="Times New Roman" w:cs="Times New Roman"/>
        </w:rPr>
        <w:t xml:space="preserve">h,  </w:t>
      </w:r>
    </w:p>
    <w:p w:rsidR="00B534F8" w:rsidP="00B534F8">
      <w:pPr>
        <w:numPr>
          <w:ilvl w:val="0"/>
          <w:numId w:val="44"/>
        </w:numPr>
        <w:tabs>
          <w:tab w:val="left" w:pos="720"/>
        </w:tabs>
        <w:spacing w:before="120" w:line="360" w:lineRule="auto"/>
        <w:jc w:val="both"/>
        <w:rPr>
          <w:rFonts w:ascii="Times New Roman" w:hAnsi="Times New Roman" w:cs="Times New Roman"/>
        </w:rPr>
      </w:pPr>
      <w:r>
        <w:rPr>
          <w:rFonts w:ascii="Times New Roman" w:hAnsi="Times New Roman" w:cs="Times New Roman"/>
        </w:rPr>
        <w:t>8 025,6</w:t>
      </w:r>
      <w:r w:rsidRPr="00105636">
        <w:rPr>
          <w:rFonts w:ascii="Times New Roman" w:hAnsi="Times New Roman" w:cs="Times New Roman"/>
        </w:rPr>
        <w:t xml:space="preserve"> mil. </w:t>
      </w:r>
      <w:r>
        <w:rPr>
          <w:rFonts w:ascii="Times New Roman" w:hAnsi="Times New Roman" w:cs="Times New Roman"/>
        </w:rPr>
        <w:t xml:space="preserve">Sk úhrada istín úverov,  </w:t>
      </w:r>
    </w:p>
    <w:p w:rsidR="00B534F8" w:rsidP="00B534F8">
      <w:pPr>
        <w:numPr>
          <w:ilvl w:val="0"/>
          <w:numId w:val="44"/>
        </w:numPr>
        <w:tabs>
          <w:tab w:val="left" w:pos="720"/>
        </w:tabs>
        <w:spacing w:before="120" w:line="360" w:lineRule="auto"/>
        <w:jc w:val="both"/>
        <w:rPr>
          <w:rFonts w:ascii="Times New Roman" w:hAnsi="Times New Roman" w:cs="Times New Roman"/>
        </w:rPr>
      </w:pPr>
      <w:r>
        <w:rPr>
          <w:rFonts w:ascii="Times New Roman" w:hAnsi="Times New Roman" w:cs="Times New Roman"/>
        </w:rPr>
        <w:t>31 388,2</w:t>
      </w:r>
      <w:r w:rsidRPr="00105636">
        <w:rPr>
          <w:rFonts w:ascii="Times New Roman" w:hAnsi="Times New Roman" w:cs="Times New Roman"/>
        </w:rPr>
        <w:t xml:space="preserve"> m</w:t>
      </w:r>
      <w:r>
        <w:rPr>
          <w:rFonts w:ascii="Times New Roman" w:hAnsi="Times New Roman" w:cs="Times New Roman"/>
        </w:rPr>
        <w:t xml:space="preserve">il. Sk vysporiadanie obchodu FX-Swap,  </w:t>
      </w:r>
    </w:p>
    <w:p w:rsidR="00B534F8" w:rsidP="00B534F8">
      <w:pPr>
        <w:numPr>
          <w:ilvl w:val="0"/>
          <w:numId w:val="44"/>
        </w:numPr>
        <w:tabs>
          <w:tab w:val="left" w:pos="720"/>
        </w:tabs>
        <w:spacing w:before="120" w:line="360" w:lineRule="auto"/>
        <w:jc w:val="both"/>
        <w:rPr>
          <w:rFonts w:ascii="Times New Roman" w:hAnsi="Times New Roman" w:cs="Times New Roman"/>
        </w:rPr>
      </w:pPr>
      <w:r>
        <w:rPr>
          <w:rFonts w:ascii="Times New Roman" w:hAnsi="Times New Roman" w:cs="Times New Roman"/>
        </w:rPr>
        <w:t>10 167,3</w:t>
      </w:r>
      <w:r w:rsidRPr="00105636">
        <w:rPr>
          <w:rFonts w:ascii="Times New Roman" w:hAnsi="Times New Roman" w:cs="Times New Roman"/>
        </w:rPr>
        <w:t xml:space="preserve"> mil. </w:t>
      </w:r>
      <w:r>
        <w:rPr>
          <w:rFonts w:ascii="Times New Roman" w:hAnsi="Times New Roman" w:cs="Times New Roman"/>
        </w:rPr>
        <w:t xml:space="preserve">Sk  splátky pôžičiek od Štátnej pokladnice z refinančných obchodov, </w:t>
      </w:r>
    </w:p>
    <w:p w:rsidR="00B534F8" w:rsidP="00B534F8">
      <w:pPr>
        <w:numPr>
          <w:ilvl w:val="0"/>
          <w:numId w:val="44"/>
        </w:numPr>
        <w:tabs>
          <w:tab w:val="left" w:pos="720"/>
        </w:tabs>
        <w:spacing w:before="120" w:line="360" w:lineRule="auto"/>
        <w:jc w:val="both"/>
        <w:rPr>
          <w:rFonts w:ascii="Times New Roman" w:hAnsi="Times New Roman" w:cs="Times New Roman"/>
        </w:rPr>
      </w:pPr>
      <w:r>
        <w:rPr>
          <w:rFonts w:ascii="Times New Roman" w:hAnsi="Times New Roman" w:cs="Times New Roman"/>
        </w:rPr>
        <w:t xml:space="preserve"> 3 533,7 mil. Sk splátky pôžičiek od Všeobecnej úverovej banky, a.s.,</w:t>
      </w:r>
    </w:p>
    <w:p w:rsidR="00B534F8" w:rsidP="00B534F8">
      <w:pPr>
        <w:numPr>
          <w:ilvl w:val="0"/>
          <w:numId w:val="44"/>
        </w:numPr>
        <w:tabs>
          <w:tab w:val="left" w:pos="720"/>
        </w:tabs>
        <w:spacing w:before="120" w:line="360" w:lineRule="auto"/>
        <w:jc w:val="both"/>
        <w:rPr>
          <w:rFonts w:ascii="Times New Roman" w:hAnsi="Times New Roman" w:cs="Times New Roman"/>
        </w:rPr>
      </w:pPr>
      <w:r>
        <w:rPr>
          <w:rFonts w:ascii="Times New Roman" w:hAnsi="Times New Roman" w:cs="Times New Roman"/>
        </w:rPr>
        <w:t>66 373,2 mil. Sk pôžičky tuzemským bankám a zahraničnej banke (z toho 15 340,1 mil. Sk je cross currency repo so SLSP, a.s.)</w:t>
      </w:r>
      <w:r w:rsidR="00524382">
        <w:rPr>
          <w:rFonts w:ascii="Times New Roman" w:hAnsi="Times New Roman" w:cs="Times New Roman"/>
        </w:rPr>
        <w:t>,</w:t>
      </w:r>
      <w:r>
        <w:rPr>
          <w:rFonts w:ascii="Times New Roman" w:hAnsi="Times New Roman" w:cs="Times New Roman"/>
        </w:rPr>
        <w:t xml:space="preserve"> </w:t>
      </w:r>
    </w:p>
    <w:p w:rsidR="00B534F8" w:rsidP="00B534F8">
      <w:pPr>
        <w:numPr>
          <w:ilvl w:val="0"/>
          <w:numId w:val="44"/>
        </w:numPr>
        <w:tabs>
          <w:tab w:val="left" w:pos="720"/>
        </w:tabs>
        <w:spacing w:before="120" w:line="360" w:lineRule="auto"/>
        <w:jc w:val="both"/>
        <w:rPr>
          <w:rFonts w:ascii="Times New Roman" w:hAnsi="Times New Roman" w:cs="Times New Roman"/>
        </w:rPr>
      </w:pPr>
      <w:r>
        <w:rPr>
          <w:rFonts w:ascii="Times New Roman" w:hAnsi="Times New Roman" w:cs="Times New Roman"/>
        </w:rPr>
        <w:t>157,0 mil. Sk  kurzové rozdiely.</w:t>
      </w:r>
      <w:r w:rsidRPr="00105636">
        <w:rPr>
          <w:rFonts w:ascii="Times New Roman" w:hAnsi="Times New Roman" w:cs="Times New Roman"/>
        </w:rPr>
        <w:t xml:space="preserve">  </w:t>
      </w:r>
    </w:p>
    <w:p w:rsidR="00B534F8" w:rsidRPr="00105636" w:rsidP="00B534F8">
      <w:pPr>
        <w:spacing w:before="120" w:line="360" w:lineRule="auto"/>
        <w:jc w:val="both"/>
        <w:rPr>
          <w:rFonts w:ascii="Times New Roman" w:hAnsi="Times New Roman" w:cs="Times New Roman"/>
        </w:rPr>
      </w:pPr>
      <w:r>
        <w:rPr>
          <w:rFonts w:ascii="Times New Roman" w:hAnsi="Times New Roman" w:cs="Times New Roman"/>
        </w:rPr>
        <w:t>K</w:t>
      </w:r>
      <w:r w:rsidRPr="00105636">
        <w:rPr>
          <w:rFonts w:ascii="Times New Roman" w:hAnsi="Times New Roman" w:cs="Times New Roman"/>
        </w:rPr>
        <w:t> 31.12.200</w:t>
      </w:r>
      <w:r>
        <w:rPr>
          <w:rFonts w:ascii="Times New Roman" w:hAnsi="Times New Roman" w:cs="Times New Roman"/>
        </w:rPr>
        <w:t>6  je stav tohto účtu 50,9 mil. Sk.</w:t>
      </w:r>
    </w:p>
    <w:p w:rsidR="00B534F8" w:rsidP="00B534F8">
      <w:pPr>
        <w:spacing w:line="360" w:lineRule="auto"/>
        <w:jc w:val="both"/>
        <w:rPr>
          <w:rFonts w:ascii="Times New Roman" w:hAnsi="Times New Roman" w:cs="Times New Roman"/>
          <w:i/>
        </w:rPr>
      </w:pPr>
    </w:p>
    <w:p w:rsidR="00B534F8" w:rsidP="00B534F8">
      <w:pPr>
        <w:spacing w:line="360" w:lineRule="auto"/>
        <w:jc w:val="both"/>
        <w:rPr>
          <w:rFonts w:ascii="Times New Roman" w:hAnsi="Times New Roman" w:cs="Times New Roman"/>
        </w:rPr>
      </w:pPr>
      <w:r>
        <w:rPr>
          <w:rFonts w:ascii="Times New Roman" w:hAnsi="Times New Roman" w:cs="Times New Roman"/>
          <w:i/>
        </w:rPr>
        <w:t>Účet JPY</w:t>
      </w:r>
      <w:r w:rsidRPr="00A275EE">
        <w:rPr>
          <w:rFonts w:ascii="Times New Roman" w:hAnsi="Times New Roman" w:cs="Times New Roman"/>
          <w:i/>
        </w:rPr>
        <w:t xml:space="preserve"> pre operácie ARDAL Štátny dlh:</w:t>
      </w:r>
      <w:r>
        <w:rPr>
          <w:rFonts w:ascii="Times New Roman" w:hAnsi="Times New Roman" w:cs="Times New Roman"/>
          <w:i/>
        </w:rPr>
        <w:t xml:space="preserve"> </w:t>
      </w:r>
      <w:r w:rsidRPr="00845E68">
        <w:rPr>
          <w:rFonts w:ascii="Times New Roman" w:hAnsi="Times New Roman" w:cs="Times New Roman"/>
        </w:rPr>
        <w:t xml:space="preserve"> stav na účte k 1.1.2006 b</w:t>
      </w:r>
      <w:r>
        <w:rPr>
          <w:rFonts w:ascii="Times New Roman" w:hAnsi="Times New Roman" w:cs="Times New Roman"/>
        </w:rPr>
        <w:t>ol 3</w:t>
      </w:r>
      <w:r w:rsidRPr="00845E68">
        <w:rPr>
          <w:rFonts w:ascii="Times New Roman" w:hAnsi="Times New Roman" w:cs="Times New Roman"/>
        </w:rPr>
        <w:t>,3 mil. Sk</w:t>
      </w:r>
      <w:r>
        <w:rPr>
          <w:rFonts w:ascii="Times New Roman" w:hAnsi="Times New Roman" w:cs="Times New Roman"/>
          <w:i/>
        </w:rPr>
        <w:t>.</w:t>
      </w:r>
      <w:r w:rsidRPr="00105636">
        <w:rPr>
          <w:rFonts w:ascii="Times New Roman" w:hAnsi="Times New Roman" w:cs="Times New Roman"/>
        </w:rPr>
        <w:t xml:space="preserve"> </w:t>
      </w:r>
      <w:r>
        <w:rPr>
          <w:rFonts w:ascii="Times New Roman" w:hAnsi="Times New Roman" w:cs="Times New Roman"/>
        </w:rPr>
        <w:t>Na účet bol prijaté peňažné prostriedky  v sume 62,5 mil. Sk, ktoré tvorili:</w:t>
      </w:r>
    </w:p>
    <w:p w:rsidR="00B534F8" w:rsidP="00B534F8">
      <w:pPr>
        <w:numPr>
          <w:ilvl w:val="0"/>
          <w:numId w:val="46"/>
        </w:numPr>
        <w:tabs>
          <w:tab w:val="left" w:pos="720"/>
        </w:tabs>
        <w:spacing w:line="360" w:lineRule="auto"/>
        <w:jc w:val="both"/>
        <w:rPr>
          <w:rFonts w:ascii="Times New Roman" w:hAnsi="Times New Roman" w:cs="Times New Roman"/>
        </w:rPr>
      </w:pPr>
      <w:r>
        <w:rPr>
          <w:rFonts w:ascii="Times New Roman" w:hAnsi="Times New Roman" w:cs="Times New Roman"/>
        </w:rPr>
        <w:t>61,9 mil. Sk konverzia SKK/JPY</w:t>
      </w:r>
      <w:r w:rsidRPr="00105636">
        <w:rPr>
          <w:rFonts w:ascii="Times New Roman" w:hAnsi="Times New Roman" w:cs="Times New Roman"/>
        </w:rPr>
        <w:t xml:space="preserve">, </w:t>
      </w:r>
    </w:p>
    <w:p w:rsidR="00B534F8" w:rsidP="00B534F8">
      <w:pPr>
        <w:numPr>
          <w:ilvl w:val="0"/>
          <w:numId w:val="46"/>
        </w:numPr>
        <w:tabs>
          <w:tab w:val="left" w:pos="720"/>
        </w:tabs>
        <w:spacing w:line="360" w:lineRule="auto"/>
        <w:jc w:val="both"/>
        <w:rPr>
          <w:rFonts w:ascii="Times New Roman" w:hAnsi="Times New Roman" w:cs="Times New Roman"/>
        </w:rPr>
      </w:pPr>
      <w:r>
        <w:rPr>
          <w:rFonts w:ascii="Times New Roman" w:hAnsi="Times New Roman" w:cs="Times New Roman"/>
        </w:rPr>
        <w:t>0,6 mil. Sk kurzové rozdiely.</w:t>
      </w:r>
    </w:p>
    <w:p w:rsidR="00B534F8" w:rsidP="00B534F8">
      <w:pPr>
        <w:spacing w:line="360" w:lineRule="auto"/>
        <w:jc w:val="both"/>
        <w:rPr>
          <w:rFonts w:ascii="Times New Roman" w:hAnsi="Times New Roman" w:cs="Times New Roman"/>
        </w:rPr>
      </w:pPr>
      <w:r>
        <w:rPr>
          <w:rFonts w:ascii="Times New Roman" w:hAnsi="Times New Roman" w:cs="Times New Roman"/>
        </w:rPr>
        <w:t xml:space="preserve"> Z účtu boli realizované platby v sume  65,8 mil. Sk, ktoré tvoria: </w:t>
      </w:r>
    </w:p>
    <w:p w:rsidR="00B534F8" w:rsidP="00B534F8">
      <w:pPr>
        <w:numPr>
          <w:ilvl w:val="0"/>
          <w:numId w:val="47"/>
        </w:numPr>
        <w:tabs>
          <w:tab w:val="left" w:pos="720"/>
        </w:tabs>
        <w:spacing w:line="360" w:lineRule="auto"/>
        <w:jc w:val="both"/>
        <w:rPr>
          <w:rFonts w:ascii="Times New Roman" w:hAnsi="Times New Roman" w:cs="Times New Roman"/>
        </w:rPr>
      </w:pPr>
      <w:r>
        <w:rPr>
          <w:rFonts w:ascii="Times New Roman" w:hAnsi="Times New Roman" w:cs="Times New Roman"/>
        </w:rPr>
        <w:t xml:space="preserve">55,2 mil. Sk  úhrada istiny z úveru ERL/JBIC,  </w:t>
      </w:r>
    </w:p>
    <w:p w:rsidR="00B534F8" w:rsidP="00B534F8">
      <w:pPr>
        <w:numPr>
          <w:ilvl w:val="0"/>
          <w:numId w:val="47"/>
        </w:numPr>
        <w:tabs>
          <w:tab w:val="left" w:pos="720"/>
        </w:tabs>
        <w:spacing w:line="360" w:lineRule="auto"/>
        <w:jc w:val="both"/>
        <w:rPr>
          <w:rFonts w:ascii="Times New Roman" w:hAnsi="Times New Roman" w:cs="Times New Roman"/>
        </w:rPr>
      </w:pPr>
      <w:r>
        <w:rPr>
          <w:rFonts w:ascii="Times New Roman" w:hAnsi="Times New Roman" w:cs="Times New Roman"/>
        </w:rPr>
        <w:t>10,6 mil. Sk je</w:t>
      </w:r>
      <w:r w:rsidRPr="00105636">
        <w:rPr>
          <w:rFonts w:ascii="Times New Roman" w:hAnsi="Times New Roman" w:cs="Times New Roman"/>
        </w:rPr>
        <w:t xml:space="preserve">  úhrada úrokov a poplatkov z úveru SLO-P1</w:t>
      </w:r>
      <w:r>
        <w:rPr>
          <w:rFonts w:ascii="Times New Roman" w:hAnsi="Times New Roman" w:cs="Times New Roman"/>
        </w:rPr>
        <w:t xml:space="preserve"> a ERL/JBIC.</w:t>
      </w:r>
    </w:p>
    <w:p w:rsidR="00B534F8" w:rsidRPr="00803B78" w:rsidP="00B534F8">
      <w:pPr>
        <w:spacing w:line="360" w:lineRule="auto"/>
        <w:ind w:left="360"/>
        <w:jc w:val="both"/>
        <w:rPr>
          <w:rFonts w:ascii="Times New Roman" w:hAnsi="Times New Roman" w:cs="Times New Roman"/>
        </w:rPr>
      </w:pPr>
      <w:r>
        <w:rPr>
          <w:rFonts w:ascii="Times New Roman" w:hAnsi="Times New Roman" w:cs="Times New Roman"/>
        </w:rPr>
        <w:t xml:space="preserve"> Zostatok na účte  k 31.12.2006 je nulový.</w:t>
      </w:r>
    </w:p>
    <w:p w:rsidR="00B534F8" w:rsidP="00B534F8">
      <w:pPr>
        <w:spacing w:before="120" w:line="360" w:lineRule="auto"/>
        <w:jc w:val="both"/>
        <w:rPr>
          <w:rFonts w:ascii="Times New Roman" w:hAnsi="Times New Roman" w:cs="Times New Roman"/>
        </w:rPr>
      </w:pPr>
      <w:r>
        <w:rPr>
          <w:rFonts w:ascii="Times New Roman" w:hAnsi="Times New Roman" w:cs="Times New Roman"/>
        </w:rPr>
        <w:t xml:space="preserve">     </w:t>
      </w:r>
      <w:r>
        <w:rPr>
          <w:rFonts w:ascii="Arial Narrow" w:hAnsi="Arial Narrow" w:cs="Times New Roman"/>
        </w:rPr>
        <w:t>•</w:t>
      </w:r>
      <w:r>
        <w:rPr>
          <w:rFonts w:ascii="Times New Roman" w:hAnsi="Times New Roman" w:cs="Times New Roman"/>
        </w:rPr>
        <w:t xml:space="preserve"> b</w:t>
      </w:r>
      <w:r w:rsidRPr="00A275EE">
        <w:rPr>
          <w:rFonts w:ascii="Times New Roman" w:hAnsi="Times New Roman" w:cs="Times New Roman"/>
        </w:rPr>
        <w:t>ilančný účet</w:t>
      </w:r>
      <w:r>
        <w:rPr>
          <w:rFonts w:ascii="Times New Roman" w:hAnsi="Times New Roman" w:cs="Times New Roman"/>
        </w:rPr>
        <w:t>: t</w:t>
      </w:r>
      <w:r w:rsidRPr="00A275EE">
        <w:rPr>
          <w:rFonts w:ascii="Times New Roman" w:hAnsi="Times New Roman" w:cs="Times New Roman"/>
        </w:rPr>
        <w:t xml:space="preserve">ento účet obsahuje schodok štátneho rozpočtu. Jeho </w:t>
      </w:r>
      <w:r>
        <w:rPr>
          <w:rFonts w:ascii="Times New Roman" w:hAnsi="Times New Roman" w:cs="Times New Roman"/>
        </w:rPr>
        <w:t>za</w:t>
      </w:r>
      <w:r w:rsidRPr="00A275EE">
        <w:rPr>
          <w:rFonts w:ascii="Times New Roman" w:hAnsi="Times New Roman" w:cs="Times New Roman"/>
        </w:rPr>
        <w:t>čiatočný stav, schodok</w:t>
      </w:r>
      <w:r w:rsidRPr="00105636">
        <w:rPr>
          <w:rFonts w:ascii="Times New Roman" w:hAnsi="Times New Roman" w:cs="Times New Roman"/>
        </w:rPr>
        <w:t xml:space="preserve"> štátneho rozpočtu za rok 200</w:t>
      </w:r>
      <w:r>
        <w:rPr>
          <w:rFonts w:ascii="Times New Roman" w:hAnsi="Times New Roman" w:cs="Times New Roman"/>
        </w:rPr>
        <w:t>5,</w:t>
      </w:r>
      <w:r w:rsidRPr="00105636">
        <w:rPr>
          <w:rFonts w:ascii="Times New Roman" w:hAnsi="Times New Roman" w:cs="Times New Roman"/>
        </w:rPr>
        <w:t xml:space="preserve"> bol v celej výške </w:t>
      </w:r>
      <w:r>
        <w:rPr>
          <w:rFonts w:ascii="Times New Roman" w:hAnsi="Times New Roman" w:cs="Times New Roman"/>
        </w:rPr>
        <w:t>33 886,3 mil. Sk</w:t>
      </w:r>
      <w:r w:rsidRPr="00105636">
        <w:rPr>
          <w:rFonts w:ascii="Times New Roman" w:hAnsi="Times New Roman" w:cs="Times New Roman"/>
        </w:rPr>
        <w:t xml:space="preserve"> uhradený  prostriedk</w:t>
      </w:r>
      <w:r>
        <w:rPr>
          <w:rFonts w:ascii="Times New Roman" w:hAnsi="Times New Roman" w:cs="Times New Roman"/>
        </w:rPr>
        <w:t>ami</w:t>
      </w:r>
      <w:r w:rsidRPr="00105636">
        <w:rPr>
          <w:rFonts w:ascii="Times New Roman" w:hAnsi="Times New Roman" w:cs="Times New Roman"/>
        </w:rPr>
        <w:t xml:space="preserve"> z prijatých úverov zo zahraničia na krytie schodku štátneho rozpočtu</w:t>
      </w:r>
      <w:r>
        <w:rPr>
          <w:rFonts w:ascii="Times New Roman" w:hAnsi="Times New Roman" w:cs="Times New Roman"/>
        </w:rPr>
        <w:t xml:space="preserve">, </w:t>
      </w:r>
      <w:r w:rsidRPr="00105636">
        <w:rPr>
          <w:rFonts w:ascii="Times New Roman" w:hAnsi="Times New Roman" w:cs="Times New Roman"/>
        </w:rPr>
        <w:t> vydaním štátnych cenných papierov</w:t>
      </w:r>
      <w:r>
        <w:rPr>
          <w:rFonts w:ascii="Times New Roman" w:hAnsi="Times New Roman" w:cs="Times New Roman"/>
        </w:rPr>
        <w:t xml:space="preserve"> a prijatím pôžičiek v roku 2006.  N</w:t>
      </w:r>
      <w:r w:rsidRPr="00105636">
        <w:rPr>
          <w:rFonts w:ascii="Times New Roman" w:hAnsi="Times New Roman" w:cs="Times New Roman"/>
        </w:rPr>
        <w:t>a konci roka</w:t>
      </w:r>
      <w:r>
        <w:rPr>
          <w:rFonts w:ascii="Times New Roman" w:hAnsi="Times New Roman" w:cs="Times New Roman"/>
        </w:rPr>
        <w:t xml:space="preserve"> 2006</w:t>
      </w:r>
      <w:r w:rsidRPr="00105636">
        <w:rPr>
          <w:rFonts w:ascii="Times New Roman" w:hAnsi="Times New Roman" w:cs="Times New Roman"/>
        </w:rPr>
        <w:t xml:space="preserve"> boli na tento účet  zaúčtované zostatky príjmových a výdavkových účtov štátneho rozpočtu a zostatok na účte v sume 3</w:t>
      </w:r>
      <w:r>
        <w:rPr>
          <w:rFonts w:ascii="Times New Roman" w:hAnsi="Times New Roman" w:cs="Times New Roman"/>
        </w:rPr>
        <w:t xml:space="preserve">1 677,9 </w:t>
      </w:r>
      <w:r w:rsidRPr="00105636">
        <w:rPr>
          <w:rFonts w:ascii="Times New Roman" w:hAnsi="Times New Roman" w:cs="Times New Roman"/>
        </w:rPr>
        <w:t xml:space="preserve"> mil. Sk predstavuje schodok štátneho rozpočtu za rok 200</w:t>
      </w:r>
      <w:r>
        <w:rPr>
          <w:rFonts w:ascii="Times New Roman" w:hAnsi="Times New Roman" w:cs="Times New Roman"/>
        </w:rPr>
        <w:t>6</w:t>
      </w:r>
      <w:r w:rsidRPr="00105636">
        <w:rPr>
          <w:rFonts w:ascii="Times New Roman" w:hAnsi="Times New Roman" w:cs="Times New Roman"/>
        </w:rPr>
        <w:t>.</w:t>
      </w:r>
    </w:p>
    <w:p w:rsidR="00E046F6" w:rsidP="00ED032B">
      <w:pPr>
        <w:spacing w:before="120" w:line="360" w:lineRule="auto"/>
        <w:jc w:val="both"/>
        <w:rPr>
          <w:rFonts w:ascii="Times New Roman" w:hAnsi="Times New Roman" w:cs="Times New Roman"/>
        </w:rPr>
      </w:pPr>
      <w:r w:rsidR="00B534F8">
        <w:rPr>
          <w:rFonts w:ascii="Arial Narrow" w:hAnsi="Arial Narrow" w:cs="Times New Roman"/>
        </w:rPr>
        <w:t xml:space="preserve">     •</w:t>
      </w:r>
      <w:r w:rsidR="00B534F8">
        <w:rPr>
          <w:rFonts w:ascii="Times New Roman" w:hAnsi="Times New Roman" w:cs="Times New Roman"/>
        </w:rPr>
        <w:t xml:space="preserve"> účet anonymných vkladov: na tento účet boli prevedené zostatky peňažných prostriedkov zo zrušených vkladov na doručiteľa vo výške 1 242,2 mil. Sk, ktoré  si vkladatelia a iné oprávnené osoby neuplatnili v peňažných ústavoch do 31.12.2006. </w:t>
      </w:r>
    </w:p>
    <w:p w:rsidR="00B534F8" w:rsidP="00ED032B">
      <w:pPr>
        <w:spacing w:before="120" w:line="360" w:lineRule="auto"/>
        <w:jc w:val="both"/>
        <w:rPr>
          <w:rFonts w:ascii="Times New Roman" w:hAnsi="Times New Roman" w:cs="Times New Roman"/>
        </w:rPr>
      </w:pPr>
      <w:r>
        <w:rPr>
          <w:rFonts w:ascii="Times New Roman" w:hAnsi="Times New Roman" w:cs="Times New Roman"/>
        </w:rPr>
        <w:t>Tieto aktíva boli banky povinné previesť k 31.12.</w:t>
      </w:r>
      <w:r w:rsidR="0048644A">
        <w:rPr>
          <w:rFonts w:ascii="Times New Roman" w:hAnsi="Times New Roman" w:cs="Times New Roman"/>
        </w:rPr>
        <w:t>2006 podľa pokynov MF SR na ní</w:t>
      </w:r>
      <w:r>
        <w:rPr>
          <w:rFonts w:ascii="Times New Roman" w:hAnsi="Times New Roman" w:cs="Times New Roman"/>
        </w:rPr>
        <w:t>m určený účet v štátnych finančných aktívach.</w:t>
      </w:r>
    </w:p>
    <w:p w:rsidR="00B143C0" w:rsidP="00ED032B">
      <w:pPr>
        <w:spacing w:before="120" w:line="360" w:lineRule="auto"/>
        <w:jc w:val="both"/>
        <w:rPr>
          <w:rFonts w:ascii="Times New Roman" w:hAnsi="Times New Roman" w:cs="Times New Roman"/>
        </w:rPr>
      </w:pPr>
    </w:p>
    <w:p w:rsidR="00B534F8" w:rsidP="00B534F8">
      <w:pPr>
        <w:spacing w:line="360" w:lineRule="auto"/>
        <w:jc w:val="center"/>
        <w:rPr>
          <w:rFonts w:ascii="Times New Roman" w:hAnsi="Times New Roman" w:cs="Times New Roman"/>
          <w:b/>
        </w:rPr>
      </w:pPr>
      <w:r w:rsidR="00766559">
        <w:rPr>
          <w:rFonts w:ascii="Times New Roman" w:hAnsi="Times New Roman" w:cs="Times New Roman"/>
          <w:b/>
        </w:rPr>
        <w:t>4</w:t>
      </w:r>
      <w:r>
        <w:rPr>
          <w:rFonts w:ascii="Times New Roman" w:hAnsi="Times New Roman" w:cs="Times New Roman"/>
          <w:b/>
        </w:rPr>
        <w:t>.3.1.2. Stav a vývoj krátkodobých finančných investícií</w:t>
      </w:r>
    </w:p>
    <w:p w:rsidR="00B534F8" w:rsidP="00B534F8">
      <w:pPr>
        <w:spacing w:line="360" w:lineRule="auto"/>
        <w:jc w:val="both"/>
        <w:rPr>
          <w:rFonts w:ascii="Times New Roman" w:hAnsi="Times New Roman" w:cs="Times New Roman"/>
          <w:b/>
        </w:rPr>
      </w:pPr>
    </w:p>
    <w:p w:rsidR="00B534F8" w:rsidRPr="00C61278" w:rsidP="00B534F8">
      <w:pPr>
        <w:spacing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Krátkodobé finančné investície v nominálnej hodnote 16 450,0 mil. Sk boli nadobudnuté do portfólia Ministerstva financií SR Agentúrou pre riadenie dlhu a likvidity z peňažných prostriedkov získaných z pôžičkových operácií na peňažnom trhu. Tieto krátkodobé finančné investície súvisia s uskutočneným REPO obchodom typu nákup-spätný predaj so Slovenskou sporiteľňou, a.s. Bratislava zo dňa 3.7.2006. Išlo o nákup štátnych dlhopisov, ktoré sú splatné dňa 3.7.2007.</w:t>
      </w:r>
    </w:p>
    <w:p w:rsidR="00B534F8" w:rsidP="00B534F8">
      <w:pPr>
        <w:spacing w:line="360" w:lineRule="auto"/>
        <w:ind w:firstLine="708"/>
        <w:jc w:val="both"/>
        <w:rPr>
          <w:rFonts w:ascii="Arial Narrow" w:hAnsi="Arial Narrow" w:cs="Times New Roman"/>
          <w:sz w:val="22"/>
          <w:szCs w:val="22"/>
        </w:rPr>
      </w:pPr>
    </w:p>
    <w:p w:rsidR="00B534F8" w:rsidRPr="00405614" w:rsidP="00B534F8">
      <w:pPr>
        <w:jc w:val="center"/>
        <w:rPr>
          <w:rFonts w:ascii="Times New Roman" w:hAnsi="Times New Roman" w:cs="Times New Roman"/>
          <w:b/>
        </w:rPr>
      </w:pPr>
      <w:r w:rsidR="00766559">
        <w:rPr>
          <w:rFonts w:ascii="Times New Roman" w:hAnsi="Times New Roman" w:cs="Times New Roman"/>
          <w:b/>
        </w:rPr>
        <w:t>4</w:t>
      </w:r>
      <w:r w:rsidRPr="00405614">
        <w:rPr>
          <w:rFonts w:ascii="Times New Roman" w:hAnsi="Times New Roman" w:cs="Times New Roman"/>
          <w:b/>
        </w:rPr>
        <w:t>.</w:t>
      </w:r>
      <w:r>
        <w:rPr>
          <w:rFonts w:ascii="Times New Roman" w:hAnsi="Times New Roman" w:cs="Times New Roman"/>
          <w:b/>
        </w:rPr>
        <w:t>3</w:t>
      </w:r>
      <w:r w:rsidRPr="00405614">
        <w:rPr>
          <w:rFonts w:ascii="Times New Roman" w:hAnsi="Times New Roman" w:cs="Times New Roman"/>
          <w:b/>
        </w:rPr>
        <w:t>.1.</w:t>
      </w:r>
      <w:r>
        <w:rPr>
          <w:rFonts w:ascii="Times New Roman" w:hAnsi="Times New Roman" w:cs="Times New Roman"/>
          <w:b/>
        </w:rPr>
        <w:t>3</w:t>
      </w:r>
      <w:r w:rsidR="00766559">
        <w:rPr>
          <w:rFonts w:ascii="Times New Roman" w:hAnsi="Times New Roman" w:cs="Times New Roman"/>
          <w:b/>
        </w:rPr>
        <w:t xml:space="preserve">. </w:t>
      </w:r>
      <w:r w:rsidRPr="00405614">
        <w:rPr>
          <w:rFonts w:ascii="Times New Roman" w:hAnsi="Times New Roman" w:cs="Times New Roman"/>
          <w:b/>
        </w:rPr>
        <w:t>Štátne finančné aktíva voči zahraničiu</w:t>
      </w:r>
    </w:p>
    <w:p w:rsidR="00B534F8" w:rsidP="00B534F8">
      <w:pPr>
        <w:rPr>
          <w:rFonts w:ascii="Times New Roman" w:hAnsi="Times New Roman" w:cs="Times New Roman"/>
          <w:u w:val="single"/>
        </w:rPr>
      </w:pPr>
    </w:p>
    <w:p w:rsidR="009F7480" w:rsidRPr="009F7480" w:rsidP="009F7480">
      <w:pPr>
        <w:tabs>
          <w:tab w:val="left" w:pos="6000"/>
        </w:tabs>
        <w:jc w:val="center"/>
        <w:rPr>
          <w:rFonts w:ascii="Times New Roman" w:hAnsi="Times New Roman" w:cs="Times New Roman"/>
          <w:bCs/>
          <w:szCs w:val="20"/>
          <w:u w:val="single"/>
        </w:rPr>
      </w:pPr>
      <w:r w:rsidRPr="009F7480">
        <w:rPr>
          <w:rFonts w:ascii="Times New Roman" w:hAnsi="Times New Roman" w:cs="Times New Roman"/>
          <w:bCs/>
          <w:szCs w:val="20"/>
        </w:rPr>
        <w:t xml:space="preserve">a)  </w:t>
      </w:r>
      <w:r w:rsidRPr="009F7480">
        <w:rPr>
          <w:rFonts w:ascii="Times New Roman" w:hAnsi="Times New Roman" w:cs="Times New Roman"/>
          <w:bCs/>
          <w:szCs w:val="20"/>
          <w:u w:val="single"/>
        </w:rPr>
        <w:t>Stručný prehľad o stave vysporiadania civilných pohľadávok Slovenskej republiky voči zahraničiu</w:t>
      </w:r>
    </w:p>
    <w:p w:rsidR="009F7480" w:rsidP="009F7480">
      <w:pPr>
        <w:rPr>
          <w:rFonts w:ascii="Arial Narrow" w:hAnsi="Arial Narrow" w:cs="Times New Roman"/>
          <w:sz w:val="22"/>
        </w:rPr>
      </w:pPr>
    </w:p>
    <w:p w:rsidR="009F7480" w:rsidP="009F7480">
      <w:pPr>
        <w:tabs>
          <w:tab w:val="left" w:pos="6000"/>
        </w:tabs>
        <w:jc w:val="center"/>
        <w:rPr>
          <w:rFonts w:ascii="Arial Narrow" w:hAnsi="Arial Narrow" w:cs="Times New Roman"/>
          <w:b/>
          <w:bCs/>
          <w:szCs w:val="20"/>
        </w:rPr>
      </w:pPr>
    </w:p>
    <w:p w:rsidR="009F7480" w:rsidRPr="002C1769" w:rsidP="00B143C0">
      <w:pPr>
        <w:numPr>
          <w:ilvl w:val="0"/>
          <w:numId w:val="150"/>
        </w:numPr>
        <w:tabs>
          <w:tab w:val="clear" w:pos="720"/>
        </w:tabs>
        <w:spacing w:line="360" w:lineRule="auto"/>
        <w:ind w:left="360"/>
        <w:rPr>
          <w:rFonts w:ascii="Times New Roman" w:hAnsi="Times New Roman" w:cs="Times New Roman"/>
        </w:rPr>
      </w:pPr>
      <w:r w:rsidRPr="009F7480">
        <w:rPr>
          <w:rFonts w:ascii="Times New Roman" w:hAnsi="Times New Roman" w:cs="Times New Roman"/>
        </w:rPr>
        <w:t>Ruská federácia</w:t>
      </w:r>
    </w:p>
    <w:p w:rsidR="009F7480" w:rsidRPr="009F7480" w:rsidP="00B143C0">
      <w:pPr>
        <w:pStyle w:val="BodyTextIndent2"/>
        <w:spacing w:after="0" w:line="360" w:lineRule="auto"/>
        <w:ind w:left="0" w:firstLine="360"/>
        <w:jc w:val="both"/>
        <w:rPr>
          <w:rFonts w:ascii="Times New Roman" w:hAnsi="Times New Roman" w:cs="Times New Roman"/>
        </w:rPr>
      </w:pPr>
      <w:r w:rsidRPr="009F7480">
        <w:rPr>
          <w:rFonts w:ascii="Times New Roman" w:hAnsi="Times New Roman" w:cs="Times New Roman"/>
        </w:rPr>
        <w:t>Dlh Ruskej federácie voči SR je splácaný na základe „Dohody medzi vládou Slovenskej republiky a vládou Ruskej federácie o riešení zadlženosti bývalého ZSSR a Ruskej federácie voči Slovenskej republike“ zo dňa 24.6.1994 (ďalej v texte aj „Dohoda“), ktorá bola doplnená dvomi protokolmi  o vnesení zmien do Dohody podpísanými dňa 28.8.2002 a 23.7.2003.</w:t>
      </w:r>
    </w:p>
    <w:p w:rsidR="009F7480" w:rsidRPr="00D40CB2" w:rsidP="002C1769">
      <w:pPr>
        <w:spacing w:line="360" w:lineRule="auto"/>
        <w:ind w:firstLine="360"/>
        <w:jc w:val="both"/>
        <w:rPr>
          <w:rFonts w:ascii="Times New Roman" w:hAnsi="Times New Roman" w:cs="Times New Roman"/>
        </w:rPr>
      </w:pPr>
      <w:r w:rsidRPr="009F7480">
        <w:rPr>
          <w:rFonts w:ascii="Times New Roman" w:hAnsi="Times New Roman" w:cs="Times New Roman"/>
        </w:rPr>
        <w:t xml:space="preserve">Predmetná Dohoda ako aj Protokoly neupravujú možnosť vypovedania Dohody. Dohoda môže byť zmenená po dohode zmluvných strán. </w:t>
      </w:r>
    </w:p>
    <w:p w:rsidR="009F7480" w:rsidRPr="009F7480" w:rsidP="002C1769">
      <w:pPr>
        <w:spacing w:after="0" w:line="360" w:lineRule="auto"/>
        <w:ind w:right="49" w:firstLine="360"/>
        <w:jc w:val="both"/>
        <w:rPr>
          <w:rFonts w:ascii="Times New Roman" w:hAnsi="Times New Roman" w:cs="Times New Roman"/>
          <w:b/>
        </w:rPr>
      </w:pPr>
      <w:r w:rsidRPr="009F7480">
        <w:rPr>
          <w:rFonts w:ascii="Times New Roman" w:hAnsi="Times New Roman" w:cs="Times New Roman"/>
        </w:rPr>
        <w:t>Dlh RF voči SR je splácaný formou tovarových dodávok, na ktorých sa podieľajú MV SR, Úrad pre normalizáciu, metrológ</w:t>
      </w:r>
      <w:r w:rsidR="00A06985">
        <w:rPr>
          <w:rFonts w:ascii="Times New Roman" w:hAnsi="Times New Roman" w:cs="Times New Roman"/>
        </w:rPr>
        <w:t>iu a skúšobníctvo SR (výstavba C</w:t>
      </w:r>
      <w:r w:rsidRPr="009F7480">
        <w:rPr>
          <w:rFonts w:ascii="Times New Roman" w:hAnsi="Times New Roman" w:cs="Times New Roman"/>
        </w:rPr>
        <w:t xml:space="preserve">yklotrónového centra). </w:t>
      </w:r>
    </w:p>
    <w:p w:rsidR="009F7480" w:rsidRPr="009F7480" w:rsidP="009F7480">
      <w:pPr>
        <w:tabs>
          <w:tab w:val="left" w:pos="9214"/>
        </w:tabs>
        <w:spacing w:after="120"/>
        <w:ind w:right="49"/>
        <w:rPr>
          <w:rFonts w:ascii="Times New Roman" w:hAnsi="Times New Roman" w:cs="Times New Roman"/>
        </w:rPr>
      </w:pPr>
    </w:p>
    <w:p w:rsidR="009F7480" w:rsidRPr="00D40CB2" w:rsidP="00B143C0">
      <w:pPr>
        <w:numPr>
          <w:ilvl w:val="0"/>
          <w:numId w:val="150"/>
        </w:numPr>
        <w:tabs>
          <w:tab w:val="clear" w:pos="720"/>
        </w:tabs>
        <w:spacing w:after="120"/>
        <w:ind w:left="360" w:right="49"/>
        <w:rPr>
          <w:rFonts w:ascii="Times New Roman" w:hAnsi="Times New Roman" w:cs="Times New Roman"/>
        </w:rPr>
      </w:pPr>
      <w:r w:rsidRPr="009F7480">
        <w:rPr>
          <w:rFonts w:ascii="Times New Roman" w:hAnsi="Times New Roman" w:cs="Times New Roman"/>
        </w:rPr>
        <w:t>Ruská federácia – Krivoj Rog</w:t>
      </w:r>
    </w:p>
    <w:p w:rsidR="002C1769" w:rsidP="00B143C0">
      <w:pPr>
        <w:spacing w:after="0" w:line="360" w:lineRule="auto"/>
        <w:ind w:right="51" w:firstLine="357"/>
        <w:jc w:val="both"/>
        <w:rPr>
          <w:rFonts w:ascii="Times New Roman" w:hAnsi="Times New Roman" w:cs="Times New Roman"/>
          <w:bCs/>
        </w:rPr>
      </w:pPr>
      <w:r w:rsidR="00D40CB2">
        <w:rPr>
          <w:rFonts w:ascii="Times New Roman" w:hAnsi="Times New Roman" w:cs="Times New Roman"/>
          <w:bCs/>
        </w:rPr>
        <w:t>P</w:t>
      </w:r>
      <w:r w:rsidRPr="009F7480" w:rsidR="009F7480">
        <w:rPr>
          <w:rFonts w:ascii="Times New Roman" w:hAnsi="Times New Roman" w:cs="Times New Roman"/>
          <w:bCs/>
        </w:rPr>
        <w:t>ohľadávka je vedená voči Ruskej federácii samostatne. Ide o výstavbu Krivorožského ťažobného a opravárenského kombinátu tzv. „KŤUK“ na území Ukrajiny – Krivoj Rog.</w:t>
      </w:r>
    </w:p>
    <w:p w:rsidR="009F7480" w:rsidRPr="009F7480" w:rsidP="00B143C0">
      <w:pPr>
        <w:spacing w:after="0" w:line="360" w:lineRule="auto"/>
        <w:ind w:right="51" w:firstLine="357"/>
        <w:jc w:val="both"/>
        <w:rPr>
          <w:rFonts w:ascii="Times New Roman" w:hAnsi="Times New Roman" w:cs="Times New Roman"/>
          <w:bCs/>
        </w:rPr>
      </w:pPr>
      <w:r w:rsidRPr="009F7480">
        <w:rPr>
          <w:rFonts w:ascii="Times New Roman" w:hAnsi="Times New Roman" w:cs="Times New Roman"/>
          <w:bCs/>
        </w:rPr>
        <w:t xml:space="preserve">Vlastnícke vzťahy medzi RF a Ukrajinou však neboli doteraz vyriešené. Vec je riešená Ministerstvom hospodárstva SR. </w:t>
      </w:r>
    </w:p>
    <w:p w:rsidR="002C1769" w:rsidP="009F7480">
      <w:pPr>
        <w:rPr>
          <w:rFonts w:ascii="Times New Roman" w:hAnsi="Times New Roman" w:cs="Times New Roman"/>
        </w:rPr>
      </w:pPr>
    </w:p>
    <w:p w:rsidR="009F7480" w:rsidRPr="002C1769" w:rsidP="002C1769">
      <w:pPr>
        <w:numPr>
          <w:ilvl w:val="0"/>
          <w:numId w:val="150"/>
        </w:numPr>
        <w:tabs>
          <w:tab w:val="clear" w:pos="720"/>
        </w:tabs>
        <w:spacing w:line="360" w:lineRule="auto"/>
        <w:ind w:left="360"/>
        <w:rPr>
          <w:rFonts w:ascii="Times New Roman" w:hAnsi="Times New Roman" w:cs="Times New Roman"/>
        </w:rPr>
      </w:pPr>
      <w:r w:rsidR="00B143C0">
        <w:rPr>
          <w:rFonts w:ascii="Times New Roman" w:hAnsi="Times New Roman" w:cs="Times New Roman"/>
        </w:rPr>
        <w:br w:type="page"/>
      </w:r>
      <w:r w:rsidRPr="009F7480">
        <w:rPr>
          <w:rFonts w:ascii="Times New Roman" w:hAnsi="Times New Roman" w:cs="Times New Roman"/>
        </w:rPr>
        <w:t>Alžírska demokratická  ľudová republika</w:t>
      </w:r>
    </w:p>
    <w:p w:rsidR="009F7480" w:rsidRPr="009F7480" w:rsidP="002C1769">
      <w:pPr>
        <w:pStyle w:val="BodyTextIndent"/>
        <w:spacing w:after="0" w:line="360" w:lineRule="auto"/>
        <w:ind w:left="0" w:firstLine="360"/>
        <w:jc w:val="both"/>
        <w:rPr>
          <w:rFonts w:ascii="Times New Roman" w:hAnsi="Times New Roman" w:cs="Times New Roman"/>
        </w:rPr>
      </w:pPr>
      <w:r w:rsidRPr="009F7480">
        <w:rPr>
          <w:rFonts w:ascii="Times New Roman" w:hAnsi="Times New Roman" w:cs="Times New Roman"/>
          <w:color w:val="000000"/>
        </w:rPr>
        <w:t xml:space="preserve">ADĽR dňa 15.3.2006 predčasne splatilo celý zostatok istiny a úrokov vyplývajúce z Dohody o reštrukturalizácií z roku 2002 vo výške </w:t>
      </w:r>
      <w:r w:rsidRPr="009F7480">
        <w:rPr>
          <w:rFonts w:ascii="Times New Roman" w:hAnsi="Times New Roman" w:cs="Times New Roman"/>
        </w:rPr>
        <w:t>1 445 696,12</w:t>
      </w:r>
      <w:r w:rsidRPr="009F7480">
        <w:rPr>
          <w:rFonts w:ascii="Times New Roman" w:hAnsi="Times New Roman" w:cs="Times New Roman"/>
          <w:color w:val="000000"/>
        </w:rPr>
        <w:t xml:space="preserve"> USD (</w:t>
      </w:r>
      <w:r w:rsidRPr="009F7480">
        <w:rPr>
          <w:rFonts w:ascii="Times New Roman" w:hAnsi="Times New Roman" w:cs="Times New Roman"/>
        </w:rPr>
        <w:t>45 496 057</w:t>
      </w:r>
      <w:r w:rsidRPr="009F7480">
        <w:rPr>
          <w:rFonts w:ascii="Times New Roman" w:hAnsi="Times New Roman" w:cs="Times New Roman"/>
          <w:color w:val="000000"/>
        </w:rPr>
        <w:t xml:space="preserve"> SKK). </w:t>
      </w:r>
    </w:p>
    <w:p w:rsidR="009F7480" w:rsidRPr="009F7480" w:rsidP="002C1769">
      <w:pPr>
        <w:pStyle w:val="BodyTextIndent"/>
        <w:spacing w:after="0" w:line="360" w:lineRule="auto"/>
        <w:ind w:left="0" w:firstLine="360"/>
        <w:jc w:val="both"/>
        <w:rPr>
          <w:rFonts w:ascii="Times New Roman" w:hAnsi="Times New Roman" w:cs="Times New Roman"/>
        </w:rPr>
      </w:pPr>
      <w:r w:rsidRPr="009F7480">
        <w:rPr>
          <w:rFonts w:ascii="Times New Roman" w:hAnsi="Times New Roman" w:cs="Times New Roman"/>
          <w:color w:val="000000"/>
        </w:rPr>
        <w:t xml:space="preserve">ADĽR pokračuje v splácaní formou tovarových dodávok </w:t>
      </w:r>
      <w:r w:rsidRPr="009F7480">
        <w:rPr>
          <w:rFonts w:ascii="Times New Roman" w:hAnsi="Times New Roman" w:cs="Times New Roman"/>
        </w:rPr>
        <w:t xml:space="preserve">podľa splátkového kalendára stanoveného do roku 2010 </w:t>
      </w:r>
      <w:r w:rsidRPr="009F7480">
        <w:rPr>
          <w:rFonts w:ascii="Times New Roman" w:hAnsi="Times New Roman" w:cs="Times New Roman"/>
          <w:color w:val="000000"/>
        </w:rPr>
        <w:t xml:space="preserve">v zmysle Medzivládnej úverovej dohody z </w:t>
      </w:r>
      <w:r w:rsidRPr="009F7480">
        <w:rPr>
          <w:rFonts w:ascii="Times New Roman" w:hAnsi="Times New Roman" w:cs="Times New Roman"/>
        </w:rPr>
        <w:t>16. novembra 1984. Pohľadávka vznikla z nesplateného úveru poskytnutého na základe úverovej dohody medzi vládou Československej soc</w:t>
      </w:r>
      <w:r w:rsidR="002F1240">
        <w:rPr>
          <w:rFonts w:ascii="Times New Roman" w:hAnsi="Times New Roman" w:cs="Times New Roman"/>
        </w:rPr>
        <w:t>ialistickej republiky</w:t>
      </w:r>
      <w:r w:rsidRPr="009F7480">
        <w:rPr>
          <w:rFonts w:ascii="Times New Roman" w:hAnsi="Times New Roman" w:cs="Times New Roman"/>
        </w:rPr>
        <w:t xml:space="preserve"> a vládou Alžírskej demokratickej ľudovej republiky podpísanej dňa 16. novembra 1984. </w:t>
      </w:r>
    </w:p>
    <w:p w:rsidR="009F7480" w:rsidRPr="009F7480" w:rsidP="009F7480">
      <w:pPr>
        <w:pStyle w:val="Zkladntext"/>
        <w:ind w:left="360"/>
        <w:jc w:val="both"/>
        <w:rPr>
          <w:rFonts w:ascii="Times New Roman" w:hAnsi="Times New Roman" w:cs="Times New Roman"/>
          <w:sz w:val="24"/>
        </w:rPr>
      </w:pPr>
    </w:p>
    <w:p w:rsidR="009F7480" w:rsidP="00BB6E8D">
      <w:pPr>
        <w:rPr>
          <w:rFonts w:ascii="Arial Narrow" w:hAnsi="Arial Narrow" w:cs="Times New Roman"/>
          <w:b/>
          <w:sz w:val="22"/>
          <w:szCs w:val="22"/>
        </w:rPr>
      </w:pPr>
    </w:p>
    <w:p w:rsidR="009F7480" w:rsidRPr="009F7480" w:rsidP="00BB6E8D">
      <w:pPr>
        <w:numPr>
          <w:ilvl w:val="0"/>
          <w:numId w:val="150"/>
        </w:numPr>
        <w:tabs>
          <w:tab w:val="clear" w:pos="720"/>
        </w:tabs>
        <w:spacing w:line="360" w:lineRule="auto"/>
        <w:ind w:left="360"/>
        <w:rPr>
          <w:rFonts w:ascii="Times New Roman" w:hAnsi="Times New Roman" w:cs="Times New Roman"/>
        </w:rPr>
      </w:pPr>
      <w:r w:rsidRPr="009F7480">
        <w:rPr>
          <w:rFonts w:ascii="Times New Roman" w:hAnsi="Times New Roman" w:cs="Times New Roman"/>
        </w:rPr>
        <w:t>Myanmarský zväz</w:t>
      </w:r>
    </w:p>
    <w:p w:rsidR="009F7480" w:rsidRPr="009F7480" w:rsidP="00BB6E8D">
      <w:pPr>
        <w:spacing w:line="360" w:lineRule="auto"/>
        <w:ind w:firstLine="360"/>
        <w:jc w:val="both"/>
        <w:rPr>
          <w:rFonts w:ascii="Times New Roman" w:hAnsi="Times New Roman" w:cs="Times New Roman"/>
        </w:rPr>
      </w:pPr>
      <w:r w:rsidRPr="009F7480">
        <w:rPr>
          <w:rFonts w:ascii="Times New Roman" w:hAnsi="Times New Roman" w:cs="Times New Roman"/>
        </w:rPr>
        <w:t>Splácanie dlhu Myanmarského zväzu voči SR prebieha bez problémov v súlade so splátkovým kalendárom dohodnutým v Zmluve o úhrade pohľadávok Slovenskej  republiky v Myanmarskom zväze zo dňa 10.11.1994 a jej dodatkov č. 1 a č. 2 medzi MF SR a spoločnosťou Transakta, a. s., Bratis</w:t>
      </w:r>
      <w:r w:rsidR="009D235D">
        <w:rPr>
          <w:rFonts w:ascii="Times New Roman" w:hAnsi="Times New Roman" w:cs="Times New Roman"/>
        </w:rPr>
        <w:t>lava, s termínom plnenia do 31.</w:t>
      </w:r>
      <w:r w:rsidRPr="009F7480">
        <w:rPr>
          <w:rFonts w:ascii="Times New Roman" w:hAnsi="Times New Roman" w:cs="Times New Roman"/>
        </w:rPr>
        <w:t>12.2007. Úroky od 1.1.2002 až do konečného vysporiadania istiny budú predmetom vysporiadania tejto zmluvy v znení dodatku č. 2, pričom výška úrokov bude upresnená až po definitívnom vysporiadaní istiny a následne bude premietnutá do zmluvy formou ďalšieho dodatku, ktorým bude zároveň aj adekvátne upravený splátkový kalendár.</w:t>
      </w:r>
    </w:p>
    <w:p w:rsidR="009F7480" w:rsidP="00BB6E8D">
      <w:pPr>
        <w:jc w:val="both"/>
        <w:rPr>
          <w:rFonts w:ascii="Arial Narrow" w:hAnsi="Arial Narrow" w:cs="Times New Roman"/>
          <w:sz w:val="22"/>
          <w:szCs w:val="22"/>
        </w:rPr>
      </w:pPr>
    </w:p>
    <w:p w:rsidR="009F7480" w:rsidP="009F7480">
      <w:pPr>
        <w:rPr>
          <w:rFonts w:ascii="Arial Narrow" w:hAnsi="Arial Narrow" w:cs="Times New Roman"/>
          <w:b/>
          <w:sz w:val="22"/>
          <w:szCs w:val="22"/>
        </w:rPr>
      </w:pPr>
    </w:p>
    <w:p w:rsidR="009F7480" w:rsidRPr="009F7480" w:rsidP="009D235D">
      <w:pPr>
        <w:numPr>
          <w:ilvl w:val="0"/>
          <w:numId w:val="150"/>
        </w:numPr>
        <w:tabs>
          <w:tab w:val="clear" w:pos="720"/>
        </w:tabs>
        <w:spacing w:line="360" w:lineRule="auto"/>
        <w:ind w:left="360"/>
        <w:rPr>
          <w:rFonts w:ascii="Times New Roman" w:hAnsi="Times New Roman" w:cs="Times New Roman"/>
        </w:rPr>
      </w:pPr>
      <w:r w:rsidRPr="009F7480">
        <w:rPr>
          <w:rFonts w:ascii="Times New Roman" w:hAnsi="Times New Roman" w:cs="Times New Roman"/>
          <w:bCs/>
        </w:rPr>
        <w:t>Nikaragujská republika</w:t>
      </w:r>
    </w:p>
    <w:p w:rsidR="009F7480" w:rsidRPr="009F7480" w:rsidP="009D235D">
      <w:pPr>
        <w:spacing w:line="360" w:lineRule="auto"/>
        <w:ind w:firstLine="360"/>
        <w:jc w:val="both"/>
        <w:rPr>
          <w:rFonts w:ascii="Times New Roman" w:hAnsi="Times New Roman" w:cs="Times New Roman"/>
        </w:rPr>
      </w:pPr>
      <w:r w:rsidRPr="009F7480">
        <w:rPr>
          <w:rFonts w:ascii="Times New Roman" w:hAnsi="Times New Roman" w:cs="Times New Roman"/>
        </w:rPr>
        <w:t>Vysporiadanie sa realizuje bez problémov na základe Zmluvy, ktorá sa týka uhradenia pohľadávky Slovenskej republiky voči Nikaragujs</w:t>
      </w:r>
      <w:r w:rsidR="009D235D">
        <w:rPr>
          <w:rFonts w:ascii="Times New Roman" w:hAnsi="Times New Roman" w:cs="Times New Roman"/>
        </w:rPr>
        <w:t>kej republike uzavretej dňa 14.4.</w:t>
      </w:r>
      <w:r w:rsidRPr="009F7480">
        <w:rPr>
          <w:rFonts w:ascii="Times New Roman" w:hAnsi="Times New Roman" w:cs="Times New Roman"/>
        </w:rPr>
        <w:t xml:space="preserve">2000 so spoločnosťou Raffels AG, Herisau, Švajčiarsko v znení jej dodatkov. </w:t>
      </w:r>
    </w:p>
    <w:p w:rsidR="009F7480" w:rsidRPr="009F7480" w:rsidP="009F7480">
      <w:pPr>
        <w:jc w:val="both"/>
        <w:rPr>
          <w:rFonts w:ascii="Times New Roman" w:hAnsi="Times New Roman" w:cs="Times New Roman"/>
        </w:rPr>
      </w:pPr>
    </w:p>
    <w:p w:rsidR="009F7480" w:rsidRPr="009F7480" w:rsidP="00BB6E8D">
      <w:pPr>
        <w:jc w:val="both"/>
        <w:rPr>
          <w:rFonts w:ascii="Times New Roman" w:hAnsi="Times New Roman" w:cs="Times New Roman"/>
        </w:rPr>
      </w:pPr>
    </w:p>
    <w:p w:rsidR="009F7480" w:rsidRPr="009F7480" w:rsidP="009D235D">
      <w:pPr>
        <w:numPr>
          <w:ilvl w:val="0"/>
          <w:numId w:val="150"/>
        </w:numPr>
        <w:tabs>
          <w:tab w:val="clear" w:pos="720"/>
        </w:tabs>
        <w:spacing w:line="360" w:lineRule="auto"/>
        <w:ind w:left="360"/>
        <w:rPr>
          <w:rFonts w:ascii="Times New Roman" w:hAnsi="Times New Roman" w:cs="Times New Roman"/>
        </w:rPr>
      </w:pPr>
      <w:r w:rsidRPr="009F7480">
        <w:rPr>
          <w:rFonts w:ascii="Times New Roman" w:hAnsi="Times New Roman" w:cs="Times New Roman"/>
        </w:rPr>
        <w:t>Laoská ľudovodemokratická republika</w:t>
      </w:r>
    </w:p>
    <w:p w:rsidR="009F7480" w:rsidRPr="009F7480" w:rsidP="009D235D">
      <w:pPr>
        <w:pStyle w:val="BodyTextIndent"/>
        <w:spacing w:after="0" w:line="360" w:lineRule="auto"/>
        <w:ind w:left="0" w:firstLine="360"/>
        <w:jc w:val="both"/>
        <w:rPr>
          <w:rFonts w:ascii="Times New Roman" w:hAnsi="Times New Roman" w:cs="Times New Roman"/>
        </w:rPr>
      </w:pPr>
      <w:r w:rsidRPr="009F7480">
        <w:rPr>
          <w:rFonts w:ascii="Times New Roman" w:hAnsi="Times New Roman" w:cs="Times New Roman"/>
        </w:rPr>
        <w:t xml:space="preserve">Vysporiadanie pohľadávok SR sa realizuje na základe vládnej dohody uzavretej v roku 2001 formou výmenných listov predsedov vlády SR a vlády Laoskej ľudovodemokratickej republiky. Laoská strana uzavretú dohodu bez problémov plní a svoj reštrukturalizovaný záväzok od roku 2001 spláca v USD vzostupnými splátkami podľa splátkového kalendára stanoveného do roku 2009. </w:t>
      </w:r>
    </w:p>
    <w:p w:rsidR="009F7480" w:rsidRPr="009F7480" w:rsidP="009F7480">
      <w:pPr>
        <w:pStyle w:val="BodyTextIndent"/>
        <w:ind w:left="0"/>
        <w:rPr>
          <w:rFonts w:ascii="Times New Roman" w:hAnsi="Times New Roman" w:cs="Times New Roman"/>
        </w:rPr>
      </w:pPr>
    </w:p>
    <w:p w:rsidR="009F7480" w:rsidRPr="009F7480" w:rsidP="009F7480">
      <w:pPr>
        <w:pStyle w:val="BodyTextIndent"/>
        <w:ind w:left="360"/>
        <w:rPr>
          <w:rFonts w:ascii="Times New Roman" w:hAnsi="Times New Roman" w:cs="Times New Roman"/>
        </w:rPr>
      </w:pPr>
    </w:p>
    <w:p w:rsidR="009F7480" w:rsidRPr="009D235D" w:rsidP="00BB6E8D">
      <w:pPr>
        <w:pStyle w:val="BodyTextIndent"/>
        <w:numPr>
          <w:ilvl w:val="0"/>
          <w:numId w:val="150"/>
        </w:numPr>
        <w:tabs>
          <w:tab w:val="clear" w:pos="720"/>
        </w:tabs>
        <w:spacing w:line="360" w:lineRule="auto"/>
        <w:ind w:left="360"/>
        <w:rPr>
          <w:rFonts w:ascii="Times New Roman" w:hAnsi="Times New Roman" w:cs="Times New Roman"/>
          <w:bCs/>
        </w:rPr>
      </w:pPr>
      <w:r w:rsidR="009D235D">
        <w:rPr>
          <w:rFonts w:ascii="Times New Roman" w:hAnsi="Times New Roman" w:cs="Times New Roman"/>
          <w:bCs/>
        </w:rPr>
        <w:br w:type="page"/>
      </w:r>
      <w:r w:rsidRPr="009F7480">
        <w:rPr>
          <w:rFonts w:ascii="Times New Roman" w:hAnsi="Times New Roman" w:cs="Times New Roman"/>
          <w:bCs/>
        </w:rPr>
        <w:t>Kambodžské kráľovstvo</w:t>
      </w:r>
    </w:p>
    <w:p w:rsidR="009F7480" w:rsidRPr="009F7480" w:rsidP="00BB6E8D">
      <w:pPr>
        <w:pStyle w:val="BodyText2"/>
        <w:adjustRightInd/>
        <w:spacing w:line="360" w:lineRule="auto"/>
        <w:ind w:firstLine="360"/>
        <w:jc w:val="both"/>
        <w:rPr>
          <w:rFonts w:ascii="Times New Roman" w:hAnsi="Times New Roman" w:cs="Times New Roman"/>
          <w:b w:val="0"/>
          <w:bCs w:val="0"/>
          <w:sz w:val="24"/>
        </w:rPr>
      </w:pPr>
      <w:r w:rsidRPr="009F7480">
        <w:rPr>
          <w:rFonts w:ascii="Times New Roman" w:hAnsi="Times New Roman" w:cs="Times New Roman"/>
          <w:b w:val="0"/>
          <w:bCs w:val="0"/>
          <w:sz w:val="24"/>
        </w:rPr>
        <w:t>Vysporiadanie pohľadávok SR sa realizuje bez problémov na základe Dohody medzi vládou Slovenskej republiky a vládou Kambodžského kráľovstva o reštrukturalizácií a splatení dlhu Kambodžského kráľovstva voči Slovenskej republiky zo dňa 6.11.2001.</w:t>
      </w:r>
    </w:p>
    <w:p w:rsidR="009F7480" w:rsidP="009F7480">
      <w:pPr>
        <w:pStyle w:val="BodyText2"/>
        <w:jc w:val="both"/>
        <w:rPr>
          <w:rFonts w:ascii="Times New Roman" w:hAnsi="Times New Roman" w:cs="Times New Roman"/>
          <w:b w:val="0"/>
          <w:bCs w:val="0"/>
          <w:sz w:val="24"/>
        </w:rPr>
      </w:pPr>
    </w:p>
    <w:p w:rsidR="00B143C0" w:rsidRPr="00B143C0" w:rsidP="009F7480">
      <w:pPr>
        <w:pStyle w:val="BodyText2"/>
        <w:jc w:val="both"/>
        <w:rPr>
          <w:rFonts w:ascii="Times New Roman" w:hAnsi="Times New Roman" w:cs="Times New Roman"/>
          <w:b w:val="0"/>
          <w:bCs w:val="0"/>
          <w:sz w:val="24"/>
        </w:rPr>
      </w:pPr>
    </w:p>
    <w:p w:rsidR="009F7480" w:rsidRPr="009D235D" w:rsidP="009D235D">
      <w:pPr>
        <w:numPr>
          <w:ilvl w:val="0"/>
          <w:numId w:val="150"/>
        </w:numPr>
        <w:tabs>
          <w:tab w:val="clear" w:pos="720"/>
        </w:tabs>
        <w:spacing w:line="360" w:lineRule="auto"/>
        <w:ind w:left="360"/>
        <w:rPr>
          <w:rFonts w:ascii="Times New Roman" w:hAnsi="Times New Roman" w:cs="Times New Roman"/>
        </w:rPr>
      </w:pPr>
      <w:r w:rsidRPr="009F7480">
        <w:rPr>
          <w:rFonts w:ascii="Times New Roman" w:hAnsi="Times New Roman" w:cs="Times New Roman"/>
        </w:rPr>
        <w:t>Albánska republika</w:t>
      </w:r>
    </w:p>
    <w:p w:rsidR="009F7480" w:rsidRPr="009F7480" w:rsidP="009D235D">
      <w:pPr>
        <w:spacing w:after="0" w:line="360" w:lineRule="auto"/>
        <w:ind w:firstLine="360"/>
        <w:jc w:val="both"/>
        <w:rPr>
          <w:rFonts w:ascii="Times New Roman" w:hAnsi="Times New Roman" w:cs="Times New Roman"/>
        </w:rPr>
      </w:pPr>
      <w:r w:rsidRPr="009F7480">
        <w:rPr>
          <w:rFonts w:ascii="Times New Roman" w:hAnsi="Times New Roman" w:cs="Times New Roman"/>
          <w:bCs/>
        </w:rPr>
        <w:t>Dohoda medzi vládou Slovenskej republiky a Radou ministrov Albánskej republiky o reštrukturalizácií a splatení záväzku Albánskej republiky voči Slovenskej republike bola podpísaná dňa 26.05.2005 v Bratislave a platnosť nadobudla dňa 18. 11. 2005. Podľa tejto dohody má byť dlh Albánskej republiky uhradený v desiatich splátkach  do roku 2014.</w:t>
      </w:r>
    </w:p>
    <w:p w:rsidR="009F7480" w:rsidP="009F7480">
      <w:pPr>
        <w:jc w:val="both"/>
        <w:rPr>
          <w:rFonts w:ascii="Times New Roman" w:hAnsi="Times New Roman" w:cs="Times New Roman"/>
        </w:rPr>
      </w:pPr>
    </w:p>
    <w:p w:rsidR="00B143C0" w:rsidRPr="009F7480" w:rsidP="009F7480">
      <w:pPr>
        <w:jc w:val="both"/>
        <w:rPr>
          <w:rFonts w:ascii="Times New Roman" w:hAnsi="Times New Roman" w:cs="Times New Roman"/>
        </w:rPr>
      </w:pPr>
    </w:p>
    <w:p w:rsidR="009F7480" w:rsidRPr="009D235D" w:rsidP="009D235D">
      <w:pPr>
        <w:numPr>
          <w:ilvl w:val="0"/>
          <w:numId w:val="150"/>
        </w:numPr>
        <w:tabs>
          <w:tab w:val="clear" w:pos="720"/>
        </w:tabs>
        <w:spacing w:line="360" w:lineRule="auto"/>
        <w:ind w:left="360"/>
        <w:jc w:val="both"/>
        <w:rPr>
          <w:rFonts w:ascii="Times New Roman" w:hAnsi="Times New Roman" w:cs="Times New Roman"/>
        </w:rPr>
      </w:pPr>
      <w:r w:rsidRPr="009F7480">
        <w:rPr>
          <w:rFonts w:ascii="Times New Roman" w:hAnsi="Times New Roman" w:cs="Times New Roman"/>
        </w:rPr>
        <w:t>Indická republika</w:t>
      </w:r>
    </w:p>
    <w:p w:rsidR="009F7480" w:rsidRPr="009F7480" w:rsidP="009D235D">
      <w:pPr>
        <w:spacing w:line="360" w:lineRule="auto"/>
        <w:ind w:firstLine="360"/>
        <w:jc w:val="both"/>
        <w:rPr>
          <w:rFonts w:ascii="Times New Roman" w:hAnsi="Times New Roman" w:cs="Times New Roman"/>
          <w:bCs/>
        </w:rPr>
      </w:pPr>
      <w:r w:rsidRPr="009F7480">
        <w:rPr>
          <w:rFonts w:ascii="Times New Roman" w:hAnsi="Times New Roman" w:cs="Times New Roman"/>
          <w:bCs/>
        </w:rPr>
        <w:t xml:space="preserve">Vládna pohľadávka SR voči Indickej republike bola vysporiadaná v roku 2004. </w:t>
      </w:r>
    </w:p>
    <w:p w:rsidR="009F7480" w:rsidRPr="009F7480" w:rsidP="009D235D">
      <w:pPr>
        <w:spacing w:line="360" w:lineRule="auto"/>
        <w:jc w:val="both"/>
        <w:rPr>
          <w:rFonts w:ascii="Times New Roman" w:hAnsi="Times New Roman" w:cs="Times New Roman"/>
          <w:b/>
        </w:rPr>
      </w:pPr>
      <w:r w:rsidRPr="009F7480">
        <w:rPr>
          <w:rFonts w:ascii="Times New Roman" w:hAnsi="Times New Roman" w:cs="Times New Roman"/>
          <w:bCs/>
        </w:rPr>
        <w:t xml:space="preserve">Z titulu podielu SR na menovej zaisťovacej doložke vyreklamovanej Československou obchodnou bankou, a.s. Praha od Reserve Bank of India vznikla v roku 2006 SR pohľadávka, pretože menovú zaisťovaciu doložku  indická strana uznala až v roku 2006. Pohľadávka sa vysporiada  prostredníctvom  Československej obchodnej banky, a.s. Praha a poverenej organizácie. </w:t>
      </w:r>
    </w:p>
    <w:p w:rsidR="009F7480" w:rsidRPr="009F7480" w:rsidP="00B143C0">
      <w:pPr>
        <w:jc w:val="both"/>
        <w:rPr>
          <w:rFonts w:ascii="Times New Roman" w:hAnsi="Times New Roman" w:cs="Times New Roman"/>
          <w:b/>
        </w:rPr>
      </w:pPr>
    </w:p>
    <w:p w:rsidR="009F7480" w:rsidRPr="009F7480" w:rsidP="00B143C0">
      <w:pPr>
        <w:jc w:val="both"/>
        <w:rPr>
          <w:rFonts w:ascii="Times New Roman" w:hAnsi="Times New Roman" w:cs="Times New Roman"/>
          <w:b/>
        </w:rPr>
      </w:pPr>
    </w:p>
    <w:p w:rsidR="009F7480" w:rsidRPr="009F7480" w:rsidP="009D235D">
      <w:pPr>
        <w:numPr>
          <w:ilvl w:val="0"/>
          <w:numId w:val="150"/>
        </w:numPr>
        <w:tabs>
          <w:tab w:val="clear" w:pos="720"/>
        </w:tabs>
        <w:spacing w:line="360" w:lineRule="auto"/>
        <w:ind w:left="360"/>
        <w:jc w:val="both"/>
        <w:rPr>
          <w:rFonts w:ascii="Times New Roman" w:hAnsi="Times New Roman" w:cs="Times New Roman"/>
          <w:u w:val="single"/>
        </w:rPr>
      </w:pPr>
      <w:r w:rsidRPr="009F7480">
        <w:rPr>
          <w:rFonts w:ascii="Times New Roman" w:hAnsi="Times New Roman" w:cs="Times New Roman"/>
        </w:rPr>
        <w:t>býv. Zväzová republika Juhoslávia + Slovinsko</w:t>
      </w:r>
    </w:p>
    <w:p w:rsidR="009F7480" w:rsidRPr="00B143C0" w:rsidP="00B143C0">
      <w:pPr>
        <w:spacing w:after="120" w:line="360" w:lineRule="auto"/>
        <w:ind w:firstLine="357"/>
        <w:jc w:val="both"/>
        <w:rPr>
          <w:rFonts w:ascii="Times New Roman" w:hAnsi="Times New Roman" w:cs="Times New Roman"/>
        </w:rPr>
      </w:pPr>
      <w:r w:rsidR="003B626F">
        <w:rPr>
          <w:rFonts w:ascii="Times New Roman" w:hAnsi="Times New Roman" w:cs="Times New Roman"/>
        </w:rPr>
        <w:t>Pohľadávka bývalej ČSFR voči bývalej</w:t>
      </w:r>
      <w:r w:rsidRPr="009F7480">
        <w:rPr>
          <w:rFonts w:ascii="Times New Roman" w:hAnsi="Times New Roman" w:cs="Times New Roman"/>
        </w:rPr>
        <w:t xml:space="preserve"> ZRJ vznikla z titulu predbežného vykonávania Platobnej dohody zo dňa 8. februára 1991, pohľadávka však nebola uznaná dlžníkom, resp. rozdelená medzi nástupnícke krajiny a ani externe rozdelená medzi SR a ČR. Pohľadávka nie je dlžníkom splácaná.</w:t>
      </w:r>
    </w:p>
    <w:p w:rsidR="009F7480" w:rsidP="00B143C0">
      <w:pPr>
        <w:autoSpaceDE/>
        <w:autoSpaceDN/>
        <w:jc w:val="both"/>
        <w:rPr>
          <w:rFonts w:ascii="Times New Roman" w:hAnsi="Times New Roman" w:cs="Times New Roman"/>
          <w:b/>
          <w:bCs/>
          <w:color w:val="000000"/>
        </w:rPr>
      </w:pPr>
    </w:p>
    <w:p w:rsidR="00B143C0" w:rsidRPr="009F7480" w:rsidP="00B143C0">
      <w:pPr>
        <w:autoSpaceDE/>
        <w:autoSpaceDN/>
        <w:jc w:val="both"/>
        <w:rPr>
          <w:rFonts w:ascii="Times New Roman" w:hAnsi="Times New Roman" w:cs="Times New Roman"/>
          <w:b/>
          <w:bCs/>
          <w:color w:val="000000"/>
        </w:rPr>
      </w:pPr>
    </w:p>
    <w:p w:rsidR="009F7480" w:rsidRPr="009D235D" w:rsidP="009D235D">
      <w:pPr>
        <w:numPr>
          <w:ilvl w:val="0"/>
          <w:numId w:val="150"/>
        </w:numPr>
        <w:tabs>
          <w:tab w:val="clear" w:pos="720"/>
        </w:tabs>
        <w:autoSpaceDE/>
        <w:autoSpaceDN/>
        <w:spacing w:line="360" w:lineRule="auto"/>
        <w:ind w:left="360"/>
        <w:jc w:val="both"/>
        <w:rPr>
          <w:rFonts w:ascii="Times New Roman" w:hAnsi="Times New Roman" w:cs="Times New Roman"/>
          <w:bCs/>
          <w:color w:val="000000"/>
        </w:rPr>
      </w:pPr>
      <w:r w:rsidRPr="009F7480">
        <w:rPr>
          <w:rFonts w:ascii="Times New Roman" w:hAnsi="Times New Roman" w:cs="Times New Roman"/>
          <w:bCs/>
          <w:color w:val="000000"/>
        </w:rPr>
        <w:t>Čínska ľudová republika</w:t>
      </w:r>
    </w:p>
    <w:p w:rsidR="009F7480" w:rsidRPr="00D40CB2" w:rsidP="009D235D">
      <w:pPr>
        <w:autoSpaceDE/>
        <w:autoSpaceDN/>
        <w:spacing w:line="360" w:lineRule="auto"/>
        <w:ind w:firstLine="360"/>
        <w:jc w:val="both"/>
        <w:rPr>
          <w:rFonts w:ascii="Times New Roman" w:hAnsi="Times New Roman" w:cs="Times New Roman"/>
          <w:color w:val="000000"/>
        </w:rPr>
      </w:pPr>
      <w:r w:rsidRPr="009F7480">
        <w:rPr>
          <w:rFonts w:ascii="Times New Roman" w:hAnsi="Times New Roman" w:cs="Times New Roman"/>
        </w:rPr>
        <w:t>Pohľadávka vznikla na základe tz</w:t>
      </w:r>
      <w:r w:rsidR="009D235D">
        <w:rPr>
          <w:rFonts w:ascii="Times New Roman" w:hAnsi="Times New Roman" w:cs="Times New Roman"/>
        </w:rPr>
        <w:t>v. ba</w:t>
      </w:r>
      <w:r w:rsidRPr="009F7480">
        <w:rPr>
          <w:rFonts w:ascii="Times New Roman" w:hAnsi="Times New Roman" w:cs="Times New Roman"/>
        </w:rPr>
        <w:t>rtrových obchodov, ktoré sa uskutočňovali medzi bývalými</w:t>
      </w:r>
      <w:r w:rsidR="009D235D">
        <w:rPr>
          <w:rFonts w:ascii="Times New Roman" w:hAnsi="Times New Roman" w:cs="Times New Roman"/>
        </w:rPr>
        <w:t xml:space="preserve"> </w:t>
      </w:r>
      <w:r w:rsidRPr="009F7480">
        <w:rPr>
          <w:rFonts w:ascii="Times New Roman" w:hAnsi="Times New Roman" w:cs="Times New Roman"/>
        </w:rPr>
        <w:t xml:space="preserve">československými podnikmi zahraničného obchodu a príslušnými čínskymi podnikmi v rokoch 1986-1990 a 1990-1992. Pohľadávka SR a ČR voči ČĽR je vedená na 31 účtoch, nie je úročená a nie je splácaná.        </w:t>
      </w:r>
    </w:p>
    <w:p w:rsidR="009F7480" w:rsidRPr="00F05D38" w:rsidP="00F05D38">
      <w:pPr>
        <w:numPr>
          <w:ilvl w:val="0"/>
          <w:numId w:val="150"/>
        </w:numPr>
        <w:tabs>
          <w:tab w:val="clear" w:pos="720"/>
        </w:tabs>
        <w:spacing w:line="360" w:lineRule="auto"/>
        <w:ind w:left="360"/>
        <w:rPr>
          <w:rFonts w:ascii="Times New Roman" w:hAnsi="Times New Roman" w:cs="Times New Roman"/>
          <w:u w:val="single"/>
        </w:rPr>
      </w:pPr>
      <w:r w:rsidR="00F05D38">
        <w:rPr>
          <w:rFonts w:ascii="Times New Roman" w:hAnsi="Times New Roman" w:cs="Times New Roman"/>
        </w:rPr>
        <w:br w:type="page"/>
      </w:r>
      <w:r w:rsidRPr="009F7480">
        <w:rPr>
          <w:rFonts w:ascii="Times New Roman" w:hAnsi="Times New Roman" w:cs="Times New Roman"/>
        </w:rPr>
        <w:t xml:space="preserve">Kubánska republika   </w:t>
      </w:r>
    </w:p>
    <w:p w:rsidR="009F7480" w:rsidRPr="009F7480" w:rsidP="00F05D38">
      <w:pPr>
        <w:spacing w:line="360" w:lineRule="auto"/>
        <w:ind w:firstLine="360"/>
        <w:jc w:val="both"/>
        <w:rPr>
          <w:rFonts w:ascii="Times New Roman" w:hAnsi="Times New Roman" w:cs="Times New Roman"/>
        </w:rPr>
      </w:pPr>
      <w:r w:rsidRPr="009F7480">
        <w:rPr>
          <w:rFonts w:ascii="Times New Roman" w:hAnsi="Times New Roman" w:cs="Times New Roman"/>
        </w:rPr>
        <w:t>Problematika vysporiadania pohľadávok Slovenskej republiky voči Kubánskej republike bola predmetom rokovania všetkých štyroch doposiaľ uskutočnených zasadnutí medzivládnej slovensko-kubánskej zmiešanej komisie pre hospodársko-obchodnú a technickú spoluprácu. Komisia však naposledy rokovala v máji 2001.</w:t>
      </w:r>
    </w:p>
    <w:p w:rsidR="009F7480" w:rsidRPr="009F7480" w:rsidP="00F05D38">
      <w:pPr>
        <w:spacing w:after="0" w:line="360" w:lineRule="auto"/>
        <w:ind w:firstLine="360"/>
        <w:jc w:val="both"/>
        <w:rPr>
          <w:rFonts w:ascii="Times New Roman" w:hAnsi="Times New Roman" w:cs="Times New Roman"/>
        </w:rPr>
      </w:pPr>
      <w:r w:rsidRPr="009F7480">
        <w:rPr>
          <w:rFonts w:ascii="Times New Roman" w:hAnsi="Times New Roman" w:cs="Times New Roman"/>
        </w:rPr>
        <w:t xml:space="preserve">Údaje o výške jednotlivých pohľadávok boli kubánskou stranou na týchto rokovaniach odsúhlasené bez námietok, problém je stanoviť prepočítací koeficient z nekonvertibilnej meny na konvertibilnú (USD), pričom na poslednom zasadnutí kubánski zástupcovia dokonca neboli kompetentní o tejto otázke rokovať a v zmysle ich stanoviska je výlučne Banco Central de Cuba oprávnená a kompetentná rokovať a rozhodovať o spôsobe vysporiadania zahraničných dlhov Kubánskej republiky. </w:t>
      </w:r>
    </w:p>
    <w:p w:rsidR="009F7480" w:rsidP="009F7480">
      <w:pPr>
        <w:pStyle w:val="BodyTextIndent"/>
        <w:ind w:left="0"/>
        <w:rPr>
          <w:rFonts w:ascii="Times New Roman" w:hAnsi="Times New Roman" w:cs="Times New Roman"/>
        </w:rPr>
      </w:pPr>
    </w:p>
    <w:p w:rsidR="00BB6E8D" w:rsidP="009F7480">
      <w:pPr>
        <w:pStyle w:val="BodyTextIndent"/>
        <w:ind w:left="0"/>
        <w:rPr>
          <w:rFonts w:ascii="Times New Roman" w:hAnsi="Times New Roman" w:cs="Times New Roman"/>
        </w:rPr>
      </w:pPr>
    </w:p>
    <w:p w:rsidR="009F7480" w:rsidRPr="009F7480" w:rsidP="00BB6E8D">
      <w:pPr>
        <w:numPr>
          <w:ilvl w:val="0"/>
          <w:numId w:val="150"/>
        </w:numPr>
        <w:tabs>
          <w:tab w:val="clear" w:pos="720"/>
        </w:tabs>
        <w:spacing w:after="120"/>
        <w:ind w:left="360"/>
        <w:rPr>
          <w:rFonts w:ascii="Times New Roman" w:hAnsi="Times New Roman" w:cs="Times New Roman"/>
        </w:rPr>
      </w:pPr>
      <w:r w:rsidRPr="009F7480">
        <w:rPr>
          <w:rFonts w:ascii="Times New Roman" w:hAnsi="Times New Roman" w:cs="Times New Roman"/>
          <w:bCs/>
        </w:rPr>
        <w:t>Kórejská ľudovodemokratická republika</w:t>
      </w:r>
    </w:p>
    <w:p w:rsidR="009F7480" w:rsidRPr="009F7480" w:rsidP="00BB6E8D">
      <w:pPr>
        <w:spacing w:after="0" w:line="360" w:lineRule="auto"/>
        <w:ind w:firstLine="357"/>
        <w:jc w:val="both"/>
        <w:rPr>
          <w:rFonts w:ascii="Times New Roman" w:hAnsi="Times New Roman" w:cs="Times New Roman"/>
          <w:b/>
          <w:u w:val="single"/>
        </w:rPr>
      </w:pPr>
      <w:r w:rsidRPr="009F7480">
        <w:rPr>
          <w:rFonts w:ascii="Times New Roman" w:hAnsi="Times New Roman" w:cs="Times New Roman"/>
        </w:rPr>
        <w:t>Slovenská republika k 31.12.2006 eviduje pohľadávku voči KĽDR, ale vzhľadom na komplikované politicko-ekonomické vzťahy s KĽDR, v posledných rokoch sa nedosiahol žiadny pokrok v riešení pohľadávok SR  a ČR voči KĽDR.</w:t>
      </w:r>
      <w:r w:rsidRPr="009F7480">
        <w:rPr>
          <w:rFonts w:ascii="Times New Roman" w:hAnsi="Times New Roman" w:cs="Times New Roman"/>
          <w:b/>
          <w:u w:val="single"/>
        </w:rPr>
        <w:t xml:space="preserve"> </w:t>
      </w:r>
    </w:p>
    <w:p w:rsidR="009F7480" w:rsidP="009F7480">
      <w:pPr>
        <w:tabs>
          <w:tab w:val="left" w:pos="6000"/>
        </w:tabs>
        <w:spacing w:after="120"/>
        <w:rPr>
          <w:rFonts w:ascii="Times New Roman" w:hAnsi="Times New Roman" w:cs="Times New Roman"/>
        </w:rPr>
      </w:pPr>
    </w:p>
    <w:p w:rsidR="00BB6E8D" w:rsidRPr="009F7480" w:rsidP="00BB6E8D">
      <w:pPr>
        <w:tabs>
          <w:tab w:val="left" w:pos="6000"/>
        </w:tabs>
        <w:spacing w:after="120"/>
        <w:rPr>
          <w:rFonts w:ascii="Times New Roman" w:hAnsi="Times New Roman" w:cs="Times New Roman"/>
        </w:rPr>
      </w:pPr>
    </w:p>
    <w:p w:rsidR="009F7480" w:rsidRPr="00F05D38" w:rsidP="00BB6E8D">
      <w:pPr>
        <w:numPr>
          <w:ilvl w:val="0"/>
          <w:numId w:val="150"/>
        </w:numPr>
        <w:tabs>
          <w:tab w:val="clear" w:pos="720"/>
        </w:tabs>
        <w:spacing w:line="360" w:lineRule="auto"/>
        <w:ind w:left="360"/>
        <w:rPr>
          <w:rFonts w:ascii="Times New Roman" w:hAnsi="Times New Roman" w:cs="Times New Roman"/>
        </w:rPr>
      </w:pPr>
      <w:r w:rsidRPr="009F7480">
        <w:rPr>
          <w:rFonts w:ascii="Times New Roman" w:hAnsi="Times New Roman" w:cs="Times New Roman"/>
        </w:rPr>
        <w:t>Bieloruská republika</w:t>
      </w:r>
    </w:p>
    <w:p w:rsidR="009F7480" w:rsidRPr="009F7480" w:rsidP="00BB6E8D">
      <w:pPr>
        <w:pStyle w:val="BodyTextIndent"/>
        <w:spacing w:after="0" w:line="360" w:lineRule="auto"/>
        <w:ind w:left="0" w:firstLine="357"/>
        <w:jc w:val="both"/>
        <w:rPr>
          <w:rFonts w:ascii="Times New Roman" w:hAnsi="Times New Roman" w:cs="Times New Roman"/>
        </w:rPr>
      </w:pPr>
      <w:r w:rsidRPr="009F7480">
        <w:rPr>
          <w:rFonts w:ascii="Times New Roman" w:hAnsi="Times New Roman" w:cs="Times New Roman"/>
        </w:rPr>
        <w:t xml:space="preserve">Na základe Dohody medzi vládou SR a vládou Bieloruskej republiky o reštrukturalizácii a splatení dlhu podpísanej 5.8.2002 sa bieloruská strana zaviazala splatiť svoj dlh vykonaním generálnej opravy lietadla z Leteckého útvaru Ministerstva vnútra SR v Minských leteckých opravovniach. </w:t>
      </w:r>
    </w:p>
    <w:p w:rsidR="009F7480" w:rsidRPr="009F7480" w:rsidP="00BB6E8D">
      <w:pPr>
        <w:pStyle w:val="BodyTextIndent"/>
        <w:spacing w:after="0" w:line="360" w:lineRule="auto"/>
        <w:ind w:left="0" w:firstLine="357"/>
        <w:jc w:val="both"/>
        <w:rPr>
          <w:rFonts w:ascii="Times New Roman" w:hAnsi="Times New Roman" w:cs="Times New Roman"/>
          <w:b/>
        </w:rPr>
      </w:pPr>
      <w:r w:rsidRPr="009F7480">
        <w:rPr>
          <w:rFonts w:ascii="Times New Roman" w:hAnsi="Times New Roman" w:cs="Times New Roman"/>
        </w:rPr>
        <w:t>Ministerstvo vnútra SR akceptovalo v júni 2006 inkasné doklady  k dokumentárnemu inkasu č. 0000001MK. Po prevedenom zaúčtovaní bol účet pohľadávky  vynulovaný. Pohľadávka SR voči Bieloruskej republike je vysporiadaná.</w:t>
      </w:r>
    </w:p>
    <w:p w:rsidR="009F7480" w:rsidP="009F7480">
      <w:pPr>
        <w:pStyle w:val="BodyTextIndent"/>
        <w:ind w:left="0"/>
        <w:rPr>
          <w:rFonts w:ascii="Times New Roman" w:hAnsi="Times New Roman" w:cs="Times New Roman"/>
          <w:b/>
        </w:rPr>
      </w:pPr>
    </w:p>
    <w:p w:rsidR="00BB6E8D" w:rsidRPr="009F7480" w:rsidP="00BB6E8D">
      <w:pPr>
        <w:pStyle w:val="BodyTextIndent"/>
        <w:ind w:left="0"/>
        <w:rPr>
          <w:rFonts w:ascii="Times New Roman" w:hAnsi="Times New Roman" w:cs="Times New Roman"/>
          <w:b/>
        </w:rPr>
      </w:pPr>
    </w:p>
    <w:p w:rsidR="009F7480" w:rsidRPr="00F05D38" w:rsidP="00BB6E8D">
      <w:pPr>
        <w:pStyle w:val="BodyTextIndent"/>
        <w:numPr>
          <w:ilvl w:val="0"/>
          <w:numId w:val="150"/>
        </w:numPr>
        <w:tabs>
          <w:tab w:val="clear" w:pos="720"/>
        </w:tabs>
        <w:ind w:left="360"/>
        <w:rPr>
          <w:rFonts w:ascii="Times New Roman" w:hAnsi="Times New Roman" w:cs="Times New Roman"/>
        </w:rPr>
      </w:pPr>
      <w:r w:rsidRPr="009F7480">
        <w:rPr>
          <w:rFonts w:ascii="Times New Roman" w:hAnsi="Times New Roman" w:cs="Times New Roman"/>
        </w:rPr>
        <w:t>Sýrska arabská republika</w:t>
      </w:r>
    </w:p>
    <w:p w:rsidR="00D40CB2" w:rsidRPr="009F7480" w:rsidP="007C3FEB">
      <w:pPr>
        <w:spacing w:line="360" w:lineRule="auto"/>
        <w:ind w:firstLine="360"/>
        <w:jc w:val="both"/>
        <w:rPr>
          <w:rFonts w:ascii="Times New Roman" w:hAnsi="Times New Roman" w:cs="Times New Roman"/>
        </w:rPr>
      </w:pPr>
      <w:r w:rsidRPr="009F7480" w:rsidR="009F7480">
        <w:rPr>
          <w:rFonts w:ascii="Times New Roman" w:hAnsi="Times New Roman" w:cs="Times New Roman"/>
        </w:rPr>
        <w:t>Dňa 01.04.2005 bola podpísaná trojstranná vládna Dohoda medzi vládou ČR, vládou SR  a vládou SAR o reštrukturalizácií a splatení záväzku SAR voči ČR a SR (ďalej len „Dohoda“). V ustanoveniach Dohody sa uvádza spôsob vysporiadania vládnej pohľadávky na hotovostnom princípe ako aj vysporiadanie pohľadávok v rámci zriadenia Nového likvidačného účtu (ďalej len „NLÚ“) v prospech ČR a SR za účelom splatenia formou tovarových dodávok. Vzhľadom na skutočnosť, že nie je ukončené čerpanie prostriedkov z NLÚ, celý dlh SAR voči SR nie je vyrovnaný.</w:t>
      </w:r>
    </w:p>
    <w:p w:rsidR="009F7480" w:rsidRPr="00C77ABB" w:rsidP="009F7480">
      <w:pPr>
        <w:tabs>
          <w:tab w:val="left" w:pos="6000"/>
        </w:tabs>
        <w:spacing w:after="120"/>
        <w:rPr>
          <w:rFonts w:ascii="Times New Roman" w:hAnsi="Times New Roman" w:cs="Times New Roman"/>
          <w:bCs/>
          <w:u w:val="single"/>
        </w:rPr>
      </w:pPr>
      <w:r w:rsidRPr="00C77ABB">
        <w:rPr>
          <w:rFonts w:ascii="Times New Roman" w:hAnsi="Times New Roman" w:cs="Times New Roman"/>
          <w:bCs/>
          <w:u w:val="single"/>
        </w:rPr>
        <w:t>Špeciálne pohľadávky Sloven</w:t>
      </w:r>
      <w:r w:rsidRPr="00C77ABB" w:rsidR="00D869ED">
        <w:rPr>
          <w:rFonts w:ascii="Times New Roman" w:hAnsi="Times New Roman" w:cs="Times New Roman"/>
          <w:bCs/>
          <w:u w:val="single"/>
        </w:rPr>
        <w:t>skej republiky voči zahraničiu:</w:t>
      </w:r>
    </w:p>
    <w:p w:rsidR="009F7480" w:rsidRPr="00D40CB2" w:rsidP="00D40CB2">
      <w:pPr>
        <w:tabs>
          <w:tab w:val="left" w:pos="6000"/>
        </w:tabs>
        <w:spacing w:after="120" w:line="360" w:lineRule="auto"/>
        <w:jc w:val="both"/>
        <w:rPr>
          <w:rFonts w:ascii="Times New Roman" w:hAnsi="Times New Roman" w:cs="Times New Roman"/>
        </w:rPr>
      </w:pPr>
      <w:r w:rsidRPr="009F7480">
        <w:rPr>
          <w:rFonts w:ascii="Times New Roman" w:hAnsi="Times New Roman" w:cs="Times New Roman"/>
        </w:rPr>
        <w:t>Prehľad o stave vysporiadania pohľadávok Slovenskej republiky voči zahraničiu v špeciálnej oblasti je evidovaný v režime utajenom a preto bude predložený na rokovanie vlády Slovenskej republiky ako osobitný dokument.</w:t>
      </w:r>
    </w:p>
    <w:p w:rsidR="00C77ABB" w:rsidRPr="00405614" w:rsidP="00B534F8">
      <w:pPr>
        <w:rPr>
          <w:rFonts w:ascii="Times New Roman" w:hAnsi="Times New Roman" w:cs="Times New Roman"/>
          <w:u w:val="single"/>
        </w:rPr>
      </w:pPr>
    </w:p>
    <w:p w:rsidR="00B534F8" w:rsidP="009F7480">
      <w:pPr>
        <w:numPr>
          <w:ilvl w:val="0"/>
          <w:numId w:val="97"/>
        </w:numPr>
        <w:tabs>
          <w:tab w:val="left" w:pos="720"/>
        </w:tabs>
        <w:spacing w:line="360" w:lineRule="auto"/>
        <w:jc w:val="center"/>
        <w:rPr>
          <w:rFonts w:ascii="Times New Roman" w:hAnsi="Times New Roman" w:cs="Times New Roman"/>
          <w:u w:val="single"/>
        </w:rPr>
      </w:pPr>
      <w:r w:rsidRPr="00405614">
        <w:rPr>
          <w:rFonts w:ascii="Times New Roman" w:hAnsi="Times New Roman" w:cs="Times New Roman"/>
          <w:u w:val="single"/>
        </w:rPr>
        <w:t>Vládne pohľadávky voči zahraničiu – úvery</w:t>
      </w:r>
    </w:p>
    <w:p w:rsidR="00B534F8" w:rsidRPr="00405614" w:rsidP="00B534F8">
      <w:pPr>
        <w:spacing w:before="120" w:line="360" w:lineRule="auto"/>
        <w:ind w:firstLine="708"/>
        <w:jc w:val="both"/>
        <w:rPr>
          <w:rFonts w:ascii="Times New Roman" w:hAnsi="Times New Roman" w:cs="Times New Roman"/>
          <w:color w:val="000000"/>
        </w:rPr>
      </w:pPr>
      <w:r w:rsidRPr="00405614">
        <w:rPr>
          <w:rFonts w:ascii="Times New Roman" w:hAnsi="Times New Roman" w:cs="Times New Roman"/>
          <w:color w:val="000000"/>
        </w:rPr>
        <w:t>Pohľadávky z poskytnutých vládnych úverov civil na základe dohody doteraz spravuje pre Ministerstvo financií  SR Československá obchodná  banka, a.s. Praha a Národná banka Slovenska. V priebehu roka 200</w:t>
      </w:r>
      <w:r>
        <w:rPr>
          <w:rFonts w:ascii="Times New Roman" w:hAnsi="Times New Roman" w:cs="Times New Roman"/>
          <w:color w:val="000000"/>
        </w:rPr>
        <w:t>6</w:t>
      </w:r>
      <w:r w:rsidRPr="00405614">
        <w:rPr>
          <w:rFonts w:ascii="Times New Roman" w:hAnsi="Times New Roman" w:cs="Times New Roman"/>
          <w:color w:val="000000"/>
        </w:rPr>
        <w:t xml:space="preserve"> sa ich stav znížil</w:t>
      </w:r>
      <w:r>
        <w:rPr>
          <w:rFonts w:ascii="Times New Roman" w:hAnsi="Times New Roman" w:cs="Times New Roman"/>
          <w:color w:val="000000"/>
        </w:rPr>
        <w:t xml:space="preserve"> z 12 630,1 </w:t>
      </w:r>
      <w:r w:rsidRPr="00405614">
        <w:rPr>
          <w:rFonts w:ascii="Times New Roman" w:hAnsi="Times New Roman" w:cs="Times New Roman"/>
          <w:color w:val="000000"/>
        </w:rPr>
        <w:t xml:space="preserve">mil. Sk   na </w:t>
      </w:r>
      <w:r>
        <w:rPr>
          <w:rFonts w:ascii="Times New Roman" w:hAnsi="Times New Roman" w:cs="Times New Roman"/>
          <w:color w:val="000000"/>
        </w:rPr>
        <w:t xml:space="preserve">8 177,1 </w:t>
      </w:r>
      <w:r w:rsidRPr="00405614">
        <w:rPr>
          <w:rFonts w:ascii="Times New Roman" w:hAnsi="Times New Roman" w:cs="Times New Roman"/>
          <w:color w:val="000000"/>
        </w:rPr>
        <w:t>mil. Sk, čo predstavuje celkové zníženie o</w:t>
      </w:r>
      <w:r>
        <w:rPr>
          <w:rFonts w:ascii="Times New Roman" w:hAnsi="Times New Roman" w:cs="Times New Roman"/>
          <w:color w:val="000000"/>
        </w:rPr>
        <w:t> 4  453,0</w:t>
      </w:r>
      <w:r w:rsidRPr="00405614">
        <w:rPr>
          <w:rFonts w:ascii="Times New Roman" w:hAnsi="Times New Roman" w:cs="Times New Roman"/>
          <w:color w:val="000000"/>
        </w:rPr>
        <w:t xml:space="preserve"> mil. Sk. </w:t>
      </w:r>
    </w:p>
    <w:p w:rsidR="00B534F8" w:rsidP="00C77ABB">
      <w:pPr>
        <w:spacing w:before="120"/>
        <w:ind w:firstLine="709"/>
        <w:jc w:val="both"/>
        <w:rPr>
          <w:rFonts w:ascii="Times New Roman" w:hAnsi="Times New Roman" w:cs="Times New Roman"/>
        </w:rPr>
      </w:pPr>
      <w:r w:rsidRPr="00405614">
        <w:rPr>
          <w:rFonts w:ascii="Times New Roman" w:hAnsi="Times New Roman" w:cs="Times New Roman"/>
        </w:rPr>
        <w:t>Vývoj pohľadávok voči zahraničiu - úvery charakterizuje nasledovný prehľad</w:t>
      </w:r>
      <w:r>
        <w:rPr>
          <w:rFonts w:ascii="Times New Roman" w:hAnsi="Times New Roman" w:cs="Times New Roman"/>
        </w:rPr>
        <w:t xml:space="preserve">             </w:t>
      </w:r>
      <w:r w:rsidRPr="00405614">
        <w:rPr>
          <w:rFonts w:ascii="Times New Roman" w:hAnsi="Times New Roman" w:cs="Times New Roman"/>
        </w:rPr>
        <w:t xml:space="preserve"> (mil. Sk): </w:t>
      </w:r>
    </w:p>
    <w:tbl>
      <w:tblPr>
        <w:tblW w:w="9311" w:type="dxa"/>
        <w:tblInd w:w="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Pr>
      <w:tblGrid>
        <w:gridCol w:w="5685"/>
        <w:gridCol w:w="1134"/>
        <w:gridCol w:w="1276"/>
        <w:gridCol w:w="1216"/>
      </w:tblGrid>
      <w:tr>
        <w:tblPrEx>
          <w:tblW w:w="9311" w:type="dxa"/>
          <w:tblInd w:w="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PrEx>
        <w:trPr>
          <w:trHeight w:val="785"/>
        </w:trPr>
        <w:tc>
          <w:tcPr>
            <w:tcW w:w="5685"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524382" w:rsidRPr="00B342FB" w:rsidP="00ED222B">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Položka aktív</w:t>
            </w:r>
          </w:p>
        </w:tc>
        <w:tc>
          <w:tcPr>
            <w:tcW w:w="1134"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524382" w:rsidRPr="00B342FB" w:rsidP="00524382">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Stav</w:t>
            </w:r>
          </w:p>
          <w:p w:rsidR="00524382" w:rsidRPr="00B342FB" w:rsidP="00524382">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k 1.1.2006</w:t>
            </w:r>
          </w:p>
        </w:tc>
        <w:tc>
          <w:tcPr>
            <w:tcW w:w="1276"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524382" w:rsidRPr="00B342FB" w:rsidP="00524382">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Stav</w:t>
            </w:r>
          </w:p>
          <w:p w:rsidR="00524382" w:rsidRPr="00B342FB" w:rsidP="00524382">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k 31.12.2006</w:t>
            </w:r>
          </w:p>
        </w:tc>
        <w:tc>
          <w:tcPr>
            <w:tcW w:w="1216"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524382" w:rsidRPr="00B342FB" w:rsidP="00524382">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Zmena</w:t>
            </w:r>
          </w:p>
          <w:p w:rsidR="00524382" w:rsidRPr="00B342FB" w:rsidP="00524382">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v roku 2006</w:t>
            </w:r>
          </w:p>
        </w:tc>
      </w:tr>
      <w:tr>
        <w:tblPrEx>
          <w:tblW w:w="9311" w:type="dxa"/>
          <w:tblInd w:w="55" w:type="dxa"/>
          <w:tblCellMar>
            <w:left w:w="70" w:type="dxa"/>
            <w:right w:w="70" w:type="dxa"/>
          </w:tblCellMar>
        </w:tblPrEx>
        <w:trPr>
          <w:trHeight w:val="330"/>
        </w:trPr>
        <w:tc>
          <w:tcPr>
            <w:tcW w:w="568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Vládne pohľadávky voči zahraničiu - úvery v</w:t>
            </w:r>
            <w:r w:rsidRPr="00B342FB" w:rsidR="0048644A">
              <w:rPr>
                <w:rFonts w:ascii="Times New Roman" w:hAnsi="Times New Roman" w:cs="Times New Roman"/>
                <w:b/>
                <w:bCs/>
                <w:color w:val="000000"/>
                <w:sz w:val="20"/>
                <w:szCs w:val="20"/>
              </w:rPr>
              <w:t> </w:t>
            </w:r>
            <w:r w:rsidRPr="00B342FB">
              <w:rPr>
                <w:rFonts w:ascii="Times New Roman" w:hAnsi="Times New Roman" w:cs="Times New Roman"/>
                <w:b/>
                <w:bCs/>
                <w:color w:val="000000"/>
                <w:sz w:val="20"/>
                <w:szCs w:val="20"/>
              </w:rPr>
              <w:t>správe ČSOB</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6 643,8</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4 459,7</w:t>
            </w:r>
          </w:p>
        </w:tc>
        <w:tc>
          <w:tcPr>
            <w:tcW w:w="121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-2 184,1</w:t>
            </w:r>
          </w:p>
        </w:tc>
      </w:tr>
      <w:tr>
        <w:tblPrEx>
          <w:tblW w:w="9311" w:type="dxa"/>
          <w:tblInd w:w="55" w:type="dxa"/>
          <w:tblCellMar>
            <w:left w:w="70" w:type="dxa"/>
            <w:right w:w="70" w:type="dxa"/>
          </w:tblCellMar>
        </w:tblPrEx>
        <w:trPr>
          <w:trHeight w:val="60"/>
        </w:trPr>
        <w:tc>
          <w:tcPr>
            <w:tcW w:w="568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Civilné vládne pohľadávky v nekonvertibilných menách – úvery</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281,0</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127,3</w:t>
            </w:r>
          </w:p>
        </w:tc>
        <w:tc>
          <w:tcPr>
            <w:tcW w:w="121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-153,7</w:t>
            </w:r>
          </w:p>
        </w:tc>
      </w:tr>
      <w:tr>
        <w:tblPrEx>
          <w:tblW w:w="9311" w:type="dxa"/>
          <w:tblInd w:w="55" w:type="dxa"/>
          <w:tblCellMar>
            <w:left w:w="70" w:type="dxa"/>
            <w:right w:w="70" w:type="dxa"/>
          </w:tblCellMar>
        </w:tblPrEx>
        <w:trPr>
          <w:trHeight w:val="60"/>
        </w:trPr>
        <w:tc>
          <w:tcPr>
            <w:tcW w:w="568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color w:val="000000"/>
                <w:sz w:val="20"/>
                <w:szCs w:val="20"/>
              </w:rPr>
            </w:pPr>
            <w:r w:rsidRPr="00B342FB">
              <w:rPr>
                <w:rFonts w:ascii="Times New Roman" w:hAnsi="Times New Roman" w:cs="Times New Roman"/>
                <w:color w:val="000000"/>
                <w:sz w:val="20"/>
                <w:szCs w:val="20"/>
              </w:rPr>
              <w:t>Ruská federácia - Krivoj Rog</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107,1</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109,3</w:t>
            </w:r>
          </w:p>
        </w:tc>
        <w:tc>
          <w:tcPr>
            <w:tcW w:w="121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2,2</w:t>
            </w:r>
          </w:p>
        </w:tc>
      </w:tr>
      <w:tr>
        <w:tblPrEx>
          <w:tblW w:w="9311" w:type="dxa"/>
          <w:tblInd w:w="55" w:type="dxa"/>
          <w:tblCellMar>
            <w:left w:w="70" w:type="dxa"/>
            <w:right w:w="70" w:type="dxa"/>
          </w:tblCellMar>
        </w:tblPrEx>
        <w:trPr>
          <w:trHeight w:val="162"/>
        </w:trPr>
        <w:tc>
          <w:tcPr>
            <w:tcW w:w="568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iCs/>
                <w:color w:val="000000"/>
                <w:sz w:val="20"/>
                <w:szCs w:val="20"/>
              </w:rPr>
            </w:pPr>
            <w:r w:rsidRPr="00B342FB">
              <w:rPr>
                <w:rFonts w:ascii="Times New Roman" w:hAnsi="Times New Roman" w:cs="Times New Roman"/>
                <w:iCs/>
                <w:color w:val="000000"/>
                <w:sz w:val="20"/>
                <w:szCs w:val="20"/>
              </w:rPr>
              <w:t xml:space="preserve">Sýria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iCs/>
                <w:color w:val="000000"/>
                <w:sz w:val="20"/>
                <w:szCs w:val="20"/>
              </w:rPr>
            </w:pPr>
            <w:r w:rsidRPr="00B342FB">
              <w:rPr>
                <w:rFonts w:ascii="Times New Roman" w:hAnsi="Times New Roman" w:cs="Times New Roman"/>
                <w:iCs/>
                <w:color w:val="000000"/>
                <w:sz w:val="20"/>
                <w:szCs w:val="20"/>
              </w:rPr>
              <w:t>173,9</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iCs/>
                <w:color w:val="000000"/>
                <w:sz w:val="20"/>
                <w:szCs w:val="20"/>
              </w:rPr>
            </w:pPr>
            <w:r w:rsidRPr="00B342FB">
              <w:rPr>
                <w:rFonts w:ascii="Times New Roman" w:hAnsi="Times New Roman" w:cs="Times New Roman"/>
                <w:iCs/>
                <w:color w:val="000000"/>
                <w:sz w:val="20"/>
                <w:szCs w:val="20"/>
              </w:rPr>
              <w:t>18,0</w:t>
            </w:r>
          </w:p>
        </w:tc>
        <w:tc>
          <w:tcPr>
            <w:tcW w:w="121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-155,9</w:t>
            </w:r>
          </w:p>
        </w:tc>
      </w:tr>
      <w:tr>
        <w:tblPrEx>
          <w:tblW w:w="9311" w:type="dxa"/>
          <w:tblInd w:w="55" w:type="dxa"/>
          <w:tblCellMar>
            <w:left w:w="70" w:type="dxa"/>
            <w:right w:w="70" w:type="dxa"/>
          </w:tblCellMar>
        </w:tblPrEx>
        <w:trPr>
          <w:trHeight w:val="60"/>
        </w:trPr>
        <w:tc>
          <w:tcPr>
            <w:tcW w:w="568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Civilné vládne pohľadávky v konvertibilných menách – úvery</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859,1</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595,9</w:t>
            </w:r>
          </w:p>
        </w:tc>
        <w:tc>
          <w:tcPr>
            <w:tcW w:w="121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-263,2</w:t>
            </w:r>
          </w:p>
        </w:tc>
      </w:tr>
      <w:tr>
        <w:tblPrEx>
          <w:tblW w:w="9311" w:type="dxa"/>
          <w:tblInd w:w="55" w:type="dxa"/>
          <w:tblCellMar>
            <w:left w:w="70" w:type="dxa"/>
            <w:right w:w="70" w:type="dxa"/>
          </w:tblCellMar>
        </w:tblPrEx>
        <w:trPr>
          <w:trHeight w:val="60"/>
        </w:trPr>
        <w:tc>
          <w:tcPr>
            <w:tcW w:w="568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color w:val="000000"/>
                <w:sz w:val="20"/>
                <w:szCs w:val="20"/>
              </w:rPr>
            </w:pPr>
            <w:r w:rsidRPr="00B342FB">
              <w:rPr>
                <w:rFonts w:ascii="Times New Roman" w:hAnsi="Times New Roman" w:cs="Times New Roman"/>
                <w:color w:val="000000"/>
                <w:sz w:val="20"/>
                <w:szCs w:val="20"/>
              </w:rPr>
              <w:t>Alžírsko</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512,1</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386,9</w:t>
            </w:r>
          </w:p>
        </w:tc>
        <w:tc>
          <w:tcPr>
            <w:tcW w:w="121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-125,2</w:t>
            </w:r>
          </w:p>
        </w:tc>
      </w:tr>
      <w:tr>
        <w:tblPrEx>
          <w:tblW w:w="9311" w:type="dxa"/>
          <w:tblInd w:w="55" w:type="dxa"/>
          <w:tblCellMar>
            <w:left w:w="70" w:type="dxa"/>
            <w:right w:w="70" w:type="dxa"/>
          </w:tblCellMar>
        </w:tblPrEx>
        <w:trPr>
          <w:trHeight w:val="151"/>
        </w:trPr>
        <w:tc>
          <w:tcPr>
            <w:tcW w:w="568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color w:val="000000"/>
                <w:sz w:val="20"/>
                <w:szCs w:val="20"/>
              </w:rPr>
            </w:pPr>
            <w:r w:rsidRPr="00B342FB">
              <w:rPr>
                <w:rFonts w:ascii="Times New Roman" w:hAnsi="Times New Roman" w:cs="Times New Roman"/>
                <w:color w:val="000000"/>
                <w:sz w:val="20"/>
                <w:szCs w:val="20"/>
              </w:rPr>
              <w:t>Alžírsko ( TRADE SERVICE, a.s. Bratislava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24,6</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8,0</w:t>
            </w:r>
          </w:p>
        </w:tc>
        <w:tc>
          <w:tcPr>
            <w:tcW w:w="121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-16,6</w:t>
            </w:r>
          </w:p>
        </w:tc>
      </w:tr>
      <w:tr>
        <w:tblPrEx>
          <w:tblW w:w="9311" w:type="dxa"/>
          <w:tblInd w:w="55" w:type="dxa"/>
          <w:tblCellMar>
            <w:left w:w="70" w:type="dxa"/>
            <w:right w:w="70" w:type="dxa"/>
          </w:tblCellMar>
        </w:tblPrEx>
        <w:trPr>
          <w:trHeight w:val="63"/>
        </w:trPr>
        <w:tc>
          <w:tcPr>
            <w:tcW w:w="568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color w:val="000000"/>
                <w:sz w:val="20"/>
                <w:szCs w:val="20"/>
              </w:rPr>
            </w:pPr>
            <w:r w:rsidRPr="00B342FB">
              <w:rPr>
                <w:rFonts w:ascii="Times New Roman" w:hAnsi="Times New Roman" w:cs="Times New Roman"/>
                <w:color w:val="000000"/>
                <w:sz w:val="20"/>
                <w:szCs w:val="20"/>
              </w:rPr>
              <w:t>Myanmar ( Barma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322,4</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201,0</w:t>
            </w:r>
          </w:p>
        </w:tc>
        <w:tc>
          <w:tcPr>
            <w:tcW w:w="121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-121,4</w:t>
            </w:r>
          </w:p>
        </w:tc>
      </w:tr>
      <w:tr>
        <w:tblPrEx>
          <w:tblW w:w="9311" w:type="dxa"/>
          <w:tblInd w:w="55" w:type="dxa"/>
          <w:tblCellMar>
            <w:left w:w="70" w:type="dxa"/>
            <w:right w:w="70" w:type="dxa"/>
          </w:tblCellMar>
        </w:tblPrEx>
        <w:trPr>
          <w:trHeight w:val="60"/>
        </w:trPr>
        <w:tc>
          <w:tcPr>
            <w:tcW w:w="568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 xml:space="preserve"> Špeciálne vládne pohľadávky – úvery</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5 503,7</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3 736,5</w:t>
            </w:r>
          </w:p>
        </w:tc>
        <w:tc>
          <w:tcPr>
            <w:tcW w:w="121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-1 767,2</w:t>
            </w:r>
          </w:p>
        </w:tc>
      </w:tr>
      <w:tr>
        <w:tblPrEx>
          <w:tblW w:w="9311" w:type="dxa"/>
          <w:tblInd w:w="55" w:type="dxa"/>
          <w:tblCellMar>
            <w:left w:w="70" w:type="dxa"/>
            <w:right w:w="70" w:type="dxa"/>
          </w:tblCellMar>
        </w:tblPrEx>
        <w:trPr>
          <w:trHeight w:val="60"/>
        </w:trPr>
        <w:tc>
          <w:tcPr>
            <w:tcW w:w="568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color w:val="000000"/>
                <w:sz w:val="20"/>
                <w:szCs w:val="20"/>
              </w:rPr>
            </w:pPr>
            <w:r w:rsidRPr="00B342FB">
              <w:rPr>
                <w:rFonts w:ascii="Times New Roman" w:hAnsi="Times New Roman" w:cs="Times New Roman"/>
                <w:color w:val="000000"/>
                <w:sz w:val="20"/>
                <w:szCs w:val="20"/>
              </w:rPr>
              <w:t>VÚ špeciál v</w:t>
            </w:r>
            <w:r w:rsidR="00ED032B">
              <w:rPr>
                <w:rFonts w:ascii="Times New Roman" w:hAnsi="Times New Roman" w:cs="Times New Roman"/>
                <w:color w:val="000000"/>
                <w:sz w:val="20"/>
                <w:szCs w:val="20"/>
              </w:rPr>
              <w:t> </w:t>
            </w:r>
            <w:r w:rsidRPr="00B342FB">
              <w:rPr>
                <w:rFonts w:ascii="Times New Roman" w:hAnsi="Times New Roman" w:cs="Times New Roman"/>
                <w:color w:val="000000"/>
                <w:sz w:val="20"/>
                <w:szCs w:val="20"/>
              </w:rPr>
              <w:t>USD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5 384,8</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3 615,0</w:t>
            </w:r>
          </w:p>
        </w:tc>
        <w:tc>
          <w:tcPr>
            <w:tcW w:w="121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-1 769,8</w:t>
            </w:r>
          </w:p>
        </w:tc>
      </w:tr>
      <w:tr>
        <w:tblPrEx>
          <w:tblW w:w="9311" w:type="dxa"/>
          <w:tblInd w:w="55" w:type="dxa"/>
          <w:tblCellMar>
            <w:left w:w="70" w:type="dxa"/>
            <w:right w:w="70" w:type="dxa"/>
          </w:tblCellMar>
        </w:tblPrEx>
        <w:trPr>
          <w:trHeight w:val="158"/>
        </w:trPr>
        <w:tc>
          <w:tcPr>
            <w:tcW w:w="5685" w:type="dxa"/>
            <w:tcBorders>
              <w:top w:val="single" w:sz="4" w:space="0" w:color="auto"/>
              <w:left w:val="single" w:sz="8" w:space="0" w:color="auto"/>
              <w:bottom w:val="single" w:sz="8"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color w:val="000000"/>
                <w:sz w:val="20"/>
                <w:szCs w:val="20"/>
              </w:rPr>
            </w:pPr>
            <w:r w:rsidRPr="00B342FB">
              <w:rPr>
                <w:rFonts w:ascii="Times New Roman" w:hAnsi="Times New Roman" w:cs="Times New Roman"/>
                <w:color w:val="000000"/>
                <w:sz w:val="20"/>
                <w:szCs w:val="20"/>
              </w:rPr>
              <w:t>VÚ špeciál v</w:t>
            </w:r>
            <w:r w:rsidR="00ED032B">
              <w:rPr>
                <w:rFonts w:ascii="Times New Roman" w:hAnsi="Times New Roman" w:cs="Times New Roman"/>
                <w:color w:val="000000"/>
                <w:sz w:val="20"/>
                <w:szCs w:val="20"/>
              </w:rPr>
              <w:t> </w:t>
            </w:r>
            <w:r w:rsidRPr="00B342FB">
              <w:rPr>
                <w:rFonts w:ascii="Times New Roman" w:hAnsi="Times New Roman" w:cs="Times New Roman"/>
                <w:color w:val="000000"/>
                <w:sz w:val="20"/>
                <w:szCs w:val="20"/>
              </w:rPr>
              <w:t>XTR</w:t>
            </w:r>
          </w:p>
        </w:tc>
        <w:tc>
          <w:tcPr>
            <w:tcW w:w="1134" w:type="dxa"/>
            <w:tcBorders>
              <w:top w:val="single" w:sz="4" w:space="0" w:color="auto"/>
              <w:left w:val="single" w:sz="4" w:space="0" w:color="auto"/>
              <w:bottom w:val="single" w:sz="8"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118,9</w:t>
            </w:r>
          </w:p>
        </w:tc>
        <w:tc>
          <w:tcPr>
            <w:tcW w:w="1276" w:type="dxa"/>
            <w:tcBorders>
              <w:top w:val="single" w:sz="4" w:space="0" w:color="auto"/>
              <w:left w:val="single" w:sz="4" w:space="0" w:color="auto"/>
              <w:bottom w:val="single" w:sz="8"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121,5</w:t>
            </w:r>
          </w:p>
        </w:tc>
        <w:tc>
          <w:tcPr>
            <w:tcW w:w="1216" w:type="dxa"/>
            <w:tcBorders>
              <w:top w:val="single" w:sz="4" w:space="0" w:color="auto"/>
              <w:left w:val="single" w:sz="4" w:space="0" w:color="auto"/>
              <w:bottom w:val="single" w:sz="8"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2,6</w:t>
            </w:r>
          </w:p>
        </w:tc>
      </w:tr>
    </w:tbl>
    <w:p w:rsidR="00D56A92">
      <w:pPr>
        <w:rPr>
          <w:rFonts w:ascii="Times New Roman" w:hAnsi="Times New Roman" w:cs="Times New Roman"/>
          <w:sz w:val="20"/>
          <w:szCs w:val="20"/>
        </w:rPr>
      </w:pPr>
    </w:p>
    <w:p w:rsidR="00861599" w:rsidRPr="00D56A92">
      <w:pPr>
        <w:rPr>
          <w:rFonts w:ascii="Times New Roman" w:hAnsi="Times New Roman" w:cs="Times New Roman"/>
          <w:sz w:val="20"/>
          <w:szCs w:val="20"/>
        </w:rPr>
      </w:pPr>
      <w:r w:rsidRPr="00D56A92" w:rsidR="00D56A92">
        <w:rPr>
          <w:rFonts w:ascii="Times New Roman" w:hAnsi="Times New Roman" w:cs="Times New Roman"/>
          <w:sz w:val="20"/>
          <w:szCs w:val="20"/>
        </w:rPr>
        <w:t>Zdroj: Ministerstvo financií SR</w:t>
      </w:r>
    </w:p>
    <w:p w:rsidR="00D40CB2">
      <w:pPr>
        <w:rPr>
          <w:rFonts w:ascii="Times New Roman" w:hAnsi="Times New Roman" w:cs="Times New Roman"/>
        </w:rPr>
      </w:pPr>
    </w:p>
    <w:tbl>
      <w:tblPr>
        <w:tblW w:w="9311" w:type="dxa"/>
        <w:tblInd w:w="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Pr>
      <w:tblGrid>
        <w:gridCol w:w="5685"/>
        <w:gridCol w:w="1134"/>
        <w:gridCol w:w="1276"/>
        <w:gridCol w:w="1216"/>
      </w:tblGrid>
      <w:tr>
        <w:tblPrEx>
          <w:tblW w:w="9311" w:type="dxa"/>
          <w:tblInd w:w="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PrEx>
        <w:trPr>
          <w:trHeight w:val="708"/>
        </w:trPr>
        <w:tc>
          <w:tcPr>
            <w:tcW w:w="5685"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861599" w:rsidRPr="00B342FB" w:rsidP="00861599">
            <w:pPr>
              <w:jc w:val="center"/>
              <w:rPr>
                <w:rFonts w:ascii="Times New Roman" w:hAnsi="Times New Roman" w:cs="Times New Roman"/>
                <w:b/>
                <w:bCs/>
                <w:color w:val="000000"/>
                <w:sz w:val="20"/>
                <w:szCs w:val="20"/>
              </w:rPr>
            </w:pPr>
          </w:p>
          <w:p w:rsidR="00861599" w:rsidRPr="00B342FB" w:rsidP="00861599">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Položka aktív</w:t>
            </w:r>
          </w:p>
          <w:p w:rsidR="00861599" w:rsidRPr="00B342FB" w:rsidP="00861599">
            <w:pPr>
              <w:jc w:val="center"/>
              <w:rPr>
                <w:rFonts w:ascii="Times New Roman" w:hAnsi="Times New Roman" w:cs="Times New Roman"/>
                <w:b/>
                <w:bCs/>
                <w:color w:val="000000"/>
                <w:sz w:val="20"/>
                <w:szCs w:val="20"/>
              </w:rPr>
            </w:pPr>
          </w:p>
        </w:tc>
        <w:tc>
          <w:tcPr>
            <w:tcW w:w="1134"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861599" w:rsidRPr="00B342FB" w:rsidP="00861599">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Stav</w:t>
            </w:r>
          </w:p>
          <w:p w:rsidR="00861599" w:rsidRPr="00B342FB" w:rsidP="00861599">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k 1.1.2006</w:t>
            </w:r>
          </w:p>
        </w:tc>
        <w:tc>
          <w:tcPr>
            <w:tcW w:w="1276"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861599" w:rsidRPr="00B342FB" w:rsidP="00861599">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Stav</w:t>
            </w:r>
          </w:p>
          <w:p w:rsidR="00861599" w:rsidRPr="00B342FB" w:rsidP="00861599">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k 31.12.2006</w:t>
            </w:r>
          </w:p>
        </w:tc>
        <w:tc>
          <w:tcPr>
            <w:tcW w:w="1216"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861599" w:rsidRPr="00B342FB" w:rsidP="00861599">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Zmena</w:t>
            </w:r>
          </w:p>
          <w:p w:rsidR="00861599" w:rsidRPr="00B342FB" w:rsidP="00861599">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v roku 2006</w:t>
            </w:r>
          </w:p>
        </w:tc>
      </w:tr>
      <w:tr>
        <w:tblPrEx>
          <w:tblW w:w="9311" w:type="dxa"/>
          <w:tblInd w:w="55" w:type="dxa"/>
          <w:tblCellMar>
            <w:left w:w="70" w:type="dxa"/>
            <w:right w:w="70" w:type="dxa"/>
          </w:tblCellMar>
        </w:tblPrEx>
        <w:trPr>
          <w:trHeight w:val="326"/>
        </w:trPr>
        <w:tc>
          <w:tcPr>
            <w:tcW w:w="568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Vládne pohľadávky voči zahraničiu - úvery v</w:t>
            </w:r>
            <w:r w:rsidRPr="00B342FB" w:rsidR="0048644A">
              <w:rPr>
                <w:rFonts w:ascii="Times New Roman" w:hAnsi="Times New Roman" w:cs="Times New Roman"/>
                <w:b/>
                <w:bCs/>
                <w:color w:val="000000"/>
                <w:sz w:val="20"/>
                <w:szCs w:val="20"/>
              </w:rPr>
              <w:t> </w:t>
            </w:r>
            <w:r w:rsidRPr="00B342FB">
              <w:rPr>
                <w:rFonts w:ascii="Times New Roman" w:hAnsi="Times New Roman" w:cs="Times New Roman"/>
                <w:b/>
                <w:bCs/>
                <w:color w:val="000000"/>
                <w:sz w:val="20"/>
                <w:szCs w:val="20"/>
              </w:rPr>
              <w:t>správe NBS</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5 986,3</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3 717,4</w:t>
            </w:r>
          </w:p>
        </w:tc>
        <w:tc>
          <w:tcPr>
            <w:tcW w:w="121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-2 268,9</w:t>
            </w:r>
          </w:p>
        </w:tc>
      </w:tr>
      <w:tr>
        <w:tblPrEx>
          <w:tblW w:w="9311" w:type="dxa"/>
          <w:tblInd w:w="55" w:type="dxa"/>
          <w:tblCellMar>
            <w:left w:w="70" w:type="dxa"/>
            <w:right w:w="70" w:type="dxa"/>
          </w:tblCellMar>
        </w:tblPrEx>
        <w:trPr>
          <w:trHeight w:val="75"/>
        </w:trPr>
        <w:tc>
          <w:tcPr>
            <w:tcW w:w="568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Civilné vládne pohľadávky v nekonvertibilných menách-úvery</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iCs/>
                <w:color w:val="000000"/>
                <w:sz w:val="20"/>
                <w:szCs w:val="20"/>
              </w:rPr>
            </w:pPr>
            <w:r w:rsidRPr="00B342FB">
              <w:rPr>
                <w:rFonts w:ascii="Times New Roman" w:hAnsi="Times New Roman" w:cs="Times New Roman"/>
                <w:color w:val="000000"/>
                <w:sz w:val="20"/>
                <w:szCs w:val="20"/>
              </w:rPr>
              <w:t>2 133,3</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i/>
                <w:iCs/>
                <w:color w:val="000000"/>
                <w:sz w:val="20"/>
                <w:szCs w:val="20"/>
              </w:rPr>
            </w:pPr>
            <w:r w:rsidRPr="00B342FB">
              <w:rPr>
                <w:rFonts w:ascii="Times New Roman" w:hAnsi="Times New Roman" w:cs="Times New Roman"/>
                <w:color w:val="000000"/>
                <w:sz w:val="20"/>
                <w:szCs w:val="20"/>
              </w:rPr>
              <w:t>2 133,4</w:t>
            </w:r>
          </w:p>
        </w:tc>
        <w:tc>
          <w:tcPr>
            <w:tcW w:w="121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0,1</w:t>
            </w:r>
          </w:p>
        </w:tc>
      </w:tr>
      <w:tr>
        <w:tblPrEx>
          <w:tblW w:w="9311" w:type="dxa"/>
          <w:tblInd w:w="55" w:type="dxa"/>
          <w:tblCellMar>
            <w:left w:w="70" w:type="dxa"/>
            <w:right w:w="70" w:type="dxa"/>
          </w:tblCellMar>
        </w:tblPrEx>
        <w:trPr>
          <w:trHeight w:val="85"/>
        </w:trPr>
        <w:tc>
          <w:tcPr>
            <w:tcW w:w="568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color w:val="000000"/>
                <w:sz w:val="20"/>
                <w:szCs w:val="20"/>
              </w:rPr>
            </w:pPr>
            <w:r w:rsidRPr="00B342FB">
              <w:rPr>
                <w:rFonts w:ascii="Times New Roman" w:hAnsi="Times New Roman" w:cs="Times New Roman"/>
                <w:color w:val="000000"/>
                <w:sz w:val="20"/>
                <w:szCs w:val="20"/>
              </w:rPr>
              <w:t>Kuba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2 133,3</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2 133,4</w:t>
            </w:r>
          </w:p>
        </w:tc>
        <w:tc>
          <w:tcPr>
            <w:tcW w:w="121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0,1</w:t>
            </w:r>
          </w:p>
        </w:tc>
      </w:tr>
      <w:tr>
        <w:tblPrEx>
          <w:tblW w:w="9311" w:type="dxa"/>
          <w:tblInd w:w="55" w:type="dxa"/>
          <w:tblCellMar>
            <w:left w:w="70" w:type="dxa"/>
            <w:right w:w="70" w:type="dxa"/>
          </w:tblCellMar>
        </w:tblPrEx>
        <w:trPr>
          <w:trHeight w:val="60"/>
        </w:trPr>
        <w:tc>
          <w:tcPr>
            <w:tcW w:w="568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Civilné vládne pohľadávky v konvertibilných menách – úvery</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3 853,0</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1 584,0</w:t>
            </w:r>
          </w:p>
        </w:tc>
        <w:tc>
          <w:tcPr>
            <w:tcW w:w="121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-2 269,0</w:t>
            </w:r>
          </w:p>
        </w:tc>
      </w:tr>
      <w:tr>
        <w:tblPrEx>
          <w:tblW w:w="9311" w:type="dxa"/>
          <w:tblInd w:w="55" w:type="dxa"/>
          <w:tblCellMar>
            <w:left w:w="70" w:type="dxa"/>
            <w:right w:w="70" w:type="dxa"/>
          </w:tblCellMar>
        </w:tblPrEx>
        <w:trPr>
          <w:trHeight w:val="134"/>
        </w:trPr>
        <w:tc>
          <w:tcPr>
            <w:tcW w:w="568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color w:val="000000"/>
                <w:sz w:val="20"/>
                <w:szCs w:val="20"/>
              </w:rPr>
            </w:pPr>
            <w:r w:rsidRPr="00B342FB">
              <w:rPr>
                <w:rFonts w:ascii="Times New Roman" w:hAnsi="Times New Roman" w:cs="Times New Roman"/>
                <w:color w:val="000000"/>
                <w:sz w:val="20"/>
                <w:szCs w:val="20"/>
              </w:rPr>
              <w:t>Alžírsko – reštrukturalizácia dlhu</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46,2</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0</w:t>
            </w:r>
          </w:p>
        </w:tc>
        <w:tc>
          <w:tcPr>
            <w:tcW w:w="121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-46,2</w:t>
            </w:r>
          </w:p>
        </w:tc>
      </w:tr>
      <w:tr>
        <w:tblPrEx>
          <w:tblW w:w="9311" w:type="dxa"/>
          <w:tblInd w:w="55" w:type="dxa"/>
          <w:tblCellMar>
            <w:left w:w="70" w:type="dxa"/>
            <w:right w:w="70" w:type="dxa"/>
          </w:tblCellMar>
        </w:tblPrEx>
        <w:trPr>
          <w:trHeight w:val="63"/>
        </w:trPr>
        <w:tc>
          <w:tcPr>
            <w:tcW w:w="568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color w:val="000000"/>
                <w:sz w:val="20"/>
                <w:szCs w:val="20"/>
              </w:rPr>
            </w:pPr>
            <w:r w:rsidRPr="00B342FB">
              <w:rPr>
                <w:rFonts w:ascii="Times New Roman" w:hAnsi="Times New Roman" w:cs="Times New Roman"/>
                <w:color w:val="000000"/>
                <w:sz w:val="20"/>
                <w:szCs w:val="20"/>
              </w:rPr>
              <w:t>Kambodža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9,8</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7,0</w:t>
            </w:r>
          </w:p>
        </w:tc>
        <w:tc>
          <w:tcPr>
            <w:tcW w:w="121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-2,8</w:t>
            </w:r>
          </w:p>
        </w:tc>
      </w:tr>
      <w:tr>
        <w:tblPrEx>
          <w:tblW w:w="9311" w:type="dxa"/>
          <w:tblInd w:w="55" w:type="dxa"/>
          <w:tblCellMar>
            <w:left w:w="70" w:type="dxa"/>
            <w:right w:w="70" w:type="dxa"/>
          </w:tblCellMar>
        </w:tblPrEx>
        <w:trPr>
          <w:trHeight w:val="184"/>
        </w:trPr>
        <w:tc>
          <w:tcPr>
            <w:tcW w:w="568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color w:val="000000"/>
                <w:sz w:val="20"/>
                <w:szCs w:val="20"/>
              </w:rPr>
            </w:pPr>
            <w:r w:rsidRPr="00B342FB">
              <w:rPr>
                <w:rFonts w:ascii="Times New Roman" w:hAnsi="Times New Roman" w:cs="Times New Roman"/>
                <w:color w:val="000000"/>
                <w:sz w:val="20"/>
                <w:szCs w:val="20"/>
              </w:rPr>
              <w:t>Laos</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2,0</w:t>
            </w:r>
          </w:p>
        </w:tc>
        <w:tc>
          <w:tcPr>
            <w:tcW w:w="121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-1,0</w:t>
            </w:r>
          </w:p>
        </w:tc>
      </w:tr>
      <w:tr>
        <w:tblPrEx>
          <w:tblW w:w="9311" w:type="dxa"/>
          <w:tblInd w:w="55" w:type="dxa"/>
          <w:tblCellMar>
            <w:left w:w="70" w:type="dxa"/>
            <w:right w:w="70" w:type="dxa"/>
          </w:tblCellMar>
        </w:tblPrEx>
        <w:trPr>
          <w:trHeight w:val="99"/>
        </w:trPr>
        <w:tc>
          <w:tcPr>
            <w:tcW w:w="568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color w:val="000000"/>
                <w:sz w:val="20"/>
                <w:szCs w:val="20"/>
              </w:rPr>
            </w:pPr>
            <w:r w:rsidRPr="00B342FB">
              <w:rPr>
                <w:rFonts w:ascii="Times New Roman" w:hAnsi="Times New Roman" w:cs="Times New Roman"/>
                <w:color w:val="000000"/>
                <w:sz w:val="20"/>
                <w:szCs w:val="20"/>
              </w:rPr>
              <w:t>Nikaragua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1 224,2</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880,3</w:t>
            </w:r>
          </w:p>
        </w:tc>
        <w:tc>
          <w:tcPr>
            <w:tcW w:w="1216"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-343,9</w:t>
            </w:r>
          </w:p>
        </w:tc>
      </w:tr>
      <w:tr>
        <w:tblPrEx>
          <w:tblW w:w="9311" w:type="dxa"/>
          <w:tblInd w:w="55" w:type="dxa"/>
          <w:tblCellMar>
            <w:left w:w="70" w:type="dxa"/>
            <w:right w:w="70" w:type="dxa"/>
          </w:tblCellMar>
        </w:tblPrEx>
        <w:trPr>
          <w:trHeight w:val="60"/>
        </w:trPr>
        <w:tc>
          <w:tcPr>
            <w:tcW w:w="5685" w:type="dxa"/>
            <w:tcBorders>
              <w:top w:val="single" w:sz="4" w:space="0" w:color="auto"/>
              <w:left w:val="single" w:sz="8" w:space="0" w:color="auto"/>
              <w:bottom w:val="single" w:sz="8"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color w:val="000000"/>
                <w:sz w:val="20"/>
                <w:szCs w:val="20"/>
              </w:rPr>
            </w:pPr>
            <w:r w:rsidRPr="00B342FB">
              <w:rPr>
                <w:rFonts w:ascii="Times New Roman" w:hAnsi="Times New Roman" w:cs="Times New Roman"/>
                <w:color w:val="000000"/>
                <w:sz w:val="20"/>
                <w:szCs w:val="20"/>
              </w:rPr>
              <w:t>Ruská federácia – konsolidovaný dlh</w:t>
            </w:r>
          </w:p>
        </w:tc>
        <w:tc>
          <w:tcPr>
            <w:tcW w:w="1134" w:type="dxa"/>
            <w:tcBorders>
              <w:top w:val="single" w:sz="4" w:space="0" w:color="auto"/>
              <w:left w:val="single" w:sz="4" w:space="0" w:color="auto"/>
              <w:bottom w:val="single" w:sz="8"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2 569,8</w:t>
            </w:r>
          </w:p>
        </w:tc>
        <w:tc>
          <w:tcPr>
            <w:tcW w:w="1276" w:type="dxa"/>
            <w:tcBorders>
              <w:top w:val="single" w:sz="4" w:space="0" w:color="auto"/>
              <w:left w:val="single" w:sz="4" w:space="0" w:color="auto"/>
              <w:bottom w:val="single" w:sz="8"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694,7</w:t>
            </w:r>
          </w:p>
        </w:tc>
        <w:tc>
          <w:tcPr>
            <w:tcW w:w="1216" w:type="dxa"/>
            <w:tcBorders>
              <w:top w:val="single" w:sz="4" w:space="0" w:color="auto"/>
              <w:left w:val="single" w:sz="4" w:space="0" w:color="auto"/>
              <w:bottom w:val="single" w:sz="8"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-1 875,1</w:t>
            </w:r>
          </w:p>
        </w:tc>
      </w:tr>
    </w:tbl>
    <w:p w:rsidR="00B534F8" w:rsidRPr="00524382" w:rsidP="00B534F8">
      <w:pPr>
        <w:spacing w:before="120"/>
        <w:rPr>
          <w:rFonts w:ascii="Times New Roman" w:hAnsi="Times New Roman" w:cs="Times New Roman"/>
          <w:sz w:val="20"/>
          <w:szCs w:val="20"/>
        </w:rPr>
      </w:pPr>
      <w:r w:rsidRPr="00524382">
        <w:rPr>
          <w:rFonts w:ascii="Times New Roman" w:hAnsi="Times New Roman" w:cs="Times New Roman"/>
          <w:sz w:val="20"/>
          <w:szCs w:val="20"/>
        </w:rPr>
        <w:t>Zdroj: Ministerstvo financií SR</w:t>
      </w:r>
    </w:p>
    <w:p w:rsidR="00B534F8" w:rsidRPr="0030516A" w:rsidP="00B534F8">
      <w:pPr>
        <w:spacing w:before="240" w:line="360" w:lineRule="auto"/>
        <w:ind w:firstLine="708"/>
        <w:jc w:val="both"/>
        <w:rPr>
          <w:rFonts w:ascii="Times New Roman" w:hAnsi="Times New Roman" w:cs="Times New Roman"/>
        </w:rPr>
      </w:pPr>
      <w:r w:rsidR="005825A4">
        <w:rPr>
          <w:rFonts w:ascii="Times New Roman" w:hAnsi="Times New Roman" w:cs="Times New Roman"/>
        </w:rPr>
        <w:br w:type="page"/>
      </w:r>
      <w:r>
        <w:rPr>
          <w:rFonts w:ascii="Times New Roman" w:hAnsi="Times New Roman" w:cs="Times New Roman"/>
        </w:rPr>
        <w:t>V roku 2006</w:t>
      </w:r>
      <w:r w:rsidRPr="0030516A">
        <w:rPr>
          <w:rFonts w:ascii="Times New Roman" w:hAnsi="Times New Roman" w:cs="Times New Roman"/>
        </w:rPr>
        <w:t xml:space="preserve"> v poskytnutých vládnych úveroch-civil do zahraničia </w:t>
      </w:r>
      <w:r w:rsidRPr="00730D09">
        <w:rPr>
          <w:rFonts w:ascii="Times New Roman" w:hAnsi="Times New Roman" w:cs="Times New Roman"/>
          <w:u w:val="single"/>
        </w:rPr>
        <w:t>spravovaných ČSOB,</w:t>
      </w:r>
      <w:r w:rsidRPr="0030516A">
        <w:rPr>
          <w:rFonts w:ascii="Times New Roman" w:hAnsi="Times New Roman" w:cs="Times New Roman"/>
        </w:rPr>
        <w:t xml:space="preserve"> a.s. prišlo k</w:t>
      </w:r>
      <w:r>
        <w:rPr>
          <w:rFonts w:ascii="Times New Roman" w:hAnsi="Times New Roman" w:cs="Times New Roman"/>
        </w:rPr>
        <w:t> </w:t>
      </w:r>
      <w:r w:rsidRPr="0030516A">
        <w:rPr>
          <w:rFonts w:ascii="Times New Roman" w:hAnsi="Times New Roman" w:cs="Times New Roman"/>
        </w:rPr>
        <w:t>zníženiu</w:t>
      </w:r>
      <w:r>
        <w:rPr>
          <w:rFonts w:ascii="Times New Roman" w:hAnsi="Times New Roman" w:cs="Times New Roman"/>
        </w:rPr>
        <w:t xml:space="preserve"> stavu</w:t>
      </w:r>
      <w:r w:rsidRPr="0030516A">
        <w:rPr>
          <w:rFonts w:ascii="Times New Roman" w:hAnsi="Times New Roman" w:cs="Times New Roman"/>
        </w:rPr>
        <w:t xml:space="preserve"> všetkých pohľadáv</w:t>
      </w:r>
      <w:r>
        <w:rPr>
          <w:rFonts w:ascii="Times New Roman" w:hAnsi="Times New Roman" w:cs="Times New Roman"/>
        </w:rPr>
        <w:t>o</w:t>
      </w:r>
      <w:r w:rsidRPr="0030516A">
        <w:rPr>
          <w:rFonts w:ascii="Times New Roman" w:hAnsi="Times New Roman" w:cs="Times New Roman"/>
        </w:rPr>
        <w:t xml:space="preserve">k voči jednotlivým štátom </w:t>
      </w:r>
      <w:r>
        <w:rPr>
          <w:rFonts w:ascii="Times New Roman" w:hAnsi="Times New Roman" w:cs="Times New Roman"/>
        </w:rPr>
        <w:t>s výnimkou</w:t>
      </w:r>
      <w:r w:rsidRPr="0030516A">
        <w:rPr>
          <w:rFonts w:ascii="Times New Roman" w:hAnsi="Times New Roman" w:cs="Times New Roman"/>
        </w:rPr>
        <w:t xml:space="preserve"> pohľadávok voči:</w:t>
      </w:r>
      <w:r>
        <w:rPr>
          <w:rFonts w:ascii="Times New Roman" w:hAnsi="Times New Roman" w:cs="Times New Roman"/>
        </w:rPr>
        <w:t xml:space="preserve"> </w:t>
      </w:r>
      <w:r w:rsidRPr="0030516A">
        <w:rPr>
          <w:rFonts w:ascii="Times New Roman" w:hAnsi="Times New Roman" w:cs="Times New Roman"/>
        </w:rPr>
        <w:t>Ruskej federácii – Krivoj Rog</w:t>
      </w:r>
      <w:r>
        <w:rPr>
          <w:rFonts w:ascii="Times New Roman" w:hAnsi="Times New Roman" w:cs="Times New Roman"/>
        </w:rPr>
        <w:t xml:space="preserve"> a VÚ špeciál v XTR, u ktorých došlo k  zvýšeniu z titulu predpisu úrokov</w:t>
      </w:r>
      <w:r w:rsidRPr="0030516A">
        <w:rPr>
          <w:rFonts w:ascii="Times New Roman" w:hAnsi="Times New Roman" w:cs="Times New Roman"/>
        </w:rPr>
        <w:t xml:space="preserve">. </w:t>
      </w:r>
    </w:p>
    <w:p w:rsidR="00B534F8" w:rsidRPr="0030516A" w:rsidP="00B534F8">
      <w:pPr>
        <w:spacing w:before="120" w:line="360" w:lineRule="auto"/>
        <w:ind w:firstLine="708"/>
        <w:jc w:val="both"/>
        <w:rPr>
          <w:rFonts w:ascii="Times New Roman" w:hAnsi="Times New Roman" w:cs="Times New Roman"/>
        </w:rPr>
      </w:pPr>
      <w:r>
        <w:rPr>
          <w:rFonts w:ascii="Times New Roman" w:hAnsi="Times New Roman" w:cs="Times New Roman"/>
        </w:rPr>
        <w:t>V roku 2006 pri</w:t>
      </w:r>
      <w:r w:rsidRPr="0030516A">
        <w:rPr>
          <w:rFonts w:ascii="Times New Roman" w:hAnsi="Times New Roman" w:cs="Times New Roman"/>
        </w:rPr>
        <w:t xml:space="preserve"> pohľadávk</w:t>
      </w:r>
      <w:r>
        <w:rPr>
          <w:rFonts w:ascii="Times New Roman" w:hAnsi="Times New Roman" w:cs="Times New Roman"/>
        </w:rPr>
        <w:t xml:space="preserve">e voči Alžíru – reštrukturalizovaný dlh, vzniknutej z  vládneho úveru – špeciál poskytnutého do zahraničia, </w:t>
      </w:r>
      <w:r w:rsidRPr="0030516A">
        <w:rPr>
          <w:rFonts w:ascii="Times New Roman" w:hAnsi="Times New Roman" w:cs="Times New Roman"/>
        </w:rPr>
        <w:t>v</w:t>
      </w:r>
      <w:r>
        <w:rPr>
          <w:rFonts w:ascii="Times New Roman" w:hAnsi="Times New Roman" w:cs="Times New Roman"/>
        </w:rPr>
        <w:t xml:space="preserve">edeného v </w:t>
      </w:r>
      <w:r w:rsidRPr="0030516A">
        <w:rPr>
          <w:rFonts w:ascii="Times New Roman" w:hAnsi="Times New Roman" w:cs="Times New Roman"/>
        </w:rPr>
        <w:t xml:space="preserve"> konvertibilnej  mene vo výške </w:t>
      </w:r>
      <w:r>
        <w:rPr>
          <w:rFonts w:ascii="Times New Roman" w:hAnsi="Times New Roman" w:cs="Times New Roman"/>
        </w:rPr>
        <w:t>1 000,3</w:t>
      </w:r>
      <w:r w:rsidRPr="0030516A">
        <w:rPr>
          <w:rFonts w:ascii="Times New Roman" w:hAnsi="Times New Roman" w:cs="Times New Roman"/>
        </w:rPr>
        <w:t xml:space="preserve"> mil. Sk  </w:t>
      </w:r>
      <w:r>
        <w:rPr>
          <w:rFonts w:ascii="Times New Roman" w:hAnsi="Times New Roman" w:cs="Times New Roman"/>
        </w:rPr>
        <w:t>do</w:t>
      </w:r>
      <w:r w:rsidRPr="0030516A">
        <w:rPr>
          <w:rFonts w:ascii="Times New Roman" w:hAnsi="Times New Roman" w:cs="Times New Roman"/>
        </w:rPr>
        <w:t>šlo k</w:t>
      </w:r>
      <w:r>
        <w:rPr>
          <w:rFonts w:ascii="Times New Roman" w:hAnsi="Times New Roman" w:cs="Times New Roman"/>
        </w:rPr>
        <w:t xml:space="preserve"> jej zníženiu na nulovú hodnotu </w:t>
      </w:r>
      <w:r w:rsidRPr="0030516A">
        <w:rPr>
          <w:rFonts w:ascii="Times New Roman" w:hAnsi="Times New Roman" w:cs="Times New Roman"/>
        </w:rPr>
        <w:t xml:space="preserve">z titulu </w:t>
      </w:r>
      <w:r>
        <w:rPr>
          <w:rFonts w:ascii="Times New Roman" w:hAnsi="Times New Roman" w:cs="Times New Roman"/>
        </w:rPr>
        <w:t xml:space="preserve">splatenia dlžnej istiny vo výške 950,1 mil. Sk a v dôsledku </w:t>
      </w:r>
      <w:r w:rsidRPr="00290675">
        <w:rPr>
          <w:rFonts w:ascii="Times New Roman" w:hAnsi="Times New Roman" w:cs="Times New Roman"/>
        </w:rPr>
        <w:t>záporného kurzového rozdielu</w:t>
      </w:r>
      <w:r>
        <w:rPr>
          <w:rFonts w:ascii="Times New Roman" w:hAnsi="Times New Roman" w:cs="Times New Roman"/>
        </w:rPr>
        <w:t xml:space="preserve"> vo výške 14,9 mil. Sk, ako aj z dôvodu </w:t>
      </w:r>
      <w:r w:rsidRPr="00290675">
        <w:rPr>
          <w:rFonts w:ascii="Times New Roman" w:hAnsi="Times New Roman" w:cs="Times New Roman"/>
        </w:rPr>
        <w:t>splatenia dlžných úrokov vo výške 35,3 mil. Sk</w:t>
      </w:r>
      <w:r>
        <w:rPr>
          <w:rFonts w:ascii="Times New Roman" w:hAnsi="Times New Roman" w:cs="Times New Roman"/>
        </w:rPr>
        <w:t xml:space="preserve">. </w:t>
      </w:r>
    </w:p>
    <w:p w:rsidR="00B534F8" w:rsidRPr="0030516A" w:rsidP="00B534F8">
      <w:pPr>
        <w:spacing w:before="120" w:line="360" w:lineRule="auto"/>
        <w:ind w:firstLine="708"/>
        <w:jc w:val="both"/>
        <w:rPr>
          <w:rFonts w:ascii="Times New Roman" w:hAnsi="Times New Roman" w:cs="Times New Roman"/>
        </w:rPr>
      </w:pPr>
      <w:r w:rsidRPr="0030516A">
        <w:rPr>
          <w:rFonts w:ascii="Times New Roman" w:hAnsi="Times New Roman" w:cs="Times New Roman"/>
        </w:rPr>
        <w:t xml:space="preserve"> V roku 200</w:t>
      </w:r>
      <w:r>
        <w:rPr>
          <w:rFonts w:ascii="Times New Roman" w:hAnsi="Times New Roman" w:cs="Times New Roman"/>
        </w:rPr>
        <w:t>6</w:t>
      </w:r>
      <w:r w:rsidRPr="0030516A">
        <w:rPr>
          <w:rFonts w:ascii="Times New Roman" w:hAnsi="Times New Roman" w:cs="Times New Roman"/>
        </w:rPr>
        <w:t xml:space="preserve"> v</w:t>
      </w:r>
      <w:r>
        <w:rPr>
          <w:rFonts w:ascii="Times New Roman" w:hAnsi="Times New Roman" w:cs="Times New Roman"/>
        </w:rPr>
        <w:t>o</w:t>
      </w:r>
      <w:r w:rsidRPr="0030516A">
        <w:rPr>
          <w:rFonts w:ascii="Times New Roman" w:hAnsi="Times New Roman" w:cs="Times New Roman"/>
        </w:rPr>
        <w:t>  vládnych úveroch</w:t>
      </w:r>
      <w:r>
        <w:rPr>
          <w:rFonts w:ascii="Times New Roman" w:hAnsi="Times New Roman" w:cs="Times New Roman"/>
        </w:rPr>
        <w:t xml:space="preserve"> </w:t>
      </w:r>
      <w:r w:rsidRPr="0030516A">
        <w:rPr>
          <w:rFonts w:ascii="Times New Roman" w:hAnsi="Times New Roman" w:cs="Times New Roman"/>
        </w:rPr>
        <w:t>-</w:t>
      </w:r>
      <w:r>
        <w:rPr>
          <w:rFonts w:ascii="Times New Roman" w:hAnsi="Times New Roman" w:cs="Times New Roman"/>
        </w:rPr>
        <w:t xml:space="preserve"> </w:t>
      </w:r>
      <w:r w:rsidRPr="0030516A">
        <w:rPr>
          <w:rFonts w:ascii="Times New Roman" w:hAnsi="Times New Roman" w:cs="Times New Roman"/>
        </w:rPr>
        <w:t xml:space="preserve">civil poskytnutých </w:t>
      </w:r>
      <w:r>
        <w:rPr>
          <w:rFonts w:ascii="Times New Roman" w:hAnsi="Times New Roman" w:cs="Times New Roman"/>
        </w:rPr>
        <w:t xml:space="preserve"> </w:t>
      </w:r>
      <w:r w:rsidRPr="0030516A">
        <w:rPr>
          <w:rFonts w:ascii="Times New Roman" w:hAnsi="Times New Roman" w:cs="Times New Roman"/>
        </w:rPr>
        <w:t xml:space="preserve">do zahraničia </w:t>
      </w:r>
      <w:r w:rsidRPr="00730D09">
        <w:rPr>
          <w:rFonts w:ascii="Times New Roman" w:hAnsi="Times New Roman" w:cs="Times New Roman"/>
          <w:u w:val="single"/>
        </w:rPr>
        <w:t>spravovaných NBS</w:t>
      </w:r>
      <w:r w:rsidRPr="0030516A">
        <w:rPr>
          <w:rFonts w:ascii="Times New Roman" w:hAnsi="Times New Roman" w:cs="Times New Roman"/>
        </w:rPr>
        <w:t xml:space="preserve"> </w:t>
      </w:r>
      <w:r>
        <w:rPr>
          <w:rFonts w:ascii="Times New Roman" w:hAnsi="Times New Roman" w:cs="Times New Roman"/>
        </w:rPr>
        <w:t>do</w:t>
      </w:r>
      <w:r w:rsidRPr="0030516A">
        <w:rPr>
          <w:rFonts w:ascii="Times New Roman" w:hAnsi="Times New Roman" w:cs="Times New Roman"/>
        </w:rPr>
        <w:t>šlo k zníženiu </w:t>
      </w:r>
      <w:r>
        <w:rPr>
          <w:rFonts w:ascii="Times New Roman" w:hAnsi="Times New Roman" w:cs="Times New Roman"/>
        </w:rPr>
        <w:t xml:space="preserve">stavu pri </w:t>
      </w:r>
      <w:r w:rsidRPr="0030516A">
        <w:rPr>
          <w:rFonts w:ascii="Times New Roman" w:hAnsi="Times New Roman" w:cs="Times New Roman"/>
        </w:rPr>
        <w:t>všetkých pohľadávkach voči jednotlivým štátom</w:t>
      </w:r>
      <w:r>
        <w:rPr>
          <w:rFonts w:ascii="Times New Roman" w:hAnsi="Times New Roman" w:cs="Times New Roman"/>
        </w:rPr>
        <w:t xml:space="preserve"> s výnimkou zvýšenia stavu</w:t>
      </w:r>
      <w:r w:rsidRPr="0030516A">
        <w:rPr>
          <w:rFonts w:ascii="Times New Roman" w:hAnsi="Times New Roman" w:cs="Times New Roman"/>
        </w:rPr>
        <w:t xml:space="preserve"> pohľadávok voči:</w:t>
      </w:r>
      <w:r>
        <w:rPr>
          <w:rFonts w:ascii="Times New Roman" w:hAnsi="Times New Roman" w:cs="Times New Roman"/>
        </w:rPr>
        <w:t xml:space="preserve"> Kube o 0,1 mil. Sk z dôvodu predpisu úrokov v uvedenej výške. Pri pohľadávke voči </w:t>
      </w:r>
      <w:r w:rsidRPr="0030516A">
        <w:rPr>
          <w:rFonts w:ascii="Times New Roman" w:hAnsi="Times New Roman" w:cs="Times New Roman"/>
        </w:rPr>
        <w:t>Alžírsku – reštrukturalizový dlh v</w:t>
      </w:r>
      <w:r>
        <w:rPr>
          <w:rFonts w:ascii="Times New Roman" w:hAnsi="Times New Roman" w:cs="Times New Roman"/>
        </w:rPr>
        <w:t>edenej v</w:t>
      </w:r>
      <w:r w:rsidRPr="0030516A">
        <w:rPr>
          <w:rFonts w:ascii="Times New Roman" w:hAnsi="Times New Roman" w:cs="Times New Roman"/>
        </w:rPr>
        <w:t xml:space="preserve"> konvertibilnej mene</w:t>
      </w:r>
      <w:r>
        <w:rPr>
          <w:rFonts w:ascii="Times New Roman" w:hAnsi="Times New Roman" w:cs="Times New Roman"/>
        </w:rPr>
        <w:t xml:space="preserve"> vo výške 46,2 mil. Sk</w:t>
      </w:r>
      <w:r w:rsidRPr="0030516A">
        <w:rPr>
          <w:rFonts w:ascii="Times New Roman" w:hAnsi="Times New Roman" w:cs="Times New Roman"/>
        </w:rPr>
        <w:t xml:space="preserve">, </w:t>
      </w:r>
      <w:r>
        <w:rPr>
          <w:rFonts w:ascii="Times New Roman" w:hAnsi="Times New Roman" w:cs="Times New Roman"/>
        </w:rPr>
        <w:t xml:space="preserve">prišlo </w:t>
      </w:r>
      <w:r w:rsidRPr="0030516A">
        <w:rPr>
          <w:rFonts w:ascii="Times New Roman" w:hAnsi="Times New Roman" w:cs="Times New Roman"/>
        </w:rPr>
        <w:t>k</w:t>
      </w:r>
      <w:r>
        <w:rPr>
          <w:rFonts w:ascii="Times New Roman" w:hAnsi="Times New Roman" w:cs="Times New Roman"/>
        </w:rPr>
        <w:t xml:space="preserve"> jej zníženiu na nulovú hodnotu </w:t>
      </w:r>
      <w:r w:rsidRPr="0030516A">
        <w:rPr>
          <w:rFonts w:ascii="Times New Roman" w:hAnsi="Times New Roman" w:cs="Times New Roman"/>
        </w:rPr>
        <w:t xml:space="preserve">z titulu </w:t>
      </w:r>
      <w:r>
        <w:rPr>
          <w:rFonts w:ascii="Times New Roman" w:hAnsi="Times New Roman" w:cs="Times New Roman"/>
        </w:rPr>
        <w:t xml:space="preserve">splatenia dlžnej istiny vo výške 43,4 mil. Sk a v dôsledku </w:t>
      </w:r>
      <w:r w:rsidRPr="009D67C4">
        <w:rPr>
          <w:rFonts w:ascii="Times New Roman" w:hAnsi="Times New Roman" w:cs="Times New Roman"/>
        </w:rPr>
        <w:t>záporného kurzového rozdielu</w:t>
      </w:r>
      <w:r>
        <w:rPr>
          <w:rFonts w:ascii="Times New Roman" w:hAnsi="Times New Roman" w:cs="Times New Roman"/>
        </w:rPr>
        <w:t xml:space="preserve"> vo výške 0,7 mil. Sk, ako aj z dôvodu </w:t>
      </w:r>
      <w:r w:rsidRPr="00CF5CF5">
        <w:rPr>
          <w:rFonts w:ascii="Times New Roman" w:hAnsi="Times New Roman" w:cs="Times New Roman"/>
        </w:rPr>
        <w:t xml:space="preserve">splatenia dlžných úrokov vo výške 2,1 mil. </w:t>
      </w:r>
      <w:r>
        <w:rPr>
          <w:rFonts w:ascii="Times New Roman" w:hAnsi="Times New Roman" w:cs="Times New Roman"/>
        </w:rPr>
        <w:t xml:space="preserve">Sk. K najvýraznejšiemu zníženiu pohľadávky prišlo pri pohľadávke voči Ruskej federácii – konsolidovaný dlh o  </w:t>
      </w:r>
      <w:r w:rsidRPr="00F27254">
        <w:rPr>
          <w:rFonts w:ascii="Times New Roman" w:hAnsi="Times New Roman" w:cs="Times New Roman"/>
          <w:bCs/>
          <w:color w:val="000000"/>
        </w:rPr>
        <w:t>1 875,1</w:t>
      </w:r>
      <w:r>
        <w:rPr>
          <w:rFonts w:ascii="Times New Roman" w:hAnsi="Times New Roman" w:cs="Times New Roman"/>
        </w:rPr>
        <w:t xml:space="preserve"> mil. Sk, čo predstavujú najmä tovarové dodávky vo výške 1 587,5 mil. Sk (prevažne pre Slovenský metrologický ústav - </w:t>
      </w:r>
      <w:r w:rsidRPr="00742083">
        <w:rPr>
          <w:rFonts w:ascii="Times New Roman" w:hAnsi="Times New Roman" w:cs="Times New Roman"/>
        </w:rPr>
        <w:t>Cyklotrónové centrum</w:t>
      </w:r>
      <w:r>
        <w:rPr>
          <w:rFonts w:ascii="Times New Roman" w:hAnsi="Times New Roman" w:cs="Times New Roman"/>
        </w:rPr>
        <w:t xml:space="preserve"> SR  a pre  Ministerstvo  školstva  SR) ako i  </w:t>
      </w:r>
      <w:r w:rsidRPr="009D67C4">
        <w:rPr>
          <w:rFonts w:ascii="Times New Roman" w:hAnsi="Times New Roman" w:cs="Times New Roman"/>
        </w:rPr>
        <w:t>záporný kurzový rozdiel</w:t>
      </w:r>
      <w:r>
        <w:rPr>
          <w:rFonts w:ascii="Times New Roman" w:hAnsi="Times New Roman" w:cs="Times New Roman"/>
        </w:rPr>
        <w:t xml:space="preserve"> vo výške 287,6 mil. Sk.</w:t>
      </w:r>
    </w:p>
    <w:p w:rsidR="00B534F8" w:rsidP="00B534F8">
      <w:pPr>
        <w:spacing w:line="360" w:lineRule="auto"/>
        <w:jc w:val="both"/>
        <w:rPr>
          <w:rFonts w:ascii="Times New Roman" w:hAnsi="Times New Roman" w:cs="Times New Roman"/>
        </w:rPr>
      </w:pPr>
      <w:r>
        <w:rPr>
          <w:rFonts w:ascii="Times New Roman" w:hAnsi="Times New Roman" w:cs="Times New Roman"/>
        </w:rPr>
        <w:t xml:space="preserve">          Prehľad o zmenách vládnych pohľadávok voči zahraničiu (poskytnuté úvery) v roku 2006 z hľadiska vplyvu splátok istín, predpisu nových úrokov, odpustených pohľadávok a kurzových rozdielov a ostatných zmien poskytujú nasledovné údaje (v mil. Sk):</w:t>
      </w:r>
    </w:p>
    <w:p w:rsidR="00B534F8" w:rsidP="00B534F8">
      <w:pPr>
        <w:spacing w:before="120"/>
        <w:ind w:firstLine="709"/>
        <w:jc w:val="both"/>
        <w:rPr>
          <w:rFonts w:ascii="Times New Roman" w:hAnsi="Times New Roman" w:cs="Times New Roman"/>
        </w:rPr>
      </w:pPr>
    </w:p>
    <w:tbl>
      <w:tblPr>
        <w:tblW w:w="9103" w:type="dxa"/>
        <w:tblInd w:w="55" w:type="dxa"/>
        <w:tblCellMar>
          <w:left w:w="70" w:type="dxa"/>
          <w:right w:w="70" w:type="dxa"/>
        </w:tblCellMar>
      </w:tblPr>
      <w:tblGrid>
        <w:gridCol w:w="2335"/>
        <w:gridCol w:w="1040"/>
        <w:gridCol w:w="820"/>
        <w:gridCol w:w="1074"/>
        <w:gridCol w:w="785"/>
        <w:gridCol w:w="996"/>
        <w:gridCol w:w="1040"/>
        <w:gridCol w:w="1112"/>
      </w:tblGrid>
      <w:tr>
        <w:tblPrEx>
          <w:tblW w:w="9103" w:type="dxa"/>
          <w:tblInd w:w="55" w:type="dxa"/>
          <w:tblCellMar>
            <w:left w:w="70" w:type="dxa"/>
            <w:right w:w="70" w:type="dxa"/>
          </w:tblCellMar>
        </w:tblPrEx>
        <w:trPr>
          <w:trHeight w:val="935"/>
        </w:trPr>
        <w:tc>
          <w:tcPr>
            <w:tcW w:w="2335" w:type="dxa"/>
            <w:tcBorders>
              <w:top w:val="single" w:sz="8" w:space="0" w:color="auto"/>
              <w:left w:val="single" w:sz="8" w:space="0" w:color="auto"/>
              <w:bottom w:val="single" w:sz="4" w:space="0" w:color="auto"/>
              <w:right w:val="single" w:sz="4" w:space="0" w:color="auto"/>
              <w:tl2br w:val="nil"/>
              <w:tr2bl w:val="nil"/>
            </w:tcBorders>
            <w:noWrap/>
            <w:textDirection w:val="lrTb"/>
            <w:vAlign w:val="center"/>
          </w:tcPr>
          <w:p w:rsidR="00ED222B" w:rsidRPr="00ED222B" w:rsidP="00ED222B">
            <w:pPr>
              <w:jc w:val="center"/>
              <w:rPr>
                <w:rFonts w:ascii="Times New Roman" w:hAnsi="Times New Roman" w:cs="Times New Roman"/>
                <w:b/>
                <w:sz w:val="20"/>
                <w:szCs w:val="20"/>
              </w:rPr>
            </w:pPr>
            <w:r w:rsidRPr="00ED222B">
              <w:rPr>
                <w:rFonts w:ascii="Times New Roman" w:hAnsi="Times New Roman" w:cs="Times New Roman"/>
                <w:b/>
                <w:sz w:val="20"/>
                <w:szCs w:val="20"/>
              </w:rPr>
              <w:t>Krajina</w:t>
            </w:r>
          </w:p>
          <w:p w:rsidR="00ED222B" w:rsidRPr="00ED222B" w:rsidP="00ED222B">
            <w:pPr>
              <w:jc w:val="center"/>
              <w:rPr>
                <w:rFonts w:ascii="Times New Roman" w:hAnsi="Times New Roman" w:cs="Times New Roman"/>
                <w:b/>
                <w:sz w:val="20"/>
                <w:szCs w:val="20"/>
              </w:rPr>
            </w:pPr>
            <w:r w:rsidRPr="00ED222B" w:rsidR="00ED032B">
              <w:rPr>
                <w:rFonts w:ascii="Times New Roman" w:hAnsi="Times New Roman" w:cs="Times New Roman"/>
                <w:b/>
                <w:sz w:val="20"/>
                <w:szCs w:val="20"/>
              </w:rPr>
              <w:t>D</w:t>
            </w:r>
            <w:r w:rsidRPr="00ED222B">
              <w:rPr>
                <w:rFonts w:ascii="Times New Roman" w:hAnsi="Times New Roman" w:cs="Times New Roman"/>
                <w:b/>
                <w:sz w:val="20"/>
                <w:szCs w:val="20"/>
              </w:rPr>
              <w:t>lžníka</w:t>
            </w:r>
          </w:p>
        </w:tc>
        <w:tc>
          <w:tcPr>
            <w:tcW w:w="1040" w:type="dxa"/>
            <w:tcBorders>
              <w:top w:val="single" w:sz="8" w:space="0" w:color="auto"/>
              <w:left w:val="single" w:sz="4" w:space="0" w:color="auto"/>
              <w:bottom w:val="single" w:sz="4" w:space="0" w:color="auto"/>
              <w:right w:val="single" w:sz="4" w:space="0" w:color="auto"/>
              <w:tl2br w:val="nil"/>
              <w:tr2bl w:val="nil"/>
            </w:tcBorders>
            <w:noWrap/>
            <w:textDirection w:val="lrTb"/>
            <w:vAlign w:val="center"/>
          </w:tcPr>
          <w:p w:rsidR="00ED222B" w:rsidRPr="00ED222B" w:rsidP="00ED222B">
            <w:pPr>
              <w:jc w:val="center"/>
              <w:rPr>
                <w:rFonts w:ascii="Times New Roman" w:hAnsi="Times New Roman" w:cs="Times New Roman"/>
                <w:b/>
                <w:sz w:val="20"/>
                <w:szCs w:val="20"/>
              </w:rPr>
            </w:pPr>
            <w:r w:rsidRPr="00ED222B">
              <w:rPr>
                <w:rFonts w:ascii="Times New Roman" w:hAnsi="Times New Roman" w:cs="Times New Roman"/>
                <w:b/>
                <w:sz w:val="20"/>
                <w:szCs w:val="20"/>
              </w:rPr>
              <w:t>Stav k</w:t>
            </w:r>
          </w:p>
          <w:p w:rsidR="00ED222B" w:rsidRPr="00ED222B" w:rsidP="00ED222B">
            <w:pPr>
              <w:jc w:val="center"/>
              <w:rPr>
                <w:rFonts w:ascii="Times New Roman" w:hAnsi="Times New Roman" w:cs="Times New Roman"/>
                <w:b/>
                <w:sz w:val="20"/>
                <w:szCs w:val="20"/>
              </w:rPr>
            </w:pPr>
            <w:r w:rsidRPr="00ED222B">
              <w:rPr>
                <w:rFonts w:ascii="Times New Roman" w:hAnsi="Times New Roman" w:cs="Times New Roman"/>
                <w:b/>
                <w:sz w:val="20"/>
                <w:szCs w:val="20"/>
              </w:rPr>
              <w:t>31.12.2005</w:t>
            </w:r>
          </w:p>
        </w:tc>
        <w:tc>
          <w:tcPr>
            <w:tcW w:w="820" w:type="dxa"/>
            <w:tcBorders>
              <w:top w:val="single" w:sz="8" w:space="0" w:color="auto"/>
              <w:left w:val="single" w:sz="4" w:space="0" w:color="auto"/>
              <w:bottom w:val="single" w:sz="4" w:space="0" w:color="auto"/>
              <w:right w:val="single" w:sz="4" w:space="0" w:color="auto"/>
              <w:tl2br w:val="nil"/>
              <w:tr2bl w:val="nil"/>
            </w:tcBorders>
            <w:noWrap/>
            <w:textDirection w:val="lrTb"/>
            <w:vAlign w:val="center"/>
          </w:tcPr>
          <w:p w:rsidR="00ED222B" w:rsidRPr="00ED222B" w:rsidP="00ED222B">
            <w:pPr>
              <w:jc w:val="center"/>
              <w:rPr>
                <w:rFonts w:ascii="Times New Roman" w:hAnsi="Times New Roman" w:cs="Times New Roman"/>
                <w:b/>
                <w:sz w:val="20"/>
                <w:szCs w:val="20"/>
              </w:rPr>
            </w:pPr>
            <w:r w:rsidRPr="00ED222B">
              <w:rPr>
                <w:rFonts w:ascii="Times New Roman" w:hAnsi="Times New Roman" w:cs="Times New Roman"/>
                <w:b/>
                <w:sz w:val="20"/>
                <w:szCs w:val="20"/>
              </w:rPr>
              <w:t>Splátky</w:t>
            </w:r>
          </w:p>
          <w:p w:rsidR="00ED222B" w:rsidRPr="00ED222B" w:rsidP="00ED222B">
            <w:pPr>
              <w:jc w:val="center"/>
              <w:rPr>
                <w:rFonts w:ascii="Times New Roman" w:hAnsi="Times New Roman" w:cs="Times New Roman"/>
                <w:b/>
                <w:sz w:val="20"/>
                <w:szCs w:val="20"/>
              </w:rPr>
            </w:pPr>
            <w:r w:rsidRPr="00ED222B" w:rsidR="0048644A">
              <w:rPr>
                <w:rFonts w:ascii="Times New Roman" w:hAnsi="Times New Roman" w:cs="Times New Roman"/>
                <w:b/>
                <w:sz w:val="20"/>
                <w:szCs w:val="20"/>
              </w:rPr>
              <w:t>I</w:t>
            </w:r>
            <w:r w:rsidRPr="00ED222B">
              <w:rPr>
                <w:rFonts w:ascii="Times New Roman" w:hAnsi="Times New Roman" w:cs="Times New Roman"/>
                <w:b/>
                <w:sz w:val="20"/>
                <w:szCs w:val="20"/>
              </w:rPr>
              <w:t>stín</w:t>
            </w:r>
          </w:p>
        </w:tc>
        <w:tc>
          <w:tcPr>
            <w:tcW w:w="1000" w:type="dxa"/>
            <w:tcBorders>
              <w:top w:val="single" w:sz="8" w:space="0" w:color="auto"/>
              <w:left w:val="single" w:sz="4" w:space="0" w:color="auto"/>
              <w:bottom w:val="single" w:sz="4" w:space="0" w:color="auto"/>
              <w:right w:val="single" w:sz="4" w:space="0" w:color="auto"/>
              <w:tl2br w:val="nil"/>
              <w:tr2bl w:val="nil"/>
            </w:tcBorders>
            <w:noWrap/>
            <w:textDirection w:val="lrTb"/>
            <w:vAlign w:val="center"/>
          </w:tcPr>
          <w:p w:rsidR="00ED222B" w:rsidRPr="00ED222B" w:rsidP="00ED222B">
            <w:pPr>
              <w:jc w:val="center"/>
              <w:rPr>
                <w:rFonts w:ascii="Times New Roman" w:hAnsi="Times New Roman" w:cs="Times New Roman"/>
                <w:b/>
                <w:sz w:val="20"/>
                <w:szCs w:val="20"/>
              </w:rPr>
            </w:pPr>
            <w:r w:rsidRPr="00ED222B">
              <w:rPr>
                <w:rFonts w:ascii="Times New Roman" w:hAnsi="Times New Roman" w:cs="Times New Roman"/>
                <w:b/>
                <w:sz w:val="20"/>
                <w:szCs w:val="20"/>
              </w:rPr>
              <w:t>Odpustená</w:t>
            </w:r>
          </w:p>
          <w:p w:rsidR="00ED222B" w:rsidRPr="00ED222B" w:rsidP="00ED222B">
            <w:pPr>
              <w:jc w:val="center"/>
              <w:rPr>
                <w:rFonts w:ascii="Times New Roman" w:hAnsi="Times New Roman" w:cs="Times New Roman"/>
                <w:b/>
                <w:sz w:val="20"/>
                <w:szCs w:val="20"/>
              </w:rPr>
            </w:pPr>
            <w:r w:rsidRPr="00ED222B">
              <w:rPr>
                <w:rFonts w:ascii="Times New Roman" w:hAnsi="Times New Roman" w:cs="Times New Roman"/>
                <w:b/>
                <w:sz w:val="20"/>
                <w:szCs w:val="20"/>
              </w:rPr>
              <w:t>čiastka</w:t>
            </w:r>
          </w:p>
        </w:tc>
        <w:tc>
          <w:tcPr>
            <w:tcW w:w="760" w:type="dxa"/>
            <w:tcBorders>
              <w:top w:val="single" w:sz="8" w:space="0" w:color="auto"/>
              <w:left w:val="single" w:sz="4" w:space="0" w:color="auto"/>
              <w:bottom w:val="single" w:sz="4" w:space="0" w:color="auto"/>
              <w:right w:val="single" w:sz="4" w:space="0" w:color="auto"/>
              <w:tl2br w:val="nil"/>
              <w:tr2bl w:val="nil"/>
            </w:tcBorders>
            <w:noWrap/>
            <w:textDirection w:val="lrTb"/>
            <w:vAlign w:val="center"/>
          </w:tcPr>
          <w:p w:rsidR="00ED222B" w:rsidRPr="00ED222B" w:rsidP="00ED222B">
            <w:pPr>
              <w:jc w:val="center"/>
              <w:rPr>
                <w:rFonts w:ascii="Times New Roman" w:hAnsi="Times New Roman" w:cs="Times New Roman"/>
                <w:b/>
                <w:sz w:val="20"/>
                <w:szCs w:val="20"/>
              </w:rPr>
            </w:pPr>
          </w:p>
          <w:p w:rsidR="00ED222B" w:rsidRPr="00ED222B" w:rsidP="00ED222B">
            <w:pPr>
              <w:jc w:val="center"/>
              <w:rPr>
                <w:rFonts w:ascii="Times New Roman" w:hAnsi="Times New Roman" w:cs="Times New Roman"/>
                <w:b/>
                <w:sz w:val="20"/>
                <w:szCs w:val="20"/>
              </w:rPr>
            </w:pPr>
            <w:r w:rsidRPr="00ED222B">
              <w:rPr>
                <w:rFonts w:ascii="Times New Roman" w:hAnsi="Times New Roman" w:cs="Times New Roman"/>
                <w:b/>
                <w:sz w:val="20"/>
                <w:szCs w:val="20"/>
              </w:rPr>
              <w:t>Úroky</w:t>
            </w:r>
          </w:p>
          <w:p w:rsidR="00ED222B" w:rsidRPr="00ED222B" w:rsidP="00ED222B">
            <w:pPr>
              <w:jc w:val="center"/>
              <w:rPr>
                <w:rFonts w:ascii="Times New Roman" w:hAnsi="Times New Roman" w:cs="Times New Roman"/>
                <w:b/>
                <w:sz w:val="20"/>
                <w:szCs w:val="20"/>
              </w:rPr>
            </w:pPr>
            <w:r w:rsidRPr="00ED222B">
              <w:rPr>
                <w:rFonts w:ascii="Times New Roman" w:hAnsi="Times New Roman" w:cs="Times New Roman"/>
                <w:b/>
                <w:sz w:val="20"/>
                <w:szCs w:val="20"/>
              </w:rPr>
              <w:t>predpis</w:t>
            </w:r>
          </w:p>
        </w:tc>
        <w:tc>
          <w:tcPr>
            <w:tcW w:w="996" w:type="dxa"/>
            <w:tcBorders>
              <w:top w:val="single" w:sz="8" w:space="0" w:color="auto"/>
              <w:left w:val="single" w:sz="4" w:space="0" w:color="auto"/>
              <w:bottom w:val="single" w:sz="4" w:space="0" w:color="auto"/>
              <w:right w:val="single" w:sz="4" w:space="0" w:color="auto"/>
              <w:tl2br w:val="nil"/>
              <w:tr2bl w:val="nil"/>
            </w:tcBorders>
            <w:noWrap/>
            <w:textDirection w:val="lrTb"/>
            <w:vAlign w:val="center"/>
          </w:tcPr>
          <w:p w:rsidR="00ED222B" w:rsidRPr="00ED222B" w:rsidP="00ED222B">
            <w:pPr>
              <w:jc w:val="center"/>
              <w:rPr>
                <w:rFonts w:ascii="Times New Roman" w:hAnsi="Times New Roman" w:cs="Times New Roman"/>
                <w:b/>
                <w:sz w:val="20"/>
                <w:szCs w:val="20"/>
              </w:rPr>
            </w:pPr>
            <w:r w:rsidRPr="00ED222B">
              <w:rPr>
                <w:rFonts w:ascii="Times New Roman" w:hAnsi="Times New Roman" w:cs="Times New Roman"/>
                <w:b/>
                <w:sz w:val="20"/>
                <w:szCs w:val="20"/>
              </w:rPr>
              <w:t>Kurzové rozdiely</w:t>
            </w:r>
          </w:p>
          <w:p w:rsidR="00ED222B" w:rsidRPr="00ED222B" w:rsidP="00ED222B">
            <w:pPr>
              <w:jc w:val="center"/>
              <w:rPr>
                <w:rFonts w:ascii="Times New Roman" w:hAnsi="Times New Roman" w:cs="Times New Roman"/>
                <w:b/>
                <w:sz w:val="20"/>
                <w:szCs w:val="20"/>
              </w:rPr>
            </w:pPr>
            <w:r w:rsidRPr="00ED222B">
              <w:rPr>
                <w:rFonts w:ascii="Times New Roman" w:hAnsi="Times New Roman" w:cs="Times New Roman"/>
                <w:b/>
                <w:sz w:val="20"/>
                <w:szCs w:val="20"/>
              </w:rPr>
              <w:t>a ostatné zmeny</w:t>
            </w:r>
          </w:p>
        </w:tc>
        <w:tc>
          <w:tcPr>
            <w:tcW w:w="1040" w:type="dxa"/>
            <w:tcBorders>
              <w:top w:val="single" w:sz="8" w:space="0" w:color="auto"/>
              <w:left w:val="single" w:sz="4" w:space="0" w:color="auto"/>
              <w:bottom w:val="single" w:sz="4" w:space="0" w:color="auto"/>
              <w:right w:val="single" w:sz="4" w:space="0" w:color="auto"/>
              <w:tl2br w:val="nil"/>
              <w:tr2bl w:val="nil"/>
            </w:tcBorders>
            <w:noWrap/>
            <w:textDirection w:val="lrTb"/>
            <w:vAlign w:val="center"/>
          </w:tcPr>
          <w:p w:rsidR="00ED222B" w:rsidRPr="00ED222B" w:rsidP="00ED222B">
            <w:pPr>
              <w:jc w:val="center"/>
              <w:rPr>
                <w:rFonts w:ascii="Times New Roman" w:hAnsi="Times New Roman" w:cs="Times New Roman"/>
                <w:b/>
                <w:sz w:val="20"/>
                <w:szCs w:val="20"/>
              </w:rPr>
            </w:pPr>
            <w:r w:rsidRPr="00ED222B">
              <w:rPr>
                <w:rFonts w:ascii="Times New Roman" w:hAnsi="Times New Roman" w:cs="Times New Roman"/>
                <w:b/>
                <w:sz w:val="20"/>
                <w:szCs w:val="20"/>
              </w:rPr>
              <w:t>Stav k</w:t>
            </w:r>
          </w:p>
          <w:p w:rsidR="00ED222B" w:rsidRPr="00ED222B" w:rsidP="00ED222B">
            <w:pPr>
              <w:jc w:val="center"/>
              <w:rPr>
                <w:rFonts w:ascii="Times New Roman" w:hAnsi="Times New Roman" w:cs="Times New Roman"/>
                <w:b/>
                <w:sz w:val="20"/>
                <w:szCs w:val="20"/>
              </w:rPr>
            </w:pPr>
            <w:r w:rsidRPr="00ED222B">
              <w:rPr>
                <w:rFonts w:ascii="Times New Roman" w:hAnsi="Times New Roman" w:cs="Times New Roman"/>
                <w:b/>
                <w:sz w:val="20"/>
                <w:szCs w:val="20"/>
              </w:rPr>
              <w:t>31.12.2006</w:t>
            </w:r>
          </w:p>
        </w:tc>
        <w:tc>
          <w:tcPr>
            <w:tcW w:w="1112" w:type="dxa"/>
            <w:tcBorders>
              <w:top w:val="single" w:sz="8" w:space="0" w:color="auto"/>
              <w:left w:val="single" w:sz="4" w:space="0" w:color="auto"/>
              <w:bottom w:val="single" w:sz="4" w:space="0" w:color="auto"/>
              <w:right w:val="single" w:sz="8" w:space="0" w:color="auto"/>
              <w:tl2br w:val="nil"/>
              <w:tr2bl w:val="nil"/>
            </w:tcBorders>
            <w:noWrap/>
            <w:textDirection w:val="lrTb"/>
            <w:vAlign w:val="center"/>
          </w:tcPr>
          <w:p w:rsidR="00ED222B" w:rsidRPr="00ED222B" w:rsidP="00ED222B">
            <w:pPr>
              <w:jc w:val="center"/>
              <w:rPr>
                <w:rFonts w:ascii="Times New Roman" w:hAnsi="Times New Roman" w:cs="Times New Roman"/>
                <w:b/>
                <w:sz w:val="20"/>
                <w:szCs w:val="20"/>
              </w:rPr>
            </w:pPr>
            <w:r w:rsidRPr="00ED222B">
              <w:rPr>
                <w:rFonts w:ascii="Times New Roman" w:hAnsi="Times New Roman" w:cs="Times New Roman"/>
                <w:b/>
                <w:sz w:val="20"/>
                <w:szCs w:val="20"/>
              </w:rPr>
              <w:t>Zmena</w:t>
            </w:r>
          </w:p>
          <w:p w:rsidR="00ED222B" w:rsidRPr="00ED222B" w:rsidP="00ED222B">
            <w:pPr>
              <w:jc w:val="center"/>
              <w:rPr>
                <w:rFonts w:ascii="Times New Roman" w:hAnsi="Times New Roman" w:cs="Times New Roman"/>
                <w:b/>
                <w:sz w:val="20"/>
                <w:szCs w:val="20"/>
              </w:rPr>
            </w:pPr>
            <w:r w:rsidRPr="00ED222B">
              <w:rPr>
                <w:rFonts w:ascii="Times New Roman" w:hAnsi="Times New Roman" w:cs="Times New Roman"/>
                <w:b/>
                <w:sz w:val="20"/>
                <w:szCs w:val="20"/>
              </w:rPr>
              <w:t>v r. 2006</w:t>
            </w:r>
          </w:p>
        </w:tc>
      </w:tr>
      <w:tr>
        <w:tblPrEx>
          <w:tblW w:w="9103" w:type="dxa"/>
          <w:tblInd w:w="55" w:type="dxa"/>
          <w:tblCellMar>
            <w:left w:w="70" w:type="dxa"/>
            <w:right w:w="70" w:type="dxa"/>
          </w:tblCellMar>
        </w:tblPrEx>
        <w:trPr>
          <w:trHeight w:val="270"/>
        </w:trPr>
        <w:tc>
          <w:tcPr>
            <w:tcW w:w="233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B534F8" w:rsidP="00B534F8">
            <w:pPr>
              <w:rPr>
                <w:rFonts w:ascii="Times New Roman" w:hAnsi="Times New Roman" w:cs="Times New Roman"/>
                <w:sz w:val="20"/>
                <w:szCs w:val="20"/>
              </w:rPr>
            </w:pPr>
            <w:r>
              <w:rPr>
                <w:rFonts w:ascii="Times New Roman" w:hAnsi="Times New Roman" w:cs="Times New Roman"/>
                <w:sz w:val="20"/>
                <w:szCs w:val="20"/>
              </w:rPr>
              <w:t>Ruská federácia -Krivoj Rog</w:t>
            </w:r>
          </w:p>
        </w:tc>
        <w:tc>
          <w:tcPr>
            <w:tcW w:w="10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sz w:val="20"/>
                <w:szCs w:val="20"/>
              </w:rPr>
            </w:pPr>
            <w:r>
              <w:rPr>
                <w:rFonts w:ascii="Times New Roman" w:hAnsi="Times New Roman" w:cs="Times New Roman"/>
                <w:sz w:val="20"/>
                <w:szCs w:val="20"/>
              </w:rPr>
              <w:t>107,1</w:t>
            </w:r>
          </w:p>
        </w:tc>
        <w:tc>
          <w:tcPr>
            <w:tcW w:w="82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sz w:val="20"/>
                <w:szCs w:val="20"/>
              </w:rPr>
            </w:pPr>
            <w:r>
              <w:rPr>
                <w:rFonts w:ascii="Times New Roman" w:hAnsi="Times New Roman" w:cs="Times New Roman"/>
                <w:sz w:val="20"/>
                <w:szCs w:val="20"/>
              </w:rPr>
              <w:t>0</w:t>
            </w:r>
          </w:p>
        </w:tc>
        <w:tc>
          <w:tcPr>
            <w:tcW w:w="100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sz w:val="20"/>
                <w:szCs w:val="20"/>
              </w:rPr>
            </w:pPr>
            <w:r>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sz w:val="20"/>
                <w:szCs w:val="20"/>
              </w:rPr>
            </w:pPr>
            <w:r>
              <w:rPr>
                <w:rFonts w:ascii="Times New Roman" w:hAnsi="Times New Roman" w:cs="Times New Roman"/>
                <w:sz w:val="20"/>
                <w:szCs w:val="20"/>
              </w:rPr>
              <w:t>2,2</w:t>
            </w:r>
          </w:p>
        </w:tc>
        <w:tc>
          <w:tcPr>
            <w:tcW w:w="996"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sz w:val="20"/>
                <w:szCs w:val="20"/>
              </w:rPr>
            </w:pPr>
            <w:r>
              <w:rPr>
                <w:rFonts w:ascii="Times New Roman" w:hAnsi="Times New Roman" w:cs="Times New Roman"/>
                <w:sz w:val="20"/>
                <w:szCs w:val="20"/>
              </w:rPr>
              <w:t>0</w:t>
            </w:r>
          </w:p>
        </w:tc>
        <w:tc>
          <w:tcPr>
            <w:tcW w:w="1040" w:type="dxa"/>
            <w:tcBorders>
              <w:top w:val="single" w:sz="4" w:space="0" w:color="auto"/>
              <w:left w:val="single" w:sz="4" w:space="0" w:color="auto"/>
              <w:bottom w:val="single" w:sz="4" w:space="0" w:color="auto"/>
              <w:right w:val="single" w:sz="4" w:space="0" w:color="auto"/>
              <w:tl2br w:val="nil"/>
              <w:tr2bl w:val="nil"/>
            </w:tcBorders>
            <w:noWrap/>
            <w:textDirection w:val="lrTb"/>
            <w:vAlign w:val="top"/>
          </w:tcPr>
          <w:p w:rsidR="00B534F8" w:rsidP="00B534F8">
            <w:pPr>
              <w:jc w:val="right"/>
              <w:rPr>
                <w:rFonts w:ascii="Times New Roman" w:hAnsi="Times New Roman" w:cs="Times New Roman"/>
                <w:color w:val="000000"/>
                <w:sz w:val="20"/>
                <w:szCs w:val="20"/>
              </w:rPr>
            </w:pPr>
          </w:p>
          <w:p w:rsidR="00B534F8" w:rsidRPr="00B84836" w:rsidP="00B534F8">
            <w:pPr>
              <w:jc w:val="right"/>
              <w:rPr>
                <w:rFonts w:ascii="Times New Roman" w:hAnsi="Times New Roman" w:cs="Times New Roman"/>
                <w:color w:val="000000"/>
                <w:sz w:val="20"/>
                <w:szCs w:val="20"/>
              </w:rPr>
            </w:pPr>
            <w:r w:rsidRPr="00B84836">
              <w:rPr>
                <w:rFonts w:ascii="Times New Roman" w:hAnsi="Times New Roman" w:cs="Times New Roman"/>
                <w:color w:val="000000"/>
                <w:sz w:val="20"/>
                <w:szCs w:val="20"/>
              </w:rPr>
              <w:t>109,3</w:t>
            </w:r>
          </w:p>
        </w:tc>
        <w:tc>
          <w:tcPr>
            <w:tcW w:w="1112" w:type="dxa"/>
            <w:tcBorders>
              <w:top w:val="single" w:sz="4" w:space="0" w:color="auto"/>
              <w:left w:val="single" w:sz="4" w:space="0" w:color="auto"/>
              <w:bottom w:val="single" w:sz="4" w:space="0" w:color="auto"/>
              <w:right w:val="single" w:sz="8" w:space="0" w:color="auto"/>
              <w:tl2br w:val="nil"/>
              <w:tr2bl w:val="nil"/>
            </w:tcBorders>
            <w:noWrap/>
            <w:textDirection w:val="lrTb"/>
            <w:vAlign w:val="top"/>
          </w:tcPr>
          <w:p w:rsidR="00B534F8" w:rsidP="00B534F8">
            <w:pPr>
              <w:jc w:val="right"/>
              <w:rPr>
                <w:rFonts w:ascii="Times New Roman" w:hAnsi="Times New Roman" w:cs="Times New Roman"/>
                <w:bCs/>
                <w:color w:val="000000"/>
                <w:sz w:val="20"/>
                <w:szCs w:val="20"/>
              </w:rPr>
            </w:pPr>
          </w:p>
          <w:p w:rsidR="00B534F8" w:rsidRPr="009270AE" w:rsidP="00B534F8">
            <w:pPr>
              <w:jc w:val="right"/>
              <w:rPr>
                <w:rFonts w:ascii="Times New Roman" w:hAnsi="Times New Roman" w:cs="Times New Roman"/>
                <w:bCs/>
                <w:color w:val="000000"/>
                <w:sz w:val="20"/>
                <w:szCs w:val="20"/>
              </w:rPr>
            </w:pPr>
            <w:r w:rsidRPr="009270AE">
              <w:rPr>
                <w:rFonts w:ascii="Times New Roman" w:hAnsi="Times New Roman" w:cs="Times New Roman"/>
                <w:bCs/>
                <w:color w:val="000000"/>
                <w:sz w:val="20"/>
                <w:szCs w:val="20"/>
              </w:rPr>
              <w:t>2,2</w:t>
            </w:r>
          </w:p>
        </w:tc>
      </w:tr>
      <w:tr>
        <w:tblPrEx>
          <w:tblW w:w="9103" w:type="dxa"/>
          <w:tblInd w:w="55" w:type="dxa"/>
          <w:tblCellMar>
            <w:left w:w="70" w:type="dxa"/>
            <w:right w:w="70" w:type="dxa"/>
          </w:tblCellMar>
        </w:tblPrEx>
        <w:trPr>
          <w:trHeight w:val="270"/>
        </w:trPr>
        <w:tc>
          <w:tcPr>
            <w:tcW w:w="233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B534F8" w:rsidP="00B534F8">
            <w:pPr>
              <w:rPr>
                <w:rFonts w:ascii="Times New Roman" w:hAnsi="Times New Roman" w:cs="Times New Roman"/>
                <w:color w:val="000000"/>
                <w:sz w:val="20"/>
                <w:szCs w:val="20"/>
              </w:rPr>
            </w:pPr>
            <w:r>
              <w:rPr>
                <w:rFonts w:ascii="Times New Roman" w:hAnsi="Times New Roman" w:cs="Times New Roman"/>
                <w:color w:val="000000"/>
                <w:sz w:val="20"/>
                <w:szCs w:val="20"/>
              </w:rPr>
              <w:t>Sýria</w:t>
            </w:r>
          </w:p>
        </w:tc>
        <w:tc>
          <w:tcPr>
            <w:tcW w:w="10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sz w:val="20"/>
                <w:szCs w:val="20"/>
              </w:rPr>
            </w:pPr>
            <w:r>
              <w:rPr>
                <w:rFonts w:ascii="Times New Roman" w:hAnsi="Times New Roman" w:cs="Times New Roman"/>
                <w:sz w:val="20"/>
                <w:szCs w:val="20"/>
              </w:rPr>
              <w:t>173,9</w:t>
            </w:r>
          </w:p>
        </w:tc>
        <w:tc>
          <w:tcPr>
            <w:tcW w:w="82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sz w:val="20"/>
                <w:szCs w:val="20"/>
              </w:rPr>
            </w:pPr>
            <w:r>
              <w:rPr>
                <w:rFonts w:ascii="Times New Roman" w:hAnsi="Times New Roman" w:cs="Times New Roman"/>
                <w:sz w:val="20"/>
                <w:szCs w:val="20"/>
              </w:rPr>
              <w:t>-57,1</w:t>
            </w:r>
          </w:p>
        </w:tc>
        <w:tc>
          <w:tcPr>
            <w:tcW w:w="100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sz w:val="20"/>
                <w:szCs w:val="20"/>
              </w:rPr>
            </w:pPr>
            <w:r>
              <w:rPr>
                <w:rFonts w:ascii="Times New Roman" w:hAnsi="Times New Roman" w:cs="Times New Roman"/>
                <w:sz w:val="20"/>
                <w:szCs w:val="20"/>
              </w:rPr>
              <w:t>0</w:t>
            </w:r>
          </w:p>
        </w:tc>
        <w:tc>
          <w:tcPr>
            <w:tcW w:w="7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sz w:val="20"/>
                <w:szCs w:val="20"/>
              </w:rPr>
            </w:pPr>
            <w:r>
              <w:rPr>
                <w:rFonts w:ascii="Times New Roman" w:hAnsi="Times New Roman" w:cs="Times New Roman"/>
                <w:sz w:val="20"/>
                <w:szCs w:val="20"/>
              </w:rPr>
              <w:t>0</w:t>
            </w:r>
          </w:p>
        </w:tc>
        <w:tc>
          <w:tcPr>
            <w:tcW w:w="996"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sz w:val="20"/>
                <w:szCs w:val="20"/>
              </w:rPr>
            </w:pPr>
            <w:r>
              <w:rPr>
                <w:rFonts w:ascii="Times New Roman" w:hAnsi="Times New Roman" w:cs="Times New Roman"/>
                <w:sz w:val="20"/>
                <w:szCs w:val="20"/>
              </w:rPr>
              <w:t>-98,8</w:t>
            </w:r>
          </w:p>
        </w:tc>
        <w:tc>
          <w:tcPr>
            <w:tcW w:w="1040" w:type="dxa"/>
            <w:tcBorders>
              <w:top w:val="single" w:sz="4" w:space="0" w:color="auto"/>
              <w:left w:val="single" w:sz="4" w:space="0" w:color="auto"/>
              <w:bottom w:val="single" w:sz="4" w:space="0" w:color="auto"/>
              <w:right w:val="single" w:sz="4" w:space="0" w:color="auto"/>
              <w:tl2br w:val="nil"/>
              <w:tr2bl w:val="nil"/>
            </w:tcBorders>
            <w:noWrap/>
            <w:textDirection w:val="lrTb"/>
            <w:vAlign w:val="top"/>
          </w:tcPr>
          <w:p w:rsidR="00B534F8" w:rsidRPr="00B84836" w:rsidP="00B534F8">
            <w:pPr>
              <w:jc w:val="right"/>
              <w:rPr>
                <w:rFonts w:ascii="Times New Roman" w:hAnsi="Times New Roman" w:cs="Times New Roman"/>
                <w:iCs/>
                <w:color w:val="000000"/>
                <w:sz w:val="20"/>
                <w:szCs w:val="20"/>
              </w:rPr>
            </w:pPr>
            <w:r w:rsidRPr="00B84836">
              <w:rPr>
                <w:rFonts w:ascii="Times New Roman" w:hAnsi="Times New Roman" w:cs="Times New Roman"/>
                <w:iCs/>
                <w:color w:val="000000"/>
                <w:sz w:val="20"/>
                <w:szCs w:val="20"/>
              </w:rPr>
              <w:t>18,0</w:t>
            </w:r>
          </w:p>
        </w:tc>
        <w:tc>
          <w:tcPr>
            <w:tcW w:w="1112" w:type="dxa"/>
            <w:tcBorders>
              <w:top w:val="single" w:sz="4" w:space="0" w:color="auto"/>
              <w:left w:val="single" w:sz="4" w:space="0" w:color="auto"/>
              <w:bottom w:val="single" w:sz="4" w:space="0" w:color="auto"/>
              <w:right w:val="single" w:sz="8" w:space="0" w:color="auto"/>
              <w:tl2br w:val="nil"/>
              <w:tr2bl w:val="nil"/>
            </w:tcBorders>
            <w:noWrap/>
            <w:textDirection w:val="lrTb"/>
            <w:vAlign w:val="top"/>
          </w:tcPr>
          <w:p w:rsidR="00B534F8" w:rsidRPr="009270AE" w:rsidP="00B534F8">
            <w:pPr>
              <w:jc w:val="right"/>
              <w:rPr>
                <w:rFonts w:ascii="Times New Roman" w:hAnsi="Times New Roman" w:cs="Times New Roman"/>
                <w:bCs/>
                <w:color w:val="000000"/>
                <w:sz w:val="20"/>
                <w:szCs w:val="20"/>
              </w:rPr>
            </w:pPr>
            <w:r w:rsidRPr="009270AE">
              <w:rPr>
                <w:rFonts w:ascii="Times New Roman" w:hAnsi="Times New Roman" w:cs="Times New Roman"/>
                <w:bCs/>
                <w:color w:val="000000"/>
                <w:sz w:val="20"/>
                <w:szCs w:val="20"/>
              </w:rPr>
              <w:t>-155,9</w:t>
            </w:r>
          </w:p>
        </w:tc>
      </w:tr>
      <w:tr>
        <w:tblPrEx>
          <w:tblW w:w="9103" w:type="dxa"/>
          <w:tblInd w:w="55" w:type="dxa"/>
          <w:tblCellMar>
            <w:left w:w="70" w:type="dxa"/>
            <w:right w:w="70" w:type="dxa"/>
          </w:tblCellMar>
        </w:tblPrEx>
        <w:trPr>
          <w:trHeight w:val="270"/>
        </w:trPr>
        <w:tc>
          <w:tcPr>
            <w:tcW w:w="233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B534F8" w:rsidP="00B534F8">
            <w:pPr>
              <w:rPr>
                <w:rFonts w:ascii="Times New Roman" w:hAnsi="Times New Roman" w:cs="Times New Roman"/>
                <w:color w:val="000000"/>
                <w:sz w:val="20"/>
                <w:szCs w:val="20"/>
              </w:rPr>
            </w:pPr>
            <w:r>
              <w:rPr>
                <w:rFonts w:ascii="Times New Roman" w:hAnsi="Times New Roman" w:cs="Times New Roman"/>
                <w:color w:val="000000"/>
                <w:sz w:val="20"/>
                <w:szCs w:val="20"/>
              </w:rPr>
              <w:t>Alžírsko</w:t>
            </w:r>
          </w:p>
        </w:tc>
        <w:tc>
          <w:tcPr>
            <w:tcW w:w="10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512,1</w:t>
            </w:r>
          </w:p>
        </w:tc>
        <w:tc>
          <w:tcPr>
            <w:tcW w:w="82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-18,7</w:t>
            </w:r>
          </w:p>
        </w:tc>
        <w:tc>
          <w:tcPr>
            <w:tcW w:w="100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17,7</w:t>
            </w:r>
          </w:p>
        </w:tc>
        <w:tc>
          <w:tcPr>
            <w:tcW w:w="996"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-124,2</w:t>
            </w:r>
          </w:p>
        </w:tc>
        <w:tc>
          <w:tcPr>
            <w:tcW w:w="1040" w:type="dxa"/>
            <w:tcBorders>
              <w:top w:val="single" w:sz="4" w:space="0" w:color="auto"/>
              <w:left w:val="single" w:sz="4" w:space="0" w:color="auto"/>
              <w:bottom w:val="single" w:sz="4" w:space="0" w:color="auto"/>
              <w:right w:val="single" w:sz="4" w:space="0" w:color="auto"/>
              <w:tl2br w:val="nil"/>
              <w:tr2bl w:val="nil"/>
            </w:tcBorders>
            <w:noWrap/>
            <w:textDirection w:val="lrTb"/>
            <w:vAlign w:val="top"/>
          </w:tcPr>
          <w:p w:rsidR="00B534F8" w:rsidRPr="00EA23FB" w:rsidP="00B534F8">
            <w:pPr>
              <w:jc w:val="right"/>
              <w:rPr>
                <w:rFonts w:ascii="Times New Roman" w:hAnsi="Times New Roman" w:cs="Times New Roman"/>
                <w:color w:val="000000"/>
                <w:sz w:val="20"/>
                <w:szCs w:val="20"/>
              </w:rPr>
            </w:pPr>
            <w:r w:rsidRPr="00EA23FB">
              <w:rPr>
                <w:rFonts w:ascii="Times New Roman" w:hAnsi="Times New Roman" w:cs="Times New Roman"/>
                <w:color w:val="000000"/>
                <w:sz w:val="20"/>
                <w:szCs w:val="20"/>
              </w:rPr>
              <w:t>386,9</w:t>
            </w:r>
          </w:p>
        </w:tc>
        <w:tc>
          <w:tcPr>
            <w:tcW w:w="1112" w:type="dxa"/>
            <w:tcBorders>
              <w:top w:val="single" w:sz="4" w:space="0" w:color="auto"/>
              <w:left w:val="single" w:sz="4" w:space="0" w:color="auto"/>
              <w:bottom w:val="single" w:sz="4" w:space="0" w:color="auto"/>
              <w:right w:val="single" w:sz="8" w:space="0" w:color="auto"/>
              <w:tl2br w:val="nil"/>
              <w:tr2bl w:val="nil"/>
            </w:tcBorders>
            <w:noWrap/>
            <w:textDirection w:val="lrTb"/>
            <w:vAlign w:val="top"/>
          </w:tcPr>
          <w:p w:rsidR="00B534F8" w:rsidRPr="006D71B5" w:rsidP="00B534F8">
            <w:pPr>
              <w:jc w:val="right"/>
              <w:rPr>
                <w:rFonts w:ascii="Times New Roman" w:hAnsi="Times New Roman" w:cs="Times New Roman"/>
                <w:bCs/>
                <w:color w:val="000000"/>
                <w:sz w:val="20"/>
                <w:szCs w:val="20"/>
              </w:rPr>
            </w:pPr>
            <w:r w:rsidRPr="006D71B5">
              <w:rPr>
                <w:rFonts w:ascii="Times New Roman" w:hAnsi="Times New Roman" w:cs="Times New Roman"/>
                <w:bCs/>
                <w:color w:val="000000"/>
                <w:sz w:val="20"/>
                <w:szCs w:val="20"/>
              </w:rPr>
              <w:t>-125,2</w:t>
            </w:r>
          </w:p>
        </w:tc>
      </w:tr>
      <w:tr>
        <w:tblPrEx>
          <w:tblW w:w="9103" w:type="dxa"/>
          <w:tblInd w:w="55" w:type="dxa"/>
          <w:tblCellMar>
            <w:left w:w="70" w:type="dxa"/>
            <w:right w:w="70" w:type="dxa"/>
          </w:tblCellMar>
        </w:tblPrEx>
        <w:trPr>
          <w:trHeight w:val="270"/>
        </w:trPr>
        <w:tc>
          <w:tcPr>
            <w:tcW w:w="233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B534F8" w:rsidP="00B534F8">
            <w:pPr>
              <w:rPr>
                <w:rFonts w:ascii="Times New Roman" w:hAnsi="Times New Roman" w:cs="Times New Roman"/>
                <w:color w:val="000000"/>
                <w:sz w:val="20"/>
                <w:szCs w:val="20"/>
              </w:rPr>
            </w:pPr>
            <w:r>
              <w:rPr>
                <w:rFonts w:ascii="Times New Roman" w:hAnsi="Times New Roman" w:cs="Times New Roman"/>
                <w:color w:val="000000"/>
                <w:sz w:val="20"/>
                <w:szCs w:val="20"/>
              </w:rPr>
              <w:t xml:space="preserve">Alžírsko - Trade Service </w:t>
            </w:r>
          </w:p>
        </w:tc>
        <w:tc>
          <w:tcPr>
            <w:tcW w:w="10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24,6</w:t>
            </w:r>
          </w:p>
        </w:tc>
        <w:tc>
          <w:tcPr>
            <w:tcW w:w="82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0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996"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-16,9</w:t>
            </w:r>
          </w:p>
        </w:tc>
        <w:tc>
          <w:tcPr>
            <w:tcW w:w="1040" w:type="dxa"/>
            <w:tcBorders>
              <w:top w:val="single" w:sz="4" w:space="0" w:color="auto"/>
              <w:left w:val="single" w:sz="4" w:space="0" w:color="auto"/>
              <w:bottom w:val="single" w:sz="4" w:space="0" w:color="auto"/>
              <w:right w:val="single" w:sz="4" w:space="0" w:color="auto"/>
              <w:tl2br w:val="nil"/>
              <w:tr2bl w:val="nil"/>
            </w:tcBorders>
            <w:noWrap/>
            <w:textDirection w:val="lrTb"/>
            <w:vAlign w:val="top"/>
          </w:tcPr>
          <w:p w:rsidR="00B534F8" w:rsidRPr="00EA23FB" w:rsidP="00B534F8">
            <w:pPr>
              <w:jc w:val="right"/>
              <w:rPr>
                <w:rFonts w:ascii="Times New Roman" w:hAnsi="Times New Roman" w:cs="Times New Roman"/>
                <w:color w:val="000000"/>
                <w:sz w:val="20"/>
                <w:szCs w:val="20"/>
              </w:rPr>
            </w:pPr>
            <w:r w:rsidRPr="00EA23FB">
              <w:rPr>
                <w:rFonts w:ascii="Times New Roman" w:hAnsi="Times New Roman" w:cs="Times New Roman"/>
                <w:color w:val="000000"/>
                <w:sz w:val="20"/>
                <w:szCs w:val="20"/>
              </w:rPr>
              <w:t>8,0</w:t>
            </w:r>
          </w:p>
        </w:tc>
        <w:tc>
          <w:tcPr>
            <w:tcW w:w="1112" w:type="dxa"/>
            <w:tcBorders>
              <w:top w:val="single" w:sz="4" w:space="0" w:color="auto"/>
              <w:left w:val="single" w:sz="4" w:space="0" w:color="auto"/>
              <w:bottom w:val="single" w:sz="4" w:space="0" w:color="auto"/>
              <w:right w:val="single" w:sz="8" w:space="0" w:color="auto"/>
              <w:tl2br w:val="nil"/>
              <w:tr2bl w:val="nil"/>
            </w:tcBorders>
            <w:noWrap/>
            <w:textDirection w:val="lrTb"/>
            <w:vAlign w:val="top"/>
          </w:tcPr>
          <w:p w:rsidR="00B534F8" w:rsidRPr="006D71B5" w:rsidP="00B534F8">
            <w:pPr>
              <w:jc w:val="right"/>
              <w:rPr>
                <w:rFonts w:ascii="Times New Roman" w:hAnsi="Times New Roman" w:cs="Times New Roman"/>
                <w:bCs/>
                <w:color w:val="000000"/>
                <w:sz w:val="20"/>
                <w:szCs w:val="20"/>
              </w:rPr>
            </w:pPr>
            <w:r w:rsidRPr="006D71B5">
              <w:rPr>
                <w:rFonts w:ascii="Times New Roman" w:hAnsi="Times New Roman" w:cs="Times New Roman"/>
                <w:bCs/>
                <w:color w:val="000000"/>
                <w:sz w:val="20"/>
                <w:szCs w:val="20"/>
              </w:rPr>
              <w:t>-16,6</w:t>
            </w:r>
          </w:p>
        </w:tc>
      </w:tr>
      <w:tr>
        <w:tblPrEx>
          <w:tblW w:w="9103" w:type="dxa"/>
          <w:tblInd w:w="55" w:type="dxa"/>
          <w:tblCellMar>
            <w:left w:w="70" w:type="dxa"/>
            <w:right w:w="70" w:type="dxa"/>
          </w:tblCellMar>
        </w:tblPrEx>
        <w:trPr>
          <w:trHeight w:val="270"/>
        </w:trPr>
        <w:tc>
          <w:tcPr>
            <w:tcW w:w="233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B534F8" w:rsidP="00B534F8">
            <w:pPr>
              <w:rPr>
                <w:rFonts w:ascii="Times New Roman" w:hAnsi="Times New Roman" w:cs="Times New Roman"/>
                <w:color w:val="000000"/>
                <w:sz w:val="20"/>
                <w:szCs w:val="20"/>
              </w:rPr>
            </w:pPr>
            <w:r>
              <w:rPr>
                <w:rFonts w:ascii="Times New Roman" w:hAnsi="Times New Roman" w:cs="Times New Roman"/>
                <w:color w:val="000000"/>
                <w:sz w:val="20"/>
                <w:szCs w:val="20"/>
              </w:rPr>
              <w:t>Myanmar</w:t>
            </w:r>
          </w:p>
        </w:tc>
        <w:tc>
          <w:tcPr>
            <w:tcW w:w="10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322,4</w:t>
            </w:r>
          </w:p>
        </w:tc>
        <w:tc>
          <w:tcPr>
            <w:tcW w:w="82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-51,9</w:t>
            </w:r>
          </w:p>
        </w:tc>
        <w:tc>
          <w:tcPr>
            <w:tcW w:w="100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9,9</w:t>
            </w:r>
          </w:p>
        </w:tc>
        <w:tc>
          <w:tcPr>
            <w:tcW w:w="996"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-79,4</w:t>
            </w:r>
          </w:p>
        </w:tc>
        <w:tc>
          <w:tcPr>
            <w:tcW w:w="10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B84836"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201,0</w:t>
            </w:r>
          </w:p>
        </w:tc>
        <w:tc>
          <w:tcPr>
            <w:tcW w:w="1112" w:type="dxa"/>
            <w:tcBorders>
              <w:top w:val="single" w:sz="4" w:space="0" w:color="auto"/>
              <w:left w:val="single" w:sz="4" w:space="0" w:color="auto"/>
              <w:bottom w:val="single" w:sz="4" w:space="0" w:color="auto"/>
              <w:right w:val="single" w:sz="8" w:space="0" w:color="auto"/>
              <w:tl2br w:val="nil"/>
              <w:tr2bl w:val="nil"/>
            </w:tcBorders>
            <w:noWrap/>
            <w:textDirection w:val="lrTb"/>
            <w:vAlign w:val="top"/>
          </w:tcPr>
          <w:p w:rsidR="00B534F8" w:rsidRPr="006D71B5" w:rsidP="00B534F8">
            <w:pPr>
              <w:jc w:val="right"/>
              <w:rPr>
                <w:rFonts w:ascii="Times New Roman" w:hAnsi="Times New Roman" w:cs="Times New Roman"/>
                <w:bCs/>
                <w:color w:val="000000"/>
                <w:sz w:val="20"/>
                <w:szCs w:val="20"/>
              </w:rPr>
            </w:pPr>
            <w:r w:rsidRPr="006D71B5">
              <w:rPr>
                <w:rFonts w:ascii="Times New Roman" w:hAnsi="Times New Roman" w:cs="Times New Roman"/>
                <w:bCs/>
                <w:color w:val="000000"/>
                <w:sz w:val="20"/>
                <w:szCs w:val="20"/>
              </w:rPr>
              <w:t>-121,4</w:t>
            </w:r>
          </w:p>
        </w:tc>
      </w:tr>
      <w:tr>
        <w:tblPrEx>
          <w:tblW w:w="9103" w:type="dxa"/>
          <w:tblInd w:w="55" w:type="dxa"/>
          <w:tblCellMar>
            <w:left w:w="70" w:type="dxa"/>
            <w:right w:w="70" w:type="dxa"/>
          </w:tblCellMar>
        </w:tblPrEx>
        <w:trPr>
          <w:trHeight w:val="270"/>
        </w:trPr>
        <w:tc>
          <w:tcPr>
            <w:tcW w:w="233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B534F8" w:rsidP="00B534F8">
            <w:pPr>
              <w:rPr>
                <w:rFonts w:ascii="Times New Roman" w:hAnsi="Times New Roman" w:cs="Times New Roman"/>
                <w:color w:val="000000"/>
                <w:sz w:val="20"/>
                <w:szCs w:val="20"/>
              </w:rPr>
            </w:pPr>
            <w:r>
              <w:rPr>
                <w:rFonts w:ascii="Times New Roman" w:hAnsi="Times New Roman" w:cs="Times New Roman"/>
                <w:color w:val="000000"/>
                <w:sz w:val="20"/>
                <w:szCs w:val="20"/>
              </w:rPr>
              <w:t>Kuba</w:t>
            </w:r>
          </w:p>
        </w:tc>
        <w:tc>
          <w:tcPr>
            <w:tcW w:w="10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2 133,3</w:t>
            </w:r>
          </w:p>
        </w:tc>
        <w:tc>
          <w:tcPr>
            <w:tcW w:w="82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0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96"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B84836"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2 133,4</w:t>
            </w:r>
          </w:p>
        </w:tc>
        <w:tc>
          <w:tcPr>
            <w:tcW w:w="1112"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0,1</w:t>
            </w:r>
          </w:p>
        </w:tc>
      </w:tr>
      <w:tr>
        <w:tblPrEx>
          <w:tblW w:w="9103" w:type="dxa"/>
          <w:tblInd w:w="55" w:type="dxa"/>
          <w:tblCellMar>
            <w:left w:w="70" w:type="dxa"/>
            <w:right w:w="70" w:type="dxa"/>
          </w:tblCellMar>
        </w:tblPrEx>
        <w:trPr>
          <w:trHeight w:val="270"/>
        </w:trPr>
        <w:tc>
          <w:tcPr>
            <w:tcW w:w="233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B534F8" w:rsidP="00B534F8">
            <w:pPr>
              <w:rPr>
                <w:rFonts w:ascii="Times New Roman" w:hAnsi="Times New Roman" w:cs="Times New Roman"/>
                <w:color w:val="000000"/>
                <w:sz w:val="20"/>
                <w:szCs w:val="20"/>
              </w:rPr>
            </w:pPr>
            <w:r>
              <w:rPr>
                <w:rFonts w:ascii="Times New Roman" w:hAnsi="Times New Roman" w:cs="Times New Roman"/>
                <w:color w:val="000000"/>
                <w:sz w:val="20"/>
                <w:szCs w:val="20"/>
              </w:rPr>
              <w:t>Alžírsko - reštrukt.dlhu</w:t>
            </w:r>
          </w:p>
        </w:tc>
        <w:tc>
          <w:tcPr>
            <w:tcW w:w="10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46,2</w:t>
            </w:r>
          </w:p>
        </w:tc>
        <w:tc>
          <w:tcPr>
            <w:tcW w:w="82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-43,4</w:t>
            </w:r>
          </w:p>
        </w:tc>
        <w:tc>
          <w:tcPr>
            <w:tcW w:w="100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6"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1040" w:type="dxa"/>
            <w:tcBorders>
              <w:top w:val="single" w:sz="4" w:space="0" w:color="auto"/>
              <w:left w:val="single" w:sz="4" w:space="0" w:color="auto"/>
              <w:bottom w:val="single" w:sz="4" w:space="0" w:color="auto"/>
              <w:right w:val="single" w:sz="4" w:space="0" w:color="auto"/>
              <w:tl2br w:val="nil"/>
              <w:tr2bl w:val="nil"/>
            </w:tcBorders>
            <w:noWrap/>
            <w:textDirection w:val="lrTb"/>
            <w:vAlign w:val="top"/>
          </w:tcPr>
          <w:p w:rsidR="00B534F8" w:rsidRPr="004021C0" w:rsidP="00B534F8">
            <w:pPr>
              <w:jc w:val="right"/>
              <w:rPr>
                <w:rFonts w:ascii="Times New Roman" w:hAnsi="Times New Roman" w:cs="Times New Roman"/>
                <w:color w:val="000000"/>
                <w:sz w:val="20"/>
                <w:szCs w:val="20"/>
              </w:rPr>
            </w:pPr>
            <w:r w:rsidRPr="004021C0">
              <w:rPr>
                <w:rFonts w:ascii="Times New Roman" w:hAnsi="Times New Roman" w:cs="Times New Roman"/>
                <w:color w:val="000000"/>
                <w:sz w:val="20"/>
                <w:szCs w:val="20"/>
              </w:rPr>
              <w:t>0</w:t>
            </w:r>
          </w:p>
        </w:tc>
        <w:tc>
          <w:tcPr>
            <w:tcW w:w="1112" w:type="dxa"/>
            <w:tcBorders>
              <w:top w:val="single" w:sz="4" w:space="0" w:color="auto"/>
              <w:left w:val="single" w:sz="4" w:space="0" w:color="auto"/>
              <w:bottom w:val="single" w:sz="4" w:space="0" w:color="auto"/>
              <w:right w:val="single" w:sz="8" w:space="0" w:color="auto"/>
              <w:tl2br w:val="nil"/>
              <w:tr2bl w:val="nil"/>
            </w:tcBorders>
            <w:noWrap/>
            <w:textDirection w:val="lrTb"/>
            <w:vAlign w:val="top"/>
          </w:tcPr>
          <w:p w:rsidR="00B534F8" w:rsidRPr="005144C1" w:rsidP="00B534F8">
            <w:pPr>
              <w:jc w:val="right"/>
              <w:rPr>
                <w:rFonts w:ascii="Times New Roman" w:hAnsi="Times New Roman" w:cs="Times New Roman"/>
                <w:bCs/>
                <w:color w:val="000000"/>
                <w:sz w:val="20"/>
                <w:szCs w:val="20"/>
              </w:rPr>
            </w:pPr>
            <w:r w:rsidRPr="005144C1">
              <w:rPr>
                <w:rFonts w:ascii="Times New Roman" w:hAnsi="Times New Roman" w:cs="Times New Roman"/>
                <w:bCs/>
                <w:color w:val="000000"/>
                <w:sz w:val="20"/>
                <w:szCs w:val="20"/>
              </w:rPr>
              <w:t>-46,2</w:t>
            </w:r>
          </w:p>
        </w:tc>
      </w:tr>
      <w:tr>
        <w:tblPrEx>
          <w:tblW w:w="9103" w:type="dxa"/>
          <w:tblInd w:w="55" w:type="dxa"/>
          <w:tblCellMar>
            <w:left w:w="70" w:type="dxa"/>
            <w:right w:w="70" w:type="dxa"/>
          </w:tblCellMar>
        </w:tblPrEx>
        <w:trPr>
          <w:trHeight w:val="270"/>
        </w:trPr>
        <w:tc>
          <w:tcPr>
            <w:tcW w:w="2335" w:type="dxa"/>
            <w:tcBorders>
              <w:top w:val="single" w:sz="4" w:space="0" w:color="auto"/>
              <w:left w:val="single" w:sz="8" w:space="0" w:color="auto"/>
              <w:bottom w:val="single" w:sz="8" w:space="0" w:color="auto"/>
              <w:right w:val="single" w:sz="4" w:space="0" w:color="auto"/>
              <w:tl2br w:val="nil"/>
              <w:tr2bl w:val="nil"/>
            </w:tcBorders>
            <w:noWrap/>
            <w:textDirection w:val="lrTb"/>
            <w:vAlign w:val="bottom"/>
          </w:tcPr>
          <w:p w:rsidR="00B534F8" w:rsidP="00B534F8">
            <w:pPr>
              <w:rPr>
                <w:rFonts w:ascii="Times New Roman" w:hAnsi="Times New Roman" w:cs="Times New Roman"/>
                <w:color w:val="000000"/>
                <w:sz w:val="20"/>
                <w:szCs w:val="20"/>
              </w:rPr>
            </w:pPr>
            <w:r>
              <w:rPr>
                <w:rFonts w:ascii="Times New Roman" w:hAnsi="Times New Roman" w:cs="Times New Roman"/>
                <w:color w:val="000000"/>
                <w:sz w:val="20"/>
                <w:szCs w:val="20"/>
              </w:rPr>
              <w:t>Kambodža</w:t>
            </w:r>
          </w:p>
        </w:tc>
        <w:tc>
          <w:tcPr>
            <w:tcW w:w="1040" w:type="dxa"/>
            <w:tcBorders>
              <w:top w:val="single" w:sz="4" w:space="0" w:color="auto"/>
              <w:left w:val="single" w:sz="4" w:space="0" w:color="auto"/>
              <w:bottom w:val="single" w:sz="8"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9,8</w:t>
            </w:r>
          </w:p>
        </w:tc>
        <w:tc>
          <w:tcPr>
            <w:tcW w:w="820" w:type="dxa"/>
            <w:tcBorders>
              <w:top w:val="single" w:sz="4" w:space="0" w:color="auto"/>
              <w:left w:val="single" w:sz="4" w:space="0" w:color="auto"/>
              <w:bottom w:val="single" w:sz="8"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000" w:type="dxa"/>
            <w:tcBorders>
              <w:top w:val="single" w:sz="4" w:space="0" w:color="auto"/>
              <w:left w:val="single" w:sz="4" w:space="0" w:color="auto"/>
              <w:bottom w:val="single" w:sz="8"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60" w:type="dxa"/>
            <w:tcBorders>
              <w:top w:val="single" w:sz="4" w:space="0" w:color="auto"/>
              <w:left w:val="single" w:sz="4" w:space="0" w:color="auto"/>
              <w:bottom w:val="single" w:sz="8"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6" w:type="dxa"/>
            <w:tcBorders>
              <w:top w:val="single" w:sz="4" w:space="0" w:color="auto"/>
              <w:left w:val="single" w:sz="4" w:space="0" w:color="auto"/>
              <w:bottom w:val="single" w:sz="8"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1040" w:type="dxa"/>
            <w:tcBorders>
              <w:top w:val="single" w:sz="4" w:space="0" w:color="auto"/>
              <w:left w:val="single" w:sz="4" w:space="0" w:color="auto"/>
              <w:bottom w:val="single" w:sz="8" w:space="0" w:color="auto"/>
              <w:right w:val="single" w:sz="4" w:space="0" w:color="auto"/>
              <w:tl2br w:val="nil"/>
              <w:tr2bl w:val="nil"/>
            </w:tcBorders>
            <w:noWrap/>
            <w:textDirection w:val="lrTb"/>
            <w:vAlign w:val="top"/>
          </w:tcPr>
          <w:p w:rsidR="00B534F8" w:rsidRPr="004021C0" w:rsidP="00B534F8">
            <w:pPr>
              <w:jc w:val="right"/>
              <w:rPr>
                <w:rFonts w:ascii="Times New Roman" w:hAnsi="Times New Roman" w:cs="Times New Roman"/>
                <w:color w:val="000000"/>
                <w:sz w:val="20"/>
                <w:szCs w:val="20"/>
              </w:rPr>
            </w:pPr>
            <w:r w:rsidRPr="004021C0">
              <w:rPr>
                <w:rFonts w:ascii="Times New Roman" w:hAnsi="Times New Roman" w:cs="Times New Roman"/>
                <w:color w:val="000000"/>
                <w:sz w:val="20"/>
                <w:szCs w:val="20"/>
              </w:rPr>
              <w:t>7,0</w:t>
            </w:r>
          </w:p>
        </w:tc>
        <w:tc>
          <w:tcPr>
            <w:tcW w:w="1112" w:type="dxa"/>
            <w:tcBorders>
              <w:top w:val="single" w:sz="4" w:space="0" w:color="auto"/>
              <w:left w:val="single" w:sz="4" w:space="0" w:color="auto"/>
              <w:bottom w:val="single" w:sz="8" w:space="0" w:color="auto"/>
              <w:right w:val="single" w:sz="8" w:space="0" w:color="auto"/>
              <w:tl2br w:val="nil"/>
              <w:tr2bl w:val="nil"/>
            </w:tcBorders>
            <w:noWrap/>
            <w:textDirection w:val="lrTb"/>
            <w:vAlign w:val="top"/>
          </w:tcPr>
          <w:p w:rsidR="00B534F8" w:rsidRPr="005144C1" w:rsidP="00B534F8">
            <w:pPr>
              <w:jc w:val="right"/>
              <w:rPr>
                <w:rFonts w:ascii="Times New Roman" w:hAnsi="Times New Roman" w:cs="Times New Roman"/>
                <w:bCs/>
                <w:color w:val="000000"/>
                <w:sz w:val="20"/>
                <w:szCs w:val="20"/>
              </w:rPr>
            </w:pPr>
            <w:r w:rsidRPr="005144C1">
              <w:rPr>
                <w:rFonts w:ascii="Times New Roman" w:hAnsi="Times New Roman" w:cs="Times New Roman"/>
                <w:bCs/>
                <w:color w:val="000000"/>
                <w:sz w:val="20"/>
                <w:szCs w:val="20"/>
              </w:rPr>
              <w:t>-2,8</w:t>
            </w:r>
          </w:p>
        </w:tc>
      </w:tr>
      <w:tr>
        <w:tblPrEx>
          <w:tblW w:w="9103" w:type="dxa"/>
          <w:tblInd w:w="55" w:type="dxa"/>
          <w:tblCellMar>
            <w:left w:w="70" w:type="dxa"/>
            <w:right w:w="70" w:type="dxa"/>
          </w:tblCellMar>
        </w:tblPrEx>
        <w:trPr>
          <w:trHeight w:val="270"/>
        </w:trPr>
        <w:tc>
          <w:tcPr>
            <w:tcW w:w="2335" w:type="dxa"/>
            <w:tcBorders>
              <w:top w:val="single" w:sz="8" w:space="0" w:color="auto"/>
              <w:left w:val="single" w:sz="8" w:space="0" w:color="auto"/>
              <w:bottom w:val="single" w:sz="4" w:space="0" w:color="auto"/>
              <w:right w:val="single" w:sz="4" w:space="0" w:color="auto"/>
              <w:tl2br w:val="nil"/>
              <w:tr2bl w:val="nil"/>
            </w:tcBorders>
            <w:noWrap/>
            <w:textDirection w:val="lrTb"/>
            <w:vAlign w:val="bottom"/>
          </w:tcPr>
          <w:p w:rsidR="00B534F8" w:rsidP="00B534F8">
            <w:pPr>
              <w:rPr>
                <w:rFonts w:ascii="Times New Roman" w:hAnsi="Times New Roman" w:cs="Times New Roman"/>
                <w:color w:val="000000"/>
                <w:sz w:val="20"/>
                <w:szCs w:val="20"/>
              </w:rPr>
            </w:pPr>
            <w:r>
              <w:rPr>
                <w:rFonts w:ascii="Times New Roman" w:hAnsi="Times New Roman" w:cs="Times New Roman"/>
                <w:color w:val="000000"/>
                <w:sz w:val="20"/>
                <w:szCs w:val="20"/>
              </w:rPr>
              <w:t>Laos</w:t>
            </w:r>
          </w:p>
        </w:tc>
        <w:tc>
          <w:tcPr>
            <w:tcW w:w="1040" w:type="dxa"/>
            <w:tcBorders>
              <w:top w:val="single" w:sz="8"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820" w:type="dxa"/>
            <w:tcBorders>
              <w:top w:val="single" w:sz="8"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1000" w:type="dxa"/>
            <w:tcBorders>
              <w:top w:val="single" w:sz="8"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60" w:type="dxa"/>
            <w:tcBorders>
              <w:top w:val="single" w:sz="8"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6" w:type="dxa"/>
            <w:tcBorders>
              <w:top w:val="single" w:sz="8"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040" w:type="dxa"/>
            <w:tcBorders>
              <w:top w:val="single" w:sz="8" w:space="0" w:color="auto"/>
              <w:left w:val="single" w:sz="4" w:space="0" w:color="auto"/>
              <w:bottom w:val="single" w:sz="4" w:space="0" w:color="auto"/>
              <w:right w:val="single" w:sz="4" w:space="0" w:color="auto"/>
              <w:tl2br w:val="nil"/>
              <w:tr2bl w:val="nil"/>
            </w:tcBorders>
            <w:noWrap/>
            <w:textDirection w:val="lrTb"/>
            <w:vAlign w:val="top"/>
          </w:tcPr>
          <w:p w:rsidR="00B534F8" w:rsidRPr="004021C0" w:rsidP="00B534F8">
            <w:pPr>
              <w:jc w:val="right"/>
              <w:rPr>
                <w:rFonts w:ascii="Times New Roman" w:hAnsi="Times New Roman" w:cs="Times New Roman"/>
                <w:color w:val="000000"/>
                <w:sz w:val="20"/>
                <w:szCs w:val="20"/>
              </w:rPr>
            </w:pPr>
            <w:r w:rsidRPr="004021C0">
              <w:rPr>
                <w:rFonts w:ascii="Times New Roman" w:hAnsi="Times New Roman" w:cs="Times New Roman"/>
                <w:color w:val="000000"/>
                <w:sz w:val="20"/>
                <w:szCs w:val="20"/>
              </w:rPr>
              <w:t>2,0</w:t>
            </w:r>
          </w:p>
        </w:tc>
        <w:tc>
          <w:tcPr>
            <w:tcW w:w="1112" w:type="dxa"/>
            <w:tcBorders>
              <w:top w:val="single" w:sz="8" w:space="0" w:color="auto"/>
              <w:left w:val="single" w:sz="4" w:space="0" w:color="auto"/>
              <w:bottom w:val="single" w:sz="4" w:space="0" w:color="auto"/>
              <w:right w:val="single" w:sz="8" w:space="0" w:color="auto"/>
              <w:tl2br w:val="nil"/>
              <w:tr2bl w:val="nil"/>
            </w:tcBorders>
            <w:noWrap/>
            <w:textDirection w:val="lrTb"/>
            <w:vAlign w:val="top"/>
          </w:tcPr>
          <w:p w:rsidR="00B534F8" w:rsidRPr="005144C1" w:rsidP="00B534F8">
            <w:pPr>
              <w:jc w:val="right"/>
              <w:rPr>
                <w:rFonts w:ascii="Times New Roman" w:hAnsi="Times New Roman" w:cs="Times New Roman"/>
                <w:bCs/>
                <w:color w:val="000000"/>
                <w:sz w:val="20"/>
                <w:szCs w:val="20"/>
              </w:rPr>
            </w:pPr>
            <w:r w:rsidRPr="005144C1">
              <w:rPr>
                <w:rFonts w:ascii="Times New Roman" w:hAnsi="Times New Roman" w:cs="Times New Roman"/>
                <w:bCs/>
                <w:color w:val="000000"/>
                <w:sz w:val="20"/>
                <w:szCs w:val="20"/>
              </w:rPr>
              <w:t>-1,0</w:t>
            </w:r>
          </w:p>
        </w:tc>
      </w:tr>
      <w:tr>
        <w:tblPrEx>
          <w:tblW w:w="9103" w:type="dxa"/>
          <w:tblInd w:w="55" w:type="dxa"/>
          <w:tblCellMar>
            <w:left w:w="70" w:type="dxa"/>
            <w:right w:w="70" w:type="dxa"/>
          </w:tblCellMar>
        </w:tblPrEx>
        <w:trPr>
          <w:trHeight w:val="270"/>
        </w:trPr>
        <w:tc>
          <w:tcPr>
            <w:tcW w:w="233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B534F8" w:rsidP="00B534F8">
            <w:pPr>
              <w:rPr>
                <w:rFonts w:ascii="Times New Roman" w:hAnsi="Times New Roman" w:cs="Times New Roman"/>
                <w:color w:val="000000"/>
                <w:sz w:val="20"/>
                <w:szCs w:val="20"/>
              </w:rPr>
            </w:pPr>
            <w:r>
              <w:rPr>
                <w:rFonts w:ascii="Times New Roman" w:hAnsi="Times New Roman" w:cs="Times New Roman"/>
                <w:color w:val="000000"/>
                <w:sz w:val="20"/>
                <w:szCs w:val="20"/>
              </w:rPr>
              <w:t>Nikaragua</w:t>
            </w:r>
          </w:p>
        </w:tc>
        <w:tc>
          <w:tcPr>
            <w:tcW w:w="10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1 224,2</w:t>
            </w:r>
          </w:p>
        </w:tc>
        <w:tc>
          <w:tcPr>
            <w:tcW w:w="82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-6,7</w:t>
            </w:r>
          </w:p>
        </w:tc>
        <w:tc>
          <w:tcPr>
            <w:tcW w:w="100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35,5</w:t>
            </w:r>
          </w:p>
        </w:tc>
        <w:tc>
          <w:tcPr>
            <w:tcW w:w="996"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-372,7</w:t>
            </w:r>
          </w:p>
        </w:tc>
        <w:tc>
          <w:tcPr>
            <w:tcW w:w="1040" w:type="dxa"/>
            <w:tcBorders>
              <w:top w:val="single" w:sz="4" w:space="0" w:color="auto"/>
              <w:left w:val="single" w:sz="4" w:space="0" w:color="auto"/>
              <w:bottom w:val="single" w:sz="4" w:space="0" w:color="auto"/>
              <w:right w:val="single" w:sz="4" w:space="0" w:color="auto"/>
              <w:tl2br w:val="nil"/>
              <w:tr2bl w:val="nil"/>
            </w:tcBorders>
            <w:noWrap/>
            <w:textDirection w:val="lrTb"/>
            <w:vAlign w:val="top"/>
          </w:tcPr>
          <w:p w:rsidR="00B534F8" w:rsidRPr="004021C0" w:rsidP="00B534F8">
            <w:pPr>
              <w:jc w:val="right"/>
              <w:rPr>
                <w:rFonts w:ascii="Times New Roman" w:hAnsi="Times New Roman" w:cs="Times New Roman"/>
                <w:color w:val="000000"/>
                <w:sz w:val="20"/>
                <w:szCs w:val="20"/>
              </w:rPr>
            </w:pPr>
            <w:r w:rsidRPr="004021C0">
              <w:rPr>
                <w:rFonts w:ascii="Times New Roman" w:hAnsi="Times New Roman" w:cs="Times New Roman"/>
                <w:color w:val="000000"/>
                <w:sz w:val="20"/>
                <w:szCs w:val="20"/>
              </w:rPr>
              <w:t>880,3</w:t>
            </w:r>
          </w:p>
        </w:tc>
        <w:tc>
          <w:tcPr>
            <w:tcW w:w="1112" w:type="dxa"/>
            <w:tcBorders>
              <w:top w:val="single" w:sz="4" w:space="0" w:color="auto"/>
              <w:left w:val="single" w:sz="4" w:space="0" w:color="auto"/>
              <w:bottom w:val="single" w:sz="4" w:space="0" w:color="auto"/>
              <w:right w:val="single" w:sz="8" w:space="0" w:color="auto"/>
              <w:tl2br w:val="nil"/>
              <w:tr2bl w:val="nil"/>
            </w:tcBorders>
            <w:noWrap/>
            <w:textDirection w:val="lrTb"/>
            <w:vAlign w:val="top"/>
          </w:tcPr>
          <w:p w:rsidR="00B534F8" w:rsidRPr="005144C1" w:rsidP="00B534F8">
            <w:pPr>
              <w:jc w:val="right"/>
              <w:rPr>
                <w:rFonts w:ascii="Times New Roman" w:hAnsi="Times New Roman" w:cs="Times New Roman"/>
                <w:bCs/>
                <w:color w:val="000000"/>
                <w:sz w:val="20"/>
                <w:szCs w:val="20"/>
              </w:rPr>
            </w:pPr>
            <w:r w:rsidRPr="005144C1">
              <w:rPr>
                <w:rFonts w:ascii="Times New Roman" w:hAnsi="Times New Roman" w:cs="Times New Roman"/>
                <w:bCs/>
                <w:color w:val="000000"/>
                <w:sz w:val="20"/>
                <w:szCs w:val="20"/>
              </w:rPr>
              <w:t>-34</w:t>
            </w:r>
            <w:r>
              <w:rPr>
                <w:rFonts w:ascii="Times New Roman" w:hAnsi="Times New Roman" w:cs="Times New Roman"/>
                <w:bCs/>
                <w:color w:val="000000"/>
                <w:sz w:val="20"/>
                <w:szCs w:val="20"/>
              </w:rPr>
              <w:t>3</w:t>
            </w:r>
            <w:r w:rsidRPr="005144C1">
              <w:rPr>
                <w:rFonts w:ascii="Times New Roman" w:hAnsi="Times New Roman" w:cs="Times New Roman"/>
                <w:bCs/>
                <w:color w:val="000000"/>
                <w:sz w:val="20"/>
                <w:szCs w:val="20"/>
              </w:rPr>
              <w:t>,</w:t>
            </w:r>
            <w:r>
              <w:rPr>
                <w:rFonts w:ascii="Times New Roman" w:hAnsi="Times New Roman" w:cs="Times New Roman"/>
                <w:bCs/>
                <w:color w:val="000000"/>
                <w:sz w:val="20"/>
                <w:szCs w:val="20"/>
              </w:rPr>
              <w:t>9</w:t>
            </w:r>
          </w:p>
        </w:tc>
      </w:tr>
      <w:tr>
        <w:tblPrEx>
          <w:tblW w:w="9103" w:type="dxa"/>
          <w:tblInd w:w="55" w:type="dxa"/>
          <w:tblCellMar>
            <w:left w:w="70" w:type="dxa"/>
            <w:right w:w="70" w:type="dxa"/>
          </w:tblCellMar>
        </w:tblPrEx>
        <w:trPr>
          <w:trHeight w:val="270"/>
        </w:trPr>
        <w:tc>
          <w:tcPr>
            <w:tcW w:w="233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B534F8" w:rsidP="00B534F8">
            <w:pPr>
              <w:rPr>
                <w:rFonts w:ascii="Times New Roman" w:hAnsi="Times New Roman" w:cs="Times New Roman"/>
                <w:color w:val="000000"/>
                <w:sz w:val="20"/>
                <w:szCs w:val="20"/>
              </w:rPr>
            </w:pPr>
            <w:r>
              <w:rPr>
                <w:rFonts w:ascii="Times New Roman" w:hAnsi="Times New Roman" w:cs="Times New Roman"/>
                <w:color w:val="000000"/>
                <w:sz w:val="20"/>
                <w:szCs w:val="20"/>
              </w:rPr>
              <w:t>Ruská feder.- konsolid. dlh</w:t>
            </w:r>
          </w:p>
        </w:tc>
        <w:tc>
          <w:tcPr>
            <w:tcW w:w="10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2 569,8</w:t>
            </w:r>
          </w:p>
        </w:tc>
        <w:tc>
          <w:tcPr>
            <w:tcW w:w="82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0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6"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-1 875,1</w:t>
            </w:r>
          </w:p>
        </w:tc>
        <w:tc>
          <w:tcPr>
            <w:tcW w:w="1040" w:type="dxa"/>
            <w:tcBorders>
              <w:top w:val="single" w:sz="4" w:space="0" w:color="auto"/>
              <w:left w:val="single" w:sz="4" w:space="0" w:color="auto"/>
              <w:bottom w:val="single" w:sz="4" w:space="0" w:color="auto"/>
              <w:right w:val="single" w:sz="4" w:space="0" w:color="auto"/>
              <w:tl2br w:val="nil"/>
              <w:tr2bl w:val="nil"/>
            </w:tcBorders>
            <w:noWrap/>
            <w:textDirection w:val="lrTb"/>
            <w:vAlign w:val="top"/>
          </w:tcPr>
          <w:p w:rsidR="00B534F8" w:rsidRPr="004021C0" w:rsidP="00B534F8">
            <w:pPr>
              <w:jc w:val="right"/>
              <w:rPr>
                <w:rFonts w:ascii="Times New Roman" w:hAnsi="Times New Roman" w:cs="Times New Roman"/>
                <w:color w:val="000000"/>
                <w:sz w:val="20"/>
                <w:szCs w:val="20"/>
              </w:rPr>
            </w:pPr>
            <w:r w:rsidRPr="004021C0">
              <w:rPr>
                <w:rFonts w:ascii="Times New Roman" w:hAnsi="Times New Roman" w:cs="Times New Roman"/>
                <w:color w:val="000000"/>
                <w:sz w:val="20"/>
                <w:szCs w:val="20"/>
              </w:rPr>
              <w:t>694,7</w:t>
            </w:r>
          </w:p>
        </w:tc>
        <w:tc>
          <w:tcPr>
            <w:tcW w:w="1112" w:type="dxa"/>
            <w:tcBorders>
              <w:top w:val="single" w:sz="4" w:space="0" w:color="auto"/>
              <w:left w:val="single" w:sz="4" w:space="0" w:color="auto"/>
              <w:bottom w:val="single" w:sz="4" w:space="0" w:color="auto"/>
              <w:right w:val="single" w:sz="8" w:space="0" w:color="auto"/>
              <w:tl2br w:val="nil"/>
              <w:tr2bl w:val="nil"/>
            </w:tcBorders>
            <w:noWrap/>
            <w:textDirection w:val="lrTb"/>
            <w:vAlign w:val="top"/>
          </w:tcPr>
          <w:p w:rsidR="00B534F8" w:rsidRPr="005144C1" w:rsidP="00B534F8">
            <w:pPr>
              <w:jc w:val="right"/>
              <w:rPr>
                <w:rFonts w:ascii="Times New Roman" w:hAnsi="Times New Roman" w:cs="Times New Roman"/>
                <w:bCs/>
                <w:color w:val="000000"/>
                <w:sz w:val="20"/>
                <w:szCs w:val="20"/>
              </w:rPr>
            </w:pPr>
            <w:r w:rsidRPr="005144C1">
              <w:rPr>
                <w:rFonts w:ascii="Times New Roman" w:hAnsi="Times New Roman" w:cs="Times New Roman"/>
                <w:bCs/>
                <w:color w:val="000000"/>
                <w:sz w:val="20"/>
                <w:szCs w:val="20"/>
              </w:rPr>
              <w:t>-1 875,</w:t>
            </w:r>
            <w:r w:rsidRPr="00FB56E1">
              <w:rPr>
                <w:rFonts w:ascii="Times New Roman" w:hAnsi="Times New Roman" w:cs="Times New Roman"/>
                <w:bCs/>
                <w:color w:val="000000"/>
                <w:sz w:val="20"/>
                <w:szCs w:val="20"/>
              </w:rPr>
              <w:t>1</w:t>
            </w:r>
          </w:p>
        </w:tc>
      </w:tr>
      <w:tr>
        <w:tblPrEx>
          <w:tblW w:w="9103" w:type="dxa"/>
          <w:tblInd w:w="55" w:type="dxa"/>
          <w:tblCellMar>
            <w:left w:w="70" w:type="dxa"/>
            <w:right w:w="70" w:type="dxa"/>
          </w:tblCellMar>
        </w:tblPrEx>
        <w:trPr>
          <w:trHeight w:val="270"/>
        </w:trPr>
        <w:tc>
          <w:tcPr>
            <w:tcW w:w="233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B534F8" w:rsidP="00B534F8">
            <w:pPr>
              <w:rPr>
                <w:rFonts w:ascii="Times New Roman" w:hAnsi="Times New Roman" w:cs="Times New Roman"/>
                <w:color w:val="000000"/>
                <w:sz w:val="20"/>
                <w:szCs w:val="20"/>
              </w:rPr>
            </w:pPr>
            <w:r>
              <w:rPr>
                <w:rFonts w:ascii="Times New Roman" w:hAnsi="Times New Roman" w:cs="Times New Roman"/>
                <w:color w:val="000000"/>
                <w:sz w:val="20"/>
                <w:szCs w:val="20"/>
              </w:rPr>
              <w:t>Vládne pohľ.-úvery špeciál</w:t>
            </w:r>
          </w:p>
        </w:tc>
        <w:tc>
          <w:tcPr>
            <w:tcW w:w="10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5 503,7</w:t>
            </w:r>
          </w:p>
        </w:tc>
        <w:tc>
          <w:tcPr>
            <w:tcW w:w="82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-976,4</w:t>
            </w:r>
          </w:p>
        </w:tc>
        <w:tc>
          <w:tcPr>
            <w:tcW w:w="100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63,8</w:t>
            </w:r>
          </w:p>
        </w:tc>
        <w:tc>
          <w:tcPr>
            <w:tcW w:w="996"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-854,6</w:t>
            </w:r>
          </w:p>
        </w:tc>
        <w:tc>
          <w:tcPr>
            <w:tcW w:w="10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B84836"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3 736,5</w:t>
            </w:r>
          </w:p>
        </w:tc>
        <w:tc>
          <w:tcPr>
            <w:tcW w:w="1112"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B534F8" w:rsidP="00B534F8">
            <w:pPr>
              <w:jc w:val="right"/>
              <w:rPr>
                <w:rFonts w:ascii="Times New Roman" w:hAnsi="Times New Roman" w:cs="Times New Roman"/>
                <w:color w:val="000000"/>
                <w:sz w:val="20"/>
                <w:szCs w:val="20"/>
              </w:rPr>
            </w:pPr>
            <w:r>
              <w:rPr>
                <w:rFonts w:ascii="Times New Roman" w:hAnsi="Times New Roman" w:cs="Times New Roman"/>
                <w:color w:val="000000"/>
                <w:sz w:val="20"/>
                <w:szCs w:val="20"/>
              </w:rPr>
              <w:t>-1 767,2</w:t>
            </w:r>
          </w:p>
        </w:tc>
      </w:tr>
      <w:tr>
        <w:tblPrEx>
          <w:tblW w:w="9103" w:type="dxa"/>
          <w:tblInd w:w="55" w:type="dxa"/>
          <w:tblCellMar>
            <w:left w:w="70" w:type="dxa"/>
            <w:right w:w="70" w:type="dxa"/>
          </w:tblCellMar>
        </w:tblPrEx>
        <w:trPr>
          <w:trHeight w:val="270"/>
        </w:trPr>
        <w:tc>
          <w:tcPr>
            <w:tcW w:w="2335" w:type="dxa"/>
            <w:tcBorders>
              <w:top w:val="single" w:sz="4" w:space="0" w:color="auto"/>
              <w:left w:val="single" w:sz="8" w:space="0" w:color="auto"/>
              <w:bottom w:val="double" w:sz="6" w:space="0" w:color="auto"/>
              <w:right w:val="single" w:sz="4" w:space="0" w:color="auto"/>
              <w:tl2br w:val="nil"/>
              <w:tr2bl w:val="nil"/>
            </w:tcBorders>
            <w:noWrap/>
            <w:textDirection w:val="lrTb"/>
            <w:vAlign w:val="bottom"/>
          </w:tcPr>
          <w:p w:rsidR="00B534F8" w:rsidRPr="00ED222B" w:rsidP="00B534F8">
            <w:pPr>
              <w:rPr>
                <w:rFonts w:ascii="Times New Roman" w:hAnsi="Times New Roman" w:cs="Times New Roman"/>
                <w:b/>
                <w:color w:val="000000"/>
                <w:sz w:val="20"/>
                <w:szCs w:val="20"/>
              </w:rPr>
            </w:pPr>
            <w:r w:rsidRPr="00ED222B">
              <w:rPr>
                <w:rFonts w:ascii="Times New Roman" w:hAnsi="Times New Roman" w:cs="Times New Roman"/>
                <w:b/>
                <w:color w:val="000000"/>
                <w:sz w:val="20"/>
                <w:szCs w:val="20"/>
              </w:rPr>
              <w:t>S</w:t>
            </w:r>
            <w:r w:rsidR="00ED222B">
              <w:rPr>
                <w:rFonts w:ascii="Times New Roman" w:hAnsi="Times New Roman" w:cs="Times New Roman"/>
                <w:b/>
                <w:color w:val="000000"/>
                <w:sz w:val="20"/>
                <w:szCs w:val="20"/>
              </w:rPr>
              <w:t>POLU</w:t>
            </w:r>
          </w:p>
        </w:tc>
        <w:tc>
          <w:tcPr>
            <w:tcW w:w="1040"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B534F8" w:rsidRPr="00ED222B" w:rsidP="00B534F8">
            <w:pPr>
              <w:jc w:val="right"/>
              <w:rPr>
                <w:rFonts w:ascii="Times New Roman" w:hAnsi="Times New Roman" w:cs="Times New Roman"/>
                <w:b/>
                <w:color w:val="000000"/>
                <w:sz w:val="20"/>
                <w:szCs w:val="20"/>
              </w:rPr>
            </w:pPr>
            <w:r w:rsidRPr="00ED222B">
              <w:rPr>
                <w:rFonts w:ascii="Times New Roman" w:hAnsi="Times New Roman" w:cs="Times New Roman"/>
                <w:b/>
                <w:color w:val="000000"/>
                <w:sz w:val="20"/>
                <w:szCs w:val="20"/>
              </w:rPr>
              <w:t>12 630,1</w:t>
            </w:r>
          </w:p>
        </w:tc>
        <w:tc>
          <w:tcPr>
            <w:tcW w:w="820"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B534F8" w:rsidRPr="00ED222B" w:rsidP="00B534F8">
            <w:pPr>
              <w:jc w:val="right"/>
              <w:rPr>
                <w:rFonts w:ascii="Times New Roman" w:hAnsi="Times New Roman" w:cs="Times New Roman"/>
                <w:b/>
                <w:color w:val="000000"/>
                <w:sz w:val="20"/>
                <w:szCs w:val="20"/>
              </w:rPr>
            </w:pPr>
            <w:r w:rsidRPr="00ED222B">
              <w:rPr>
                <w:rFonts w:ascii="Times New Roman" w:hAnsi="Times New Roman" w:cs="Times New Roman"/>
                <w:b/>
                <w:color w:val="000000"/>
                <w:sz w:val="20"/>
                <w:szCs w:val="20"/>
              </w:rPr>
              <w:t>-1 155,9</w:t>
            </w:r>
          </w:p>
        </w:tc>
        <w:tc>
          <w:tcPr>
            <w:tcW w:w="1000"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B534F8" w:rsidRPr="00ED222B" w:rsidP="00B534F8">
            <w:pPr>
              <w:jc w:val="right"/>
              <w:rPr>
                <w:rFonts w:ascii="Times New Roman" w:hAnsi="Times New Roman" w:cs="Times New Roman"/>
                <w:b/>
                <w:color w:val="000000"/>
                <w:sz w:val="20"/>
                <w:szCs w:val="20"/>
              </w:rPr>
            </w:pPr>
            <w:r w:rsidRPr="00ED222B">
              <w:rPr>
                <w:rFonts w:ascii="Times New Roman" w:hAnsi="Times New Roman" w:cs="Times New Roman"/>
                <w:b/>
                <w:color w:val="000000"/>
                <w:sz w:val="20"/>
                <w:szCs w:val="20"/>
              </w:rPr>
              <w:t>0</w:t>
            </w:r>
          </w:p>
        </w:tc>
        <w:tc>
          <w:tcPr>
            <w:tcW w:w="760"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B534F8" w:rsidRPr="00ED222B" w:rsidP="00B534F8">
            <w:pPr>
              <w:jc w:val="right"/>
              <w:rPr>
                <w:rFonts w:ascii="Times New Roman" w:hAnsi="Times New Roman" w:cs="Times New Roman"/>
                <w:b/>
                <w:color w:val="000000"/>
                <w:sz w:val="20"/>
                <w:szCs w:val="20"/>
              </w:rPr>
            </w:pPr>
            <w:r w:rsidRPr="00ED222B">
              <w:rPr>
                <w:rFonts w:ascii="Times New Roman" w:hAnsi="Times New Roman" w:cs="Times New Roman"/>
                <w:b/>
                <w:color w:val="000000"/>
                <w:sz w:val="20"/>
                <w:szCs w:val="20"/>
              </w:rPr>
              <w:t>129,5</w:t>
            </w:r>
          </w:p>
        </w:tc>
        <w:tc>
          <w:tcPr>
            <w:tcW w:w="996"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B534F8" w:rsidRPr="00ED222B" w:rsidP="00B534F8">
            <w:pPr>
              <w:jc w:val="right"/>
              <w:rPr>
                <w:rFonts w:ascii="Times New Roman" w:hAnsi="Times New Roman" w:cs="Times New Roman"/>
                <w:b/>
                <w:color w:val="000000"/>
                <w:sz w:val="20"/>
                <w:szCs w:val="20"/>
              </w:rPr>
            </w:pPr>
            <w:r w:rsidRPr="00ED222B">
              <w:rPr>
                <w:rFonts w:ascii="Times New Roman" w:hAnsi="Times New Roman" w:cs="Times New Roman"/>
                <w:b/>
                <w:color w:val="000000"/>
                <w:sz w:val="20"/>
                <w:szCs w:val="20"/>
              </w:rPr>
              <w:t>-3 426,6</w:t>
            </w:r>
          </w:p>
        </w:tc>
        <w:tc>
          <w:tcPr>
            <w:tcW w:w="1040"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B534F8" w:rsidRPr="00ED222B" w:rsidP="00B534F8">
            <w:pPr>
              <w:jc w:val="right"/>
              <w:rPr>
                <w:rFonts w:ascii="Times New Roman" w:hAnsi="Times New Roman" w:cs="Times New Roman"/>
                <w:b/>
                <w:color w:val="000000"/>
                <w:sz w:val="20"/>
                <w:szCs w:val="20"/>
              </w:rPr>
            </w:pPr>
            <w:r w:rsidRPr="00ED222B">
              <w:rPr>
                <w:rFonts w:ascii="Times New Roman" w:hAnsi="Times New Roman" w:cs="Times New Roman"/>
                <w:b/>
                <w:color w:val="000000"/>
                <w:sz w:val="20"/>
                <w:szCs w:val="20"/>
              </w:rPr>
              <w:t>8 177,1</w:t>
            </w:r>
          </w:p>
        </w:tc>
        <w:tc>
          <w:tcPr>
            <w:tcW w:w="1112" w:type="dxa"/>
            <w:tcBorders>
              <w:top w:val="single" w:sz="4" w:space="0" w:color="auto"/>
              <w:left w:val="single" w:sz="4" w:space="0" w:color="auto"/>
              <w:bottom w:val="double" w:sz="6" w:space="0" w:color="auto"/>
              <w:right w:val="single" w:sz="8" w:space="0" w:color="auto"/>
              <w:tl2br w:val="nil"/>
              <w:tr2bl w:val="nil"/>
            </w:tcBorders>
            <w:noWrap/>
            <w:textDirection w:val="lrTb"/>
            <w:vAlign w:val="bottom"/>
          </w:tcPr>
          <w:p w:rsidR="00B534F8" w:rsidRPr="00ED222B" w:rsidP="00B534F8">
            <w:pPr>
              <w:jc w:val="right"/>
              <w:rPr>
                <w:rFonts w:ascii="Times New Roman" w:hAnsi="Times New Roman" w:cs="Times New Roman"/>
                <w:b/>
                <w:color w:val="000000"/>
                <w:sz w:val="20"/>
                <w:szCs w:val="20"/>
              </w:rPr>
            </w:pPr>
            <w:r w:rsidRPr="00ED222B">
              <w:rPr>
                <w:rFonts w:ascii="Times New Roman" w:hAnsi="Times New Roman" w:cs="Times New Roman"/>
                <w:b/>
                <w:color w:val="000000"/>
                <w:sz w:val="20"/>
                <w:szCs w:val="20"/>
              </w:rPr>
              <w:t>-4 453,0</w:t>
            </w:r>
          </w:p>
        </w:tc>
      </w:tr>
    </w:tbl>
    <w:p w:rsidR="00B534F8" w:rsidP="00B534F8">
      <w:pPr>
        <w:spacing w:before="120" w:line="360" w:lineRule="auto"/>
        <w:jc w:val="both"/>
        <w:rPr>
          <w:rFonts w:ascii="Times New Roman" w:hAnsi="Times New Roman" w:cs="Times New Roman"/>
          <w:sz w:val="20"/>
          <w:szCs w:val="20"/>
        </w:rPr>
      </w:pPr>
      <w:r>
        <w:rPr>
          <w:rFonts w:ascii="Times New Roman" w:hAnsi="Times New Roman" w:cs="Times New Roman"/>
          <w:sz w:val="20"/>
          <w:szCs w:val="20"/>
        </w:rPr>
        <w:t>Zdroj: Ministerstvo financií SR</w:t>
      </w:r>
    </w:p>
    <w:p w:rsidR="00B534F8" w:rsidRPr="00185333" w:rsidP="00B534F8">
      <w:pPr>
        <w:spacing w:before="120" w:line="360" w:lineRule="auto"/>
        <w:jc w:val="both"/>
        <w:rPr>
          <w:rFonts w:ascii="Times New Roman" w:hAnsi="Times New Roman" w:cs="Times New Roman"/>
          <w:sz w:val="20"/>
          <w:szCs w:val="20"/>
        </w:rPr>
      </w:pPr>
    </w:p>
    <w:p w:rsidR="00B534F8" w:rsidP="00656862">
      <w:pPr>
        <w:numPr>
          <w:ilvl w:val="0"/>
          <w:numId w:val="97"/>
        </w:numPr>
        <w:tabs>
          <w:tab w:val="left" w:pos="720"/>
        </w:tabs>
        <w:spacing w:before="120" w:after="120" w:line="360" w:lineRule="auto"/>
        <w:jc w:val="center"/>
        <w:rPr>
          <w:rFonts w:ascii="Times New Roman" w:hAnsi="Times New Roman" w:cs="Times New Roman"/>
          <w:u w:val="single"/>
        </w:rPr>
      </w:pPr>
      <w:r w:rsidRPr="00185333">
        <w:rPr>
          <w:rFonts w:ascii="Times New Roman" w:hAnsi="Times New Roman" w:cs="Times New Roman"/>
          <w:u w:val="single"/>
        </w:rPr>
        <w:t>Zahraničné pohľadávky prevzaté od ČSOB, a.s.</w:t>
      </w:r>
    </w:p>
    <w:p w:rsidR="00B534F8" w:rsidRPr="00710F5B" w:rsidP="00B534F8">
      <w:pPr>
        <w:spacing w:line="360" w:lineRule="auto"/>
        <w:ind w:firstLine="708"/>
        <w:jc w:val="both"/>
        <w:rPr>
          <w:rFonts w:ascii="Times New Roman" w:hAnsi="Times New Roman" w:cs="Times New Roman"/>
          <w:color w:val="000000"/>
        </w:rPr>
      </w:pPr>
      <w:r w:rsidRPr="00185333">
        <w:rPr>
          <w:rFonts w:ascii="Times New Roman" w:hAnsi="Times New Roman" w:cs="Times New Roman"/>
          <w:color w:val="000000"/>
        </w:rPr>
        <w:t>Pohľadávky prevzaté od ČSOB, a.s. na základe dohôd doteraz spravuje pre Ministerstvo financií  SR Československá obchodná  banka, a.s. Praha a Národná banka</w:t>
      </w:r>
      <w:r>
        <w:rPr>
          <w:rFonts w:ascii="Times New Roman" w:hAnsi="Times New Roman" w:cs="Times New Roman"/>
          <w:color w:val="000000"/>
        </w:rPr>
        <w:t xml:space="preserve"> Slovenska. V priebehu roka 2006</w:t>
      </w:r>
      <w:r w:rsidRPr="00185333">
        <w:rPr>
          <w:rFonts w:ascii="Times New Roman" w:hAnsi="Times New Roman" w:cs="Times New Roman"/>
          <w:color w:val="000000"/>
        </w:rPr>
        <w:t xml:space="preserve"> sa ich stav </w:t>
      </w:r>
      <w:r>
        <w:rPr>
          <w:rFonts w:ascii="Times New Roman" w:hAnsi="Times New Roman" w:cs="Times New Roman"/>
          <w:color w:val="000000"/>
        </w:rPr>
        <w:t xml:space="preserve">vo výške 3 575,5 mil. Sk </w:t>
      </w:r>
      <w:r w:rsidRPr="00185333">
        <w:rPr>
          <w:rFonts w:ascii="Times New Roman" w:hAnsi="Times New Roman" w:cs="Times New Roman"/>
          <w:color w:val="000000"/>
        </w:rPr>
        <w:t xml:space="preserve">celkovo </w:t>
      </w:r>
      <w:r w:rsidRPr="00710F5B">
        <w:rPr>
          <w:rFonts w:ascii="Times New Roman" w:hAnsi="Times New Roman" w:cs="Times New Roman"/>
          <w:color w:val="000000"/>
        </w:rPr>
        <w:t xml:space="preserve">znížil o 213,4 mil. Sk, čo podstatnou mierou ovplyvnili kurzové rozdiely.  </w:t>
      </w:r>
    </w:p>
    <w:p w:rsidR="00B534F8" w:rsidP="00B534F8">
      <w:pPr>
        <w:spacing w:before="120" w:after="120" w:line="360" w:lineRule="auto"/>
        <w:ind w:firstLine="709"/>
        <w:rPr>
          <w:rFonts w:ascii="Times New Roman" w:hAnsi="Times New Roman" w:cs="Times New Roman"/>
        </w:rPr>
      </w:pPr>
      <w:r w:rsidRPr="00185333">
        <w:rPr>
          <w:rFonts w:ascii="Times New Roman" w:hAnsi="Times New Roman" w:cs="Times New Roman"/>
        </w:rPr>
        <w:t xml:space="preserve">Vývoj pohľadávok voči zahraničiu – prevzaté pohľadávky od ČSOB </w:t>
      </w:r>
      <w:r>
        <w:rPr>
          <w:rFonts w:ascii="Times New Roman" w:hAnsi="Times New Roman" w:cs="Times New Roman"/>
        </w:rPr>
        <w:t xml:space="preserve"> </w:t>
      </w:r>
      <w:r w:rsidRPr="00185333">
        <w:rPr>
          <w:rFonts w:ascii="Times New Roman" w:hAnsi="Times New Roman" w:cs="Times New Roman"/>
          <w:u w:val="single"/>
        </w:rPr>
        <w:t>v správe ČSOB, a.s.</w:t>
      </w:r>
      <w:r>
        <w:rPr>
          <w:rFonts w:ascii="Times New Roman" w:hAnsi="Times New Roman" w:cs="Times New Roman"/>
          <w:u w:val="single"/>
        </w:rPr>
        <w:t xml:space="preserve"> Praha</w:t>
      </w:r>
      <w:r>
        <w:rPr>
          <w:rFonts w:ascii="Times New Roman" w:hAnsi="Times New Roman" w:cs="Times New Roman"/>
        </w:rPr>
        <w:t xml:space="preserve"> </w:t>
      </w:r>
      <w:r w:rsidRPr="00185333">
        <w:rPr>
          <w:rFonts w:ascii="Times New Roman" w:hAnsi="Times New Roman" w:cs="Times New Roman"/>
        </w:rPr>
        <w:t xml:space="preserve">charakterizuje nasledovný prehľad (v mil. Sk): </w:t>
      </w:r>
    </w:p>
    <w:tbl>
      <w:tblPr>
        <w:tblW w:w="93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Pr>
      <w:tblGrid>
        <w:gridCol w:w="5260"/>
        <w:gridCol w:w="1276"/>
        <w:gridCol w:w="1417"/>
        <w:gridCol w:w="1418"/>
      </w:tblGrid>
      <w:tr>
        <w:tblPrEx>
          <w:tblW w:w="93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PrEx>
        <w:trPr>
          <w:trHeight w:val="695"/>
        </w:trPr>
        <w:tc>
          <w:tcPr>
            <w:tcW w:w="5260"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ED222B" w:rsidRPr="00B342FB" w:rsidP="005E13AA">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Položka aktív</w:t>
            </w:r>
          </w:p>
        </w:tc>
        <w:tc>
          <w:tcPr>
            <w:tcW w:w="1276"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ED222B" w:rsidRPr="00B342FB" w:rsidP="00ED222B">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Stav</w:t>
            </w:r>
          </w:p>
          <w:p w:rsidR="00ED222B" w:rsidRPr="00B342FB" w:rsidP="00ED222B">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K 1.1.2006</w:t>
            </w:r>
          </w:p>
        </w:tc>
        <w:tc>
          <w:tcPr>
            <w:tcW w:w="1417"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ED222B" w:rsidRPr="00B342FB" w:rsidP="00ED222B">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Stav</w:t>
            </w:r>
          </w:p>
          <w:p w:rsidR="00ED222B" w:rsidRPr="00B342FB" w:rsidP="00ED222B">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k 31.12.2006</w:t>
            </w:r>
          </w:p>
        </w:tc>
        <w:tc>
          <w:tcPr>
            <w:tcW w:w="1418"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ED222B" w:rsidRPr="00B342FB" w:rsidP="00ED222B">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Zmena</w:t>
            </w:r>
          </w:p>
        </w:tc>
      </w:tr>
      <w:tr>
        <w:tblPrEx>
          <w:tblW w:w="9371" w:type="dxa"/>
          <w:tblCellMar>
            <w:left w:w="70" w:type="dxa"/>
            <w:right w:w="70" w:type="dxa"/>
          </w:tblCellMar>
        </w:tblPrEx>
        <w:trPr>
          <w:trHeight w:val="332"/>
        </w:trPr>
        <w:tc>
          <w:tcPr>
            <w:tcW w:w="526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Zahraničné pohľadávky prevzaté od ČSOB v správe ČSOB a.s. Praha</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2 568,6</w:t>
            </w:r>
          </w:p>
        </w:tc>
        <w:tc>
          <w:tcPr>
            <w:tcW w:w="14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2 408,2</w:t>
            </w:r>
          </w:p>
        </w:tc>
        <w:tc>
          <w:tcPr>
            <w:tcW w:w="1418"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-160,4</w:t>
            </w:r>
          </w:p>
        </w:tc>
      </w:tr>
      <w:tr>
        <w:tblPrEx>
          <w:tblW w:w="9371" w:type="dxa"/>
          <w:tblCellMar>
            <w:left w:w="70" w:type="dxa"/>
            <w:right w:w="70" w:type="dxa"/>
          </w:tblCellMar>
        </w:tblPrEx>
        <w:trPr>
          <w:trHeight w:val="160"/>
        </w:trPr>
        <w:tc>
          <w:tcPr>
            <w:tcW w:w="526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Pohľadávky v nekonvertibilných menách</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2 376,9</w:t>
            </w:r>
          </w:p>
        </w:tc>
        <w:tc>
          <w:tcPr>
            <w:tcW w:w="14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2 237,5</w:t>
            </w:r>
          </w:p>
        </w:tc>
        <w:tc>
          <w:tcPr>
            <w:tcW w:w="1418"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i/>
                <w:color w:val="000000"/>
                <w:sz w:val="20"/>
                <w:szCs w:val="20"/>
              </w:rPr>
            </w:pPr>
            <w:r w:rsidRPr="00B342FB">
              <w:rPr>
                <w:rFonts w:ascii="Times New Roman" w:hAnsi="Times New Roman" w:cs="Times New Roman"/>
                <w:b/>
                <w:bCs/>
                <w:i/>
                <w:color w:val="000000"/>
                <w:sz w:val="20"/>
                <w:szCs w:val="20"/>
              </w:rPr>
              <w:t>-139,4</w:t>
            </w:r>
          </w:p>
        </w:tc>
      </w:tr>
      <w:tr>
        <w:tblPrEx>
          <w:tblW w:w="9371" w:type="dxa"/>
          <w:tblCellMar>
            <w:left w:w="70" w:type="dxa"/>
            <w:right w:w="70" w:type="dxa"/>
          </w:tblCellMar>
        </w:tblPrEx>
        <w:trPr>
          <w:trHeight w:val="61"/>
        </w:trPr>
        <w:tc>
          <w:tcPr>
            <w:tcW w:w="526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color w:val="000000"/>
                <w:sz w:val="20"/>
                <w:szCs w:val="20"/>
              </w:rPr>
            </w:pPr>
            <w:r w:rsidRPr="00B342FB">
              <w:rPr>
                <w:rFonts w:ascii="Times New Roman" w:hAnsi="Times New Roman" w:cs="Times New Roman"/>
                <w:color w:val="000000"/>
                <w:sz w:val="20"/>
                <w:szCs w:val="20"/>
              </w:rPr>
              <w:t>Čína</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278,7</w:t>
            </w:r>
          </w:p>
        </w:tc>
        <w:tc>
          <w:tcPr>
            <w:tcW w:w="14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247,2</w:t>
            </w:r>
          </w:p>
        </w:tc>
        <w:tc>
          <w:tcPr>
            <w:tcW w:w="1418"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-31,4</w:t>
            </w:r>
          </w:p>
        </w:tc>
      </w:tr>
      <w:tr>
        <w:tblPrEx>
          <w:tblW w:w="9371" w:type="dxa"/>
          <w:tblCellMar>
            <w:left w:w="70" w:type="dxa"/>
            <w:right w:w="70" w:type="dxa"/>
          </w:tblCellMar>
        </w:tblPrEx>
        <w:trPr>
          <w:trHeight w:val="60"/>
        </w:trPr>
        <w:tc>
          <w:tcPr>
            <w:tcW w:w="526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color w:val="000000"/>
                <w:sz w:val="20"/>
                <w:szCs w:val="20"/>
              </w:rPr>
            </w:pPr>
            <w:r w:rsidRPr="00B342FB">
              <w:rPr>
                <w:rFonts w:ascii="Times New Roman" w:hAnsi="Times New Roman" w:cs="Times New Roman"/>
                <w:color w:val="000000"/>
                <w:sz w:val="20"/>
                <w:szCs w:val="20"/>
              </w:rPr>
              <w:t>Juhoslávia</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2 071,4</w:t>
            </w:r>
          </w:p>
        </w:tc>
        <w:tc>
          <w:tcPr>
            <w:tcW w:w="14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1 795,3</w:t>
            </w:r>
          </w:p>
        </w:tc>
        <w:tc>
          <w:tcPr>
            <w:tcW w:w="1418"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-276,1</w:t>
            </w:r>
          </w:p>
        </w:tc>
      </w:tr>
      <w:tr>
        <w:tblPrEx>
          <w:tblW w:w="9371" w:type="dxa"/>
          <w:tblCellMar>
            <w:left w:w="70" w:type="dxa"/>
            <w:right w:w="70" w:type="dxa"/>
          </w:tblCellMar>
        </w:tblPrEx>
        <w:trPr>
          <w:trHeight w:val="60"/>
        </w:trPr>
        <w:tc>
          <w:tcPr>
            <w:tcW w:w="526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color w:val="000000"/>
                <w:sz w:val="20"/>
                <w:szCs w:val="20"/>
              </w:rPr>
            </w:pPr>
            <w:r w:rsidRPr="00B342FB">
              <w:rPr>
                <w:rFonts w:ascii="Times New Roman" w:hAnsi="Times New Roman" w:cs="Times New Roman"/>
                <w:color w:val="000000"/>
                <w:sz w:val="20"/>
                <w:szCs w:val="20"/>
              </w:rPr>
              <w:t>KĽDR</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22,0</w:t>
            </w:r>
          </w:p>
        </w:tc>
        <w:tc>
          <w:tcPr>
            <w:tcW w:w="14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18,1</w:t>
            </w:r>
          </w:p>
        </w:tc>
        <w:tc>
          <w:tcPr>
            <w:tcW w:w="1418"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-3,9</w:t>
            </w:r>
          </w:p>
        </w:tc>
      </w:tr>
      <w:tr>
        <w:tblPrEx>
          <w:tblW w:w="9371" w:type="dxa"/>
          <w:tblCellMar>
            <w:left w:w="70" w:type="dxa"/>
            <w:right w:w="70" w:type="dxa"/>
          </w:tblCellMar>
        </w:tblPrEx>
        <w:trPr>
          <w:trHeight w:val="60"/>
        </w:trPr>
        <w:tc>
          <w:tcPr>
            <w:tcW w:w="526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color w:val="000000"/>
                <w:sz w:val="20"/>
                <w:szCs w:val="20"/>
              </w:rPr>
            </w:pPr>
            <w:r w:rsidRPr="00B342FB">
              <w:rPr>
                <w:rFonts w:ascii="Times New Roman" w:hAnsi="Times New Roman" w:cs="Times New Roman"/>
                <w:color w:val="000000"/>
                <w:sz w:val="20"/>
                <w:szCs w:val="20"/>
              </w:rPr>
              <w:t>Ruská federácia</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1,2</w:t>
            </w:r>
          </w:p>
        </w:tc>
        <w:tc>
          <w:tcPr>
            <w:tcW w:w="14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1,2</w:t>
            </w:r>
          </w:p>
        </w:tc>
        <w:tc>
          <w:tcPr>
            <w:tcW w:w="1418"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0</w:t>
            </w:r>
          </w:p>
        </w:tc>
      </w:tr>
      <w:tr>
        <w:tblPrEx>
          <w:tblW w:w="9371" w:type="dxa"/>
          <w:tblCellMar>
            <w:left w:w="70" w:type="dxa"/>
            <w:right w:w="70" w:type="dxa"/>
          </w:tblCellMar>
        </w:tblPrEx>
        <w:trPr>
          <w:trHeight w:val="62"/>
        </w:trPr>
        <w:tc>
          <w:tcPr>
            <w:tcW w:w="526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color w:val="000000"/>
                <w:sz w:val="20"/>
                <w:szCs w:val="20"/>
              </w:rPr>
            </w:pPr>
            <w:r w:rsidRPr="00B342FB">
              <w:rPr>
                <w:rFonts w:ascii="Times New Roman" w:hAnsi="Times New Roman" w:cs="Times New Roman"/>
                <w:color w:val="000000"/>
                <w:sz w:val="20"/>
                <w:szCs w:val="20"/>
              </w:rPr>
              <w:t>Slovinsko</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3,6</w:t>
            </w:r>
          </w:p>
        </w:tc>
        <w:tc>
          <w:tcPr>
            <w:tcW w:w="14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2,9</w:t>
            </w:r>
          </w:p>
        </w:tc>
        <w:tc>
          <w:tcPr>
            <w:tcW w:w="1418"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-0,7</w:t>
            </w:r>
          </w:p>
        </w:tc>
      </w:tr>
      <w:tr>
        <w:tblPrEx>
          <w:tblW w:w="9371" w:type="dxa"/>
          <w:tblCellMar>
            <w:left w:w="70" w:type="dxa"/>
            <w:right w:w="70" w:type="dxa"/>
          </w:tblCellMar>
        </w:tblPrEx>
        <w:trPr>
          <w:trHeight w:val="60"/>
        </w:trPr>
        <w:tc>
          <w:tcPr>
            <w:tcW w:w="526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color w:val="000000"/>
                <w:sz w:val="20"/>
                <w:szCs w:val="20"/>
              </w:rPr>
            </w:pPr>
            <w:r w:rsidRPr="00B342FB">
              <w:rPr>
                <w:rFonts w:ascii="Times New Roman" w:hAnsi="Times New Roman" w:cs="Times New Roman"/>
                <w:color w:val="000000"/>
                <w:sz w:val="20"/>
                <w:szCs w:val="20"/>
              </w:rPr>
              <w:t>India  *</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0</w:t>
            </w:r>
          </w:p>
        </w:tc>
        <w:tc>
          <w:tcPr>
            <w:tcW w:w="14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172,8</w:t>
            </w:r>
          </w:p>
        </w:tc>
        <w:tc>
          <w:tcPr>
            <w:tcW w:w="1418"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172,8</w:t>
            </w:r>
          </w:p>
        </w:tc>
      </w:tr>
      <w:tr>
        <w:tblPrEx>
          <w:tblW w:w="9371" w:type="dxa"/>
          <w:tblCellMar>
            <w:left w:w="70" w:type="dxa"/>
            <w:right w:w="70" w:type="dxa"/>
          </w:tblCellMar>
        </w:tblPrEx>
        <w:trPr>
          <w:trHeight w:val="60"/>
        </w:trPr>
        <w:tc>
          <w:tcPr>
            <w:tcW w:w="526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Pohľadávky v konvertibilných menách</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191,7</w:t>
            </w:r>
          </w:p>
        </w:tc>
        <w:tc>
          <w:tcPr>
            <w:tcW w:w="14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170,7</w:t>
            </w:r>
          </w:p>
        </w:tc>
        <w:tc>
          <w:tcPr>
            <w:tcW w:w="1418"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i/>
                <w:color w:val="000000"/>
                <w:sz w:val="20"/>
                <w:szCs w:val="20"/>
              </w:rPr>
            </w:pPr>
            <w:r w:rsidRPr="00B342FB">
              <w:rPr>
                <w:rFonts w:ascii="Times New Roman" w:hAnsi="Times New Roman" w:cs="Times New Roman"/>
                <w:b/>
                <w:bCs/>
                <w:i/>
                <w:color w:val="000000"/>
                <w:sz w:val="20"/>
                <w:szCs w:val="20"/>
              </w:rPr>
              <w:t>-21,0</w:t>
            </w:r>
          </w:p>
        </w:tc>
      </w:tr>
      <w:tr>
        <w:tblPrEx>
          <w:tblW w:w="9371" w:type="dxa"/>
          <w:tblCellMar>
            <w:left w:w="70" w:type="dxa"/>
            <w:right w:w="70" w:type="dxa"/>
          </w:tblCellMar>
        </w:tblPrEx>
        <w:trPr>
          <w:trHeight w:val="60"/>
        </w:trPr>
        <w:tc>
          <w:tcPr>
            <w:tcW w:w="526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color w:val="000000"/>
                <w:sz w:val="20"/>
                <w:szCs w:val="20"/>
              </w:rPr>
            </w:pPr>
            <w:r w:rsidRPr="00B342FB">
              <w:rPr>
                <w:rFonts w:ascii="Times New Roman" w:hAnsi="Times New Roman" w:cs="Times New Roman"/>
                <w:color w:val="000000"/>
                <w:sz w:val="20"/>
                <w:szCs w:val="20"/>
              </w:rPr>
              <w:t>Albánsko</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145,5</w:t>
            </w:r>
          </w:p>
        </w:tc>
        <w:tc>
          <w:tcPr>
            <w:tcW w:w="14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iCs/>
                <w:color w:val="000000"/>
                <w:sz w:val="20"/>
                <w:szCs w:val="20"/>
              </w:rPr>
            </w:pPr>
            <w:r w:rsidRPr="00B342FB">
              <w:rPr>
                <w:rFonts w:ascii="Times New Roman" w:hAnsi="Times New Roman" w:cs="Times New Roman"/>
                <w:iCs/>
                <w:color w:val="000000"/>
                <w:sz w:val="20"/>
                <w:szCs w:val="20"/>
              </w:rPr>
              <w:t>106,3</w:t>
            </w:r>
          </w:p>
        </w:tc>
        <w:tc>
          <w:tcPr>
            <w:tcW w:w="1418"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-39,2</w:t>
            </w:r>
          </w:p>
        </w:tc>
      </w:tr>
      <w:tr>
        <w:tblPrEx>
          <w:tblW w:w="9371" w:type="dxa"/>
          <w:tblCellMar>
            <w:left w:w="70" w:type="dxa"/>
            <w:right w:w="70" w:type="dxa"/>
          </w:tblCellMar>
        </w:tblPrEx>
        <w:trPr>
          <w:trHeight w:val="60"/>
        </w:trPr>
        <w:tc>
          <w:tcPr>
            <w:tcW w:w="526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color w:val="000000"/>
                <w:sz w:val="20"/>
                <w:szCs w:val="20"/>
              </w:rPr>
            </w:pPr>
            <w:r w:rsidRPr="00B342FB">
              <w:rPr>
                <w:rFonts w:ascii="Times New Roman" w:hAnsi="Times New Roman" w:cs="Times New Roman"/>
                <w:color w:val="000000"/>
                <w:sz w:val="20"/>
                <w:szCs w:val="20"/>
              </w:rPr>
              <w:t>Alžírsko  **</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8,0</w:t>
            </w:r>
          </w:p>
        </w:tc>
        <w:tc>
          <w:tcPr>
            <w:tcW w:w="14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33,0</w:t>
            </w:r>
          </w:p>
        </w:tc>
        <w:tc>
          <w:tcPr>
            <w:tcW w:w="1418"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25,0</w:t>
            </w:r>
          </w:p>
        </w:tc>
      </w:tr>
      <w:tr>
        <w:tblPrEx>
          <w:tblW w:w="9371" w:type="dxa"/>
          <w:tblCellMar>
            <w:left w:w="70" w:type="dxa"/>
            <w:right w:w="70" w:type="dxa"/>
          </w:tblCellMar>
        </w:tblPrEx>
        <w:trPr>
          <w:trHeight w:val="60"/>
        </w:trPr>
        <w:tc>
          <w:tcPr>
            <w:tcW w:w="5260" w:type="dxa"/>
            <w:tcBorders>
              <w:top w:val="single" w:sz="4" w:space="0" w:color="auto"/>
              <w:left w:val="single" w:sz="8" w:space="0" w:color="auto"/>
              <w:bottom w:val="single" w:sz="8" w:space="0" w:color="auto"/>
              <w:right w:val="single" w:sz="4" w:space="0" w:color="auto"/>
              <w:tl2br w:val="nil"/>
              <w:tr2bl w:val="nil"/>
            </w:tcBorders>
            <w:textDirection w:val="lrTb"/>
            <w:vAlign w:val="top"/>
          </w:tcPr>
          <w:p w:rsidR="00B534F8" w:rsidRPr="00B342FB" w:rsidP="00B534F8">
            <w:pPr>
              <w:rPr>
                <w:rFonts w:ascii="Times New Roman" w:hAnsi="Times New Roman" w:cs="Times New Roman"/>
                <w:color w:val="000000"/>
                <w:sz w:val="20"/>
                <w:szCs w:val="20"/>
              </w:rPr>
            </w:pPr>
            <w:r w:rsidRPr="00B342FB">
              <w:rPr>
                <w:rFonts w:ascii="Times New Roman" w:hAnsi="Times New Roman" w:cs="Times New Roman"/>
                <w:color w:val="000000"/>
                <w:sz w:val="20"/>
                <w:szCs w:val="20"/>
              </w:rPr>
              <w:t>KĽDR</w:t>
            </w:r>
          </w:p>
        </w:tc>
        <w:tc>
          <w:tcPr>
            <w:tcW w:w="1276" w:type="dxa"/>
            <w:tcBorders>
              <w:top w:val="single" w:sz="4" w:space="0" w:color="auto"/>
              <w:left w:val="single" w:sz="4" w:space="0" w:color="auto"/>
              <w:bottom w:val="single" w:sz="8"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38,2</w:t>
            </w:r>
          </w:p>
        </w:tc>
        <w:tc>
          <w:tcPr>
            <w:tcW w:w="1417" w:type="dxa"/>
            <w:tcBorders>
              <w:top w:val="single" w:sz="4" w:space="0" w:color="auto"/>
              <w:left w:val="single" w:sz="4" w:space="0" w:color="auto"/>
              <w:bottom w:val="single" w:sz="8" w:space="0" w:color="auto"/>
              <w:right w:val="single" w:sz="4" w:space="0" w:color="auto"/>
              <w:tl2br w:val="nil"/>
              <w:tr2bl w:val="nil"/>
            </w:tcBorders>
            <w:textDirection w:val="lrTb"/>
            <w:vAlign w:val="top"/>
          </w:tcPr>
          <w:p w:rsidR="00B534F8" w:rsidRPr="00B342FB" w:rsidP="00B534F8">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31,4</w:t>
            </w:r>
          </w:p>
        </w:tc>
        <w:tc>
          <w:tcPr>
            <w:tcW w:w="1418" w:type="dxa"/>
            <w:tcBorders>
              <w:top w:val="single" w:sz="4" w:space="0" w:color="auto"/>
              <w:left w:val="single" w:sz="4" w:space="0" w:color="auto"/>
              <w:bottom w:val="single" w:sz="8" w:space="0" w:color="auto"/>
              <w:right w:val="single" w:sz="8" w:space="0" w:color="auto"/>
              <w:tl2br w:val="nil"/>
              <w:tr2bl w:val="nil"/>
            </w:tcBorders>
            <w:textDirection w:val="lrTb"/>
            <w:vAlign w:val="top"/>
          </w:tcPr>
          <w:p w:rsidR="00B534F8" w:rsidRPr="00B342FB" w:rsidP="00B534F8">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-6,8</w:t>
            </w:r>
          </w:p>
        </w:tc>
      </w:tr>
    </w:tbl>
    <w:tbl>
      <w:tblPr>
        <w:tblpPr w:leftFromText="141" w:rightFromText="141" w:vertAnchor="text" w:horzAnchor="margin" w:tblpY="113"/>
        <w:tblW w:w="93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Pr>
      <w:tblGrid>
        <w:gridCol w:w="5290"/>
        <w:gridCol w:w="1246"/>
        <w:gridCol w:w="1417"/>
        <w:gridCol w:w="1418"/>
      </w:tblGrid>
      <w:tr>
        <w:tblPrEx>
          <w:tblW w:w="93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PrEx>
        <w:trPr>
          <w:trHeight w:val="695"/>
        </w:trPr>
        <w:tc>
          <w:tcPr>
            <w:tcW w:w="5290"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5E13AA" w:rsidRPr="00B342FB" w:rsidP="005825A4">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Položka aktív</w:t>
            </w:r>
          </w:p>
        </w:tc>
        <w:tc>
          <w:tcPr>
            <w:tcW w:w="1246"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5E13AA" w:rsidRPr="00B342FB" w:rsidP="005825A4">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Stav</w:t>
            </w:r>
          </w:p>
          <w:p w:rsidR="005E13AA" w:rsidRPr="00B342FB" w:rsidP="005825A4">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k 1.1.2006</w:t>
            </w:r>
          </w:p>
        </w:tc>
        <w:tc>
          <w:tcPr>
            <w:tcW w:w="1417"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5E13AA" w:rsidRPr="00B342FB" w:rsidP="005825A4">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Stav</w:t>
            </w:r>
          </w:p>
          <w:p w:rsidR="005E13AA" w:rsidRPr="00B342FB" w:rsidP="005825A4">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k 31.12.2006</w:t>
            </w:r>
          </w:p>
        </w:tc>
        <w:tc>
          <w:tcPr>
            <w:tcW w:w="1418"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5E13AA" w:rsidRPr="00B342FB" w:rsidP="005825A4">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Zmena</w:t>
            </w:r>
          </w:p>
          <w:p w:rsidR="005E13AA" w:rsidRPr="00B342FB" w:rsidP="005825A4">
            <w:pPr>
              <w:jc w:val="cente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v roku 2006</w:t>
            </w:r>
          </w:p>
        </w:tc>
      </w:tr>
      <w:tr>
        <w:tblPrEx>
          <w:tblW w:w="9371" w:type="dxa"/>
          <w:tblCellMar>
            <w:left w:w="70" w:type="dxa"/>
            <w:right w:w="70" w:type="dxa"/>
          </w:tblCellMar>
        </w:tblPrEx>
        <w:trPr>
          <w:trHeight w:val="272"/>
        </w:trPr>
        <w:tc>
          <w:tcPr>
            <w:tcW w:w="529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ED222B" w:rsidRPr="00B342FB" w:rsidP="005825A4">
            <w:pPr>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Zahraničné pohľadávky prevzaté od ČSOB v správe NBS</w:t>
            </w:r>
          </w:p>
        </w:tc>
        <w:tc>
          <w:tcPr>
            <w:tcW w:w="124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222B" w:rsidRPr="00B342FB" w:rsidP="005825A4">
            <w:pPr>
              <w:jc w:val="right"/>
              <w:rPr>
                <w:rFonts w:ascii="Times New Roman" w:hAnsi="Times New Roman" w:cs="Times New Roman"/>
                <w:b/>
                <w:bCs/>
                <w:i/>
                <w:iCs/>
                <w:color w:val="000000"/>
                <w:sz w:val="20"/>
                <w:szCs w:val="20"/>
              </w:rPr>
            </w:pPr>
            <w:r w:rsidRPr="00B342FB">
              <w:rPr>
                <w:rFonts w:ascii="Times New Roman" w:hAnsi="Times New Roman" w:cs="Times New Roman"/>
                <w:b/>
                <w:bCs/>
                <w:i/>
                <w:iCs/>
                <w:color w:val="000000"/>
                <w:sz w:val="20"/>
                <w:szCs w:val="20"/>
              </w:rPr>
              <w:t>1 006,9</w:t>
            </w:r>
          </w:p>
        </w:tc>
        <w:tc>
          <w:tcPr>
            <w:tcW w:w="14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222B" w:rsidRPr="00B342FB" w:rsidP="005825A4">
            <w:pPr>
              <w:jc w:val="right"/>
              <w:rPr>
                <w:rFonts w:ascii="Times New Roman" w:hAnsi="Times New Roman" w:cs="Times New Roman"/>
                <w:b/>
                <w:bCs/>
                <w:i/>
                <w:iCs/>
                <w:color w:val="000000"/>
                <w:sz w:val="20"/>
                <w:szCs w:val="20"/>
              </w:rPr>
            </w:pPr>
            <w:r w:rsidRPr="00B342FB">
              <w:rPr>
                <w:rFonts w:ascii="Times New Roman" w:hAnsi="Times New Roman" w:cs="Times New Roman"/>
                <w:b/>
                <w:bCs/>
                <w:i/>
                <w:iCs/>
                <w:color w:val="000000"/>
                <w:sz w:val="20"/>
                <w:szCs w:val="20"/>
              </w:rPr>
              <w:t>953,9</w:t>
            </w:r>
          </w:p>
        </w:tc>
        <w:tc>
          <w:tcPr>
            <w:tcW w:w="1418"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ED222B" w:rsidRPr="00B342FB" w:rsidP="005825A4">
            <w:pPr>
              <w:jc w:val="right"/>
              <w:rPr>
                <w:rFonts w:ascii="Times New Roman" w:hAnsi="Times New Roman" w:cs="Times New Roman"/>
                <w:b/>
                <w:bCs/>
                <w:color w:val="000000"/>
                <w:sz w:val="20"/>
                <w:szCs w:val="20"/>
              </w:rPr>
            </w:pPr>
            <w:r w:rsidRPr="00B342FB">
              <w:rPr>
                <w:rFonts w:ascii="Times New Roman" w:hAnsi="Times New Roman" w:cs="Times New Roman"/>
                <w:b/>
                <w:bCs/>
                <w:color w:val="000000"/>
                <w:sz w:val="20"/>
                <w:szCs w:val="20"/>
              </w:rPr>
              <w:t>-53,0</w:t>
            </w:r>
          </w:p>
        </w:tc>
      </w:tr>
      <w:tr>
        <w:tblPrEx>
          <w:tblW w:w="9371" w:type="dxa"/>
          <w:tblCellMar>
            <w:left w:w="70" w:type="dxa"/>
            <w:right w:w="70" w:type="dxa"/>
          </w:tblCellMar>
        </w:tblPrEx>
        <w:trPr>
          <w:trHeight w:val="345"/>
        </w:trPr>
        <w:tc>
          <w:tcPr>
            <w:tcW w:w="529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ED222B" w:rsidRPr="00B342FB" w:rsidP="005825A4">
            <w:pPr>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Pohľadávky v nekonvertibilných menách</w:t>
            </w:r>
          </w:p>
        </w:tc>
        <w:tc>
          <w:tcPr>
            <w:tcW w:w="124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222B" w:rsidRPr="00B342FB" w:rsidP="005825A4">
            <w:pPr>
              <w:jc w:val="right"/>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553,0</w:t>
            </w:r>
          </w:p>
        </w:tc>
        <w:tc>
          <w:tcPr>
            <w:tcW w:w="14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222B" w:rsidRPr="00B342FB" w:rsidP="005825A4">
            <w:pPr>
              <w:jc w:val="right"/>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553,0</w:t>
            </w:r>
          </w:p>
        </w:tc>
        <w:tc>
          <w:tcPr>
            <w:tcW w:w="1418"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ED222B" w:rsidRPr="00B342FB" w:rsidP="005825A4">
            <w:pPr>
              <w:jc w:val="right"/>
              <w:rPr>
                <w:rFonts w:ascii="Times New Roman" w:hAnsi="Times New Roman" w:cs="Times New Roman"/>
                <w:bCs/>
                <w:color w:val="000000"/>
                <w:sz w:val="20"/>
                <w:szCs w:val="20"/>
              </w:rPr>
            </w:pPr>
            <w:r w:rsidRPr="00B342FB">
              <w:rPr>
                <w:rFonts w:ascii="Times New Roman" w:hAnsi="Times New Roman" w:cs="Times New Roman"/>
                <w:bCs/>
                <w:color w:val="000000"/>
                <w:sz w:val="20"/>
                <w:szCs w:val="20"/>
              </w:rPr>
              <w:t>0</w:t>
            </w:r>
          </w:p>
        </w:tc>
      </w:tr>
      <w:tr>
        <w:tblPrEx>
          <w:tblW w:w="9371" w:type="dxa"/>
          <w:tblCellMar>
            <w:left w:w="70" w:type="dxa"/>
            <w:right w:w="70" w:type="dxa"/>
          </w:tblCellMar>
        </w:tblPrEx>
        <w:trPr>
          <w:trHeight w:val="345"/>
        </w:trPr>
        <w:tc>
          <w:tcPr>
            <w:tcW w:w="529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ED222B" w:rsidRPr="00B342FB" w:rsidP="005825A4">
            <w:pPr>
              <w:rPr>
                <w:rFonts w:ascii="Times New Roman" w:hAnsi="Times New Roman" w:cs="Times New Roman"/>
                <w:color w:val="000000"/>
                <w:sz w:val="20"/>
                <w:szCs w:val="20"/>
              </w:rPr>
            </w:pPr>
            <w:r w:rsidRPr="00B342FB">
              <w:rPr>
                <w:rFonts w:ascii="Times New Roman" w:hAnsi="Times New Roman" w:cs="Times New Roman"/>
                <w:color w:val="000000"/>
                <w:sz w:val="20"/>
                <w:szCs w:val="20"/>
              </w:rPr>
              <w:t>Kuba</w:t>
            </w:r>
          </w:p>
        </w:tc>
        <w:tc>
          <w:tcPr>
            <w:tcW w:w="124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222B" w:rsidRPr="00B342FB" w:rsidP="005825A4">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553,0</w:t>
            </w:r>
          </w:p>
        </w:tc>
        <w:tc>
          <w:tcPr>
            <w:tcW w:w="14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222B" w:rsidRPr="00B342FB" w:rsidP="005825A4">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553,0</w:t>
            </w:r>
          </w:p>
        </w:tc>
        <w:tc>
          <w:tcPr>
            <w:tcW w:w="1418"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ED222B" w:rsidRPr="00B342FB" w:rsidP="005825A4">
            <w:pPr>
              <w:jc w:val="right"/>
              <w:rPr>
                <w:rFonts w:ascii="Times New Roman" w:hAnsi="Times New Roman" w:cs="Times New Roman"/>
                <w:bCs/>
                <w:color w:val="000000"/>
                <w:sz w:val="20"/>
                <w:szCs w:val="20"/>
              </w:rPr>
            </w:pPr>
            <w:r w:rsidRPr="00B342FB">
              <w:rPr>
                <w:rFonts w:ascii="Times New Roman" w:hAnsi="Times New Roman" w:cs="Times New Roman"/>
                <w:bCs/>
                <w:color w:val="000000"/>
                <w:sz w:val="20"/>
                <w:szCs w:val="20"/>
              </w:rPr>
              <w:t>0</w:t>
            </w:r>
          </w:p>
        </w:tc>
      </w:tr>
      <w:tr>
        <w:tblPrEx>
          <w:tblW w:w="9371" w:type="dxa"/>
          <w:tblCellMar>
            <w:left w:w="70" w:type="dxa"/>
            <w:right w:w="70" w:type="dxa"/>
          </w:tblCellMar>
        </w:tblPrEx>
        <w:trPr>
          <w:trHeight w:val="386"/>
        </w:trPr>
        <w:tc>
          <w:tcPr>
            <w:tcW w:w="529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ED222B" w:rsidRPr="00B342FB" w:rsidP="005825A4">
            <w:pPr>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Pohľadávky v konvertibilných menách z titulu CDZ</w:t>
            </w:r>
          </w:p>
        </w:tc>
        <w:tc>
          <w:tcPr>
            <w:tcW w:w="124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222B" w:rsidRPr="00B342FB" w:rsidP="005825A4">
            <w:pPr>
              <w:jc w:val="right"/>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453,9</w:t>
            </w:r>
          </w:p>
        </w:tc>
        <w:tc>
          <w:tcPr>
            <w:tcW w:w="14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222B" w:rsidRPr="00B342FB" w:rsidP="005825A4">
            <w:pPr>
              <w:jc w:val="right"/>
              <w:rPr>
                <w:rFonts w:ascii="Times New Roman" w:hAnsi="Times New Roman" w:cs="Times New Roman"/>
                <w:i/>
                <w:iCs/>
                <w:color w:val="000000"/>
                <w:sz w:val="20"/>
                <w:szCs w:val="20"/>
              </w:rPr>
            </w:pPr>
            <w:r w:rsidRPr="00B342FB">
              <w:rPr>
                <w:rFonts w:ascii="Times New Roman" w:hAnsi="Times New Roman" w:cs="Times New Roman"/>
                <w:i/>
                <w:iCs/>
                <w:color w:val="000000"/>
                <w:sz w:val="20"/>
                <w:szCs w:val="20"/>
              </w:rPr>
              <w:t>400,9</w:t>
            </w:r>
          </w:p>
        </w:tc>
        <w:tc>
          <w:tcPr>
            <w:tcW w:w="1418"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ED222B" w:rsidRPr="00B342FB" w:rsidP="005825A4">
            <w:pPr>
              <w:jc w:val="right"/>
              <w:rPr>
                <w:rFonts w:ascii="Times New Roman" w:hAnsi="Times New Roman" w:cs="Times New Roman"/>
                <w:bCs/>
                <w:color w:val="000000"/>
                <w:sz w:val="20"/>
                <w:szCs w:val="20"/>
              </w:rPr>
            </w:pPr>
            <w:r w:rsidRPr="00B342FB">
              <w:rPr>
                <w:rFonts w:ascii="Times New Roman" w:hAnsi="Times New Roman" w:cs="Times New Roman"/>
                <w:bCs/>
                <w:color w:val="000000"/>
                <w:sz w:val="20"/>
                <w:szCs w:val="20"/>
              </w:rPr>
              <w:t>-53,0</w:t>
            </w:r>
          </w:p>
        </w:tc>
      </w:tr>
      <w:tr>
        <w:tblPrEx>
          <w:tblW w:w="9371" w:type="dxa"/>
          <w:tblCellMar>
            <w:left w:w="70" w:type="dxa"/>
            <w:right w:w="70" w:type="dxa"/>
          </w:tblCellMar>
        </w:tblPrEx>
        <w:trPr>
          <w:trHeight w:val="345"/>
        </w:trPr>
        <w:tc>
          <w:tcPr>
            <w:tcW w:w="529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ED222B" w:rsidRPr="00B342FB" w:rsidP="005825A4">
            <w:pPr>
              <w:rPr>
                <w:rFonts w:ascii="Times New Roman" w:hAnsi="Times New Roman" w:cs="Times New Roman"/>
                <w:color w:val="000000"/>
                <w:sz w:val="20"/>
                <w:szCs w:val="20"/>
              </w:rPr>
            </w:pPr>
            <w:r w:rsidRPr="00B342FB">
              <w:rPr>
                <w:rFonts w:ascii="Times New Roman" w:hAnsi="Times New Roman" w:cs="Times New Roman"/>
                <w:color w:val="000000"/>
                <w:sz w:val="20"/>
                <w:szCs w:val="20"/>
              </w:rPr>
              <w:t>Bielorusko</w:t>
            </w:r>
          </w:p>
        </w:tc>
        <w:tc>
          <w:tcPr>
            <w:tcW w:w="124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222B" w:rsidRPr="00B342FB" w:rsidP="005825A4">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28,6</w:t>
            </w:r>
          </w:p>
        </w:tc>
        <w:tc>
          <w:tcPr>
            <w:tcW w:w="141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222B" w:rsidRPr="00B342FB" w:rsidP="005825A4">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0</w:t>
            </w:r>
          </w:p>
        </w:tc>
        <w:tc>
          <w:tcPr>
            <w:tcW w:w="1418"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ED222B" w:rsidRPr="00B342FB" w:rsidP="005825A4">
            <w:pPr>
              <w:jc w:val="right"/>
              <w:rPr>
                <w:rFonts w:ascii="Times New Roman" w:hAnsi="Times New Roman" w:cs="Times New Roman"/>
                <w:bCs/>
                <w:color w:val="000000"/>
                <w:sz w:val="20"/>
                <w:szCs w:val="20"/>
              </w:rPr>
            </w:pPr>
            <w:r w:rsidRPr="00B342FB">
              <w:rPr>
                <w:rFonts w:ascii="Times New Roman" w:hAnsi="Times New Roman" w:cs="Times New Roman"/>
                <w:bCs/>
                <w:color w:val="000000"/>
                <w:sz w:val="20"/>
                <w:szCs w:val="20"/>
              </w:rPr>
              <w:t>-28,6</w:t>
            </w:r>
          </w:p>
        </w:tc>
      </w:tr>
      <w:tr>
        <w:tblPrEx>
          <w:tblW w:w="9371" w:type="dxa"/>
          <w:tblCellMar>
            <w:left w:w="70" w:type="dxa"/>
            <w:right w:w="70" w:type="dxa"/>
          </w:tblCellMar>
        </w:tblPrEx>
        <w:trPr>
          <w:trHeight w:val="345"/>
        </w:trPr>
        <w:tc>
          <w:tcPr>
            <w:tcW w:w="5290" w:type="dxa"/>
            <w:tcBorders>
              <w:top w:val="single" w:sz="4" w:space="0" w:color="auto"/>
              <w:left w:val="single" w:sz="8" w:space="0" w:color="auto"/>
              <w:bottom w:val="single" w:sz="8" w:space="0" w:color="auto"/>
              <w:right w:val="single" w:sz="4" w:space="0" w:color="auto"/>
              <w:tl2br w:val="nil"/>
              <w:tr2bl w:val="nil"/>
            </w:tcBorders>
            <w:textDirection w:val="lrTb"/>
            <w:vAlign w:val="top"/>
          </w:tcPr>
          <w:p w:rsidR="00ED222B" w:rsidRPr="00B342FB" w:rsidP="005825A4">
            <w:pPr>
              <w:rPr>
                <w:rFonts w:ascii="Times New Roman" w:hAnsi="Times New Roman" w:cs="Times New Roman"/>
                <w:color w:val="000000"/>
                <w:sz w:val="20"/>
                <w:szCs w:val="20"/>
              </w:rPr>
            </w:pPr>
            <w:r w:rsidRPr="00B342FB">
              <w:rPr>
                <w:rFonts w:ascii="Times New Roman" w:hAnsi="Times New Roman" w:cs="Times New Roman"/>
                <w:color w:val="000000"/>
                <w:sz w:val="20"/>
                <w:szCs w:val="20"/>
              </w:rPr>
              <w:t>Kuba (prekonvert.DEM)</w:t>
            </w:r>
          </w:p>
        </w:tc>
        <w:tc>
          <w:tcPr>
            <w:tcW w:w="1246" w:type="dxa"/>
            <w:tcBorders>
              <w:top w:val="single" w:sz="4" w:space="0" w:color="auto"/>
              <w:left w:val="single" w:sz="4" w:space="0" w:color="auto"/>
              <w:bottom w:val="single" w:sz="8" w:space="0" w:color="auto"/>
              <w:right w:val="single" w:sz="4" w:space="0" w:color="auto"/>
              <w:tl2br w:val="nil"/>
              <w:tr2bl w:val="nil"/>
            </w:tcBorders>
            <w:textDirection w:val="lrTb"/>
            <w:vAlign w:val="top"/>
          </w:tcPr>
          <w:p w:rsidR="00ED222B" w:rsidRPr="00B342FB" w:rsidP="005825A4">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425,3</w:t>
            </w:r>
          </w:p>
        </w:tc>
        <w:tc>
          <w:tcPr>
            <w:tcW w:w="1417" w:type="dxa"/>
            <w:tcBorders>
              <w:top w:val="single" w:sz="4" w:space="0" w:color="auto"/>
              <w:left w:val="single" w:sz="4" w:space="0" w:color="auto"/>
              <w:bottom w:val="single" w:sz="8" w:space="0" w:color="auto"/>
              <w:right w:val="single" w:sz="4" w:space="0" w:color="auto"/>
              <w:tl2br w:val="nil"/>
              <w:tr2bl w:val="nil"/>
            </w:tcBorders>
            <w:textDirection w:val="lrTb"/>
            <w:vAlign w:val="top"/>
          </w:tcPr>
          <w:p w:rsidR="00ED222B" w:rsidRPr="00B342FB" w:rsidP="005825A4">
            <w:pPr>
              <w:jc w:val="right"/>
              <w:rPr>
                <w:rFonts w:ascii="Times New Roman" w:hAnsi="Times New Roman" w:cs="Times New Roman"/>
                <w:color w:val="000000"/>
                <w:sz w:val="20"/>
                <w:szCs w:val="20"/>
              </w:rPr>
            </w:pPr>
            <w:r w:rsidRPr="00B342FB">
              <w:rPr>
                <w:rFonts w:ascii="Times New Roman" w:hAnsi="Times New Roman" w:cs="Times New Roman"/>
                <w:color w:val="000000"/>
                <w:sz w:val="20"/>
                <w:szCs w:val="20"/>
              </w:rPr>
              <w:t>400,9</w:t>
            </w:r>
          </w:p>
        </w:tc>
        <w:tc>
          <w:tcPr>
            <w:tcW w:w="1418" w:type="dxa"/>
            <w:tcBorders>
              <w:top w:val="single" w:sz="4" w:space="0" w:color="auto"/>
              <w:left w:val="single" w:sz="4" w:space="0" w:color="auto"/>
              <w:bottom w:val="single" w:sz="8" w:space="0" w:color="auto"/>
              <w:right w:val="single" w:sz="8" w:space="0" w:color="auto"/>
              <w:tl2br w:val="nil"/>
              <w:tr2bl w:val="nil"/>
            </w:tcBorders>
            <w:textDirection w:val="lrTb"/>
            <w:vAlign w:val="top"/>
          </w:tcPr>
          <w:p w:rsidR="00ED222B" w:rsidRPr="00B342FB" w:rsidP="005825A4">
            <w:pPr>
              <w:jc w:val="right"/>
              <w:rPr>
                <w:rFonts w:ascii="Times New Roman" w:hAnsi="Times New Roman" w:cs="Times New Roman"/>
                <w:bCs/>
                <w:color w:val="000000"/>
                <w:sz w:val="20"/>
                <w:szCs w:val="20"/>
              </w:rPr>
            </w:pPr>
            <w:r w:rsidRPr="00B342FB">
              <w:rPr>
                <w:rFonts w:ascii="Times New Roman" w:hAnsi="Times New Roman" w:cs="Times New Roman"/>
                <w:bCs/>
                <w:color w:val="000000"/>
                <w:sz w:val="20"/>
                <w:szCs w:val="20"/>
              </w:rPr>
              <w:t>-24,4</w:t>
            </w:r>
          </w:p>
        </w:tc>
      </w:tr>
    </w:tbl>
    <w:p w:rsidR="00B534F8" w:rsidRPr="00BC31E3" w:rsidP="00B534F8">
      <w:pPr>
        <w:rPr>
          <w:rFonts w:ascii="Times New Roman" w:hAnsi="Times New Roman" w:cs="Times New Roman"/>
          <w:sz w:val="20"/>
          <w:szCs w:val="20"/>
        </w:rPr>
      </w:pPr>
      <w:r w:rsidRPr="00BC31E3">
        <w:rPr>
          <w:rFonts w:ascii="Times New Roman" w:hAnsi="Times New Roman" w:cs="Times New Roman"/>
          <w:sz w:val="20"/>
          <w:szCs w:val="20"/>
        </w:rPr>
        <w:t>*  Pohľadávka vznikla  24.4.2006 ako podiel SR na doplatku SDR.</w:t>
      </w:r>
    </w:p>
    <w:p w:rsidR="00B534F8" w:rsidP="00B534F8">
      <w:pPr>
        <w:jc w:val="both"/>
        <w:rPr>
          <w:rFonts w:ascii="Times New Roman" w:hAnsi="Times New Roman" w:cs="Times New Roman"/>
          <w:sz w:val="20"/>
          <w:szCs w:val="20"/>
        </w:rPr>
      </w:pPr>
      <w:r w:rsidRPr="00BC31E3">
        <w:rPr>
          <w:rFonts w:ascii="Times New Roman" w:hAnsi="Times New Roman" w:cs="Times New Roman"/>
          <w:sz w:val="20"/>
          <w:szCs w:val="20"/>
        </w:rPr>
        <w:t xml:space="preserve">**  Pohľadávka   vznikla   zlúčením   pôvodne   </w:t>
      </w:r>
      <w:r>
        <w:rPr>
          <w:rFonts w:ascii="Times New Roman" w:hAnsi="Times New Roman" w:cs="Times New Roman"/>
          <w:sz w:val="20"/>
          <w:szCs w:val="20"/>
        </w:rPr>
        <w:t xml:space="preserve"> </w:t>
      </w:r>
      <w:r w:rsidRPr="00BC31E3">
        <w:rPr>
          <w:rFonts w:ascii="Times New Roman" w:hAnsi="Times New Roman" w:cs="Times New Roman"/>
          <w:sz w:val="20"/>
          <w:szCs w:val="20"/>
        </w:rPr>
        <w:t>dvoch   osobitne    evidovaných   pohľadávok</w:t>
      </w:r>
      <w:r>
        <w:rPr>
          <w:rFonts w:ascii="Times New Roman" w:hAnsi="Times New Roman" w:cs="Times New Roman"/>
          <w:sz w:val="20"/>
          <w:szCs w:val="20"/>
        </w:rPr>
        <w:t xml:space="preserve">:  Alžír  a   Alžír – </w:t>
      </w:r>
    </w:p>
    <w:p w:rsidR="00B534F8" w:rsidRPr="00BC31E3" w:rsidP="00B534F8">
      <w:pPr>
        <w:jc w:val="both"/>
        <w:rPr>
          <w:rFonts w:ascii="Times New Roman" w:hAnsi="Times New Roman" w:cs="Times New Roman"/>
          <w:sz w:val="20"/>
          <w:szCs w:val="20"/>
        </w:rPr>
      </w:pPr>
      <w:r>
        <w:rPr>
          <w:rFonts w:ascii="Times New Roman" w:hAnsi="Times New Roman" w:cs="Times New Roman"/>
          <w:sz w:val="20"/>
          <w:szCs w:val="20"/>
        </w:rPr>
        <w:t xml:space="preserve">      Lentimex  </w:t>
      </w:r>
      <w:r w:rsidRPr="00BC31E3">
        <w:rPr>
          <w:rFonts w:ascii="Times New Roman" w:hAnsi="Times New Roman" w:cs="Times New Roman"/>
          <w:sz w:val="20"/>
          <w:szCs w:val="20"/>
        </w:rPr>
        <w:t>(mimoriadna inventarizácia k 31.3.2006), čo je v súlade</w:t>
      </w:r>
      <w:r>
        <w:rPr>
          <w:rFonts w:ascii="Times New Roman" w:hAnsi="Times New Roman" w:cs="Times New Roman"/>
          <w:sz w:val="20"/>
          <w:szCs w:val="20"/>
        </w:rPr>
        <w:t xml:space="preserve"> s jej vykazovaním v ČSOB, a.s.</w:t>
      </w:r>
    </w:p>
    <w:p w:rsidR="00B534F8" w:rsidRPr="00185333" w:rsidP="00B534F8">
      <w:pPr>
        <w:spacing w:before="120" w:line="360" w:lineRule="auto"/>
        <w:jc w:val="both"/>
        <w:rPr>
          <w:rFonts w:ascii="Times New Roman" w:hAnsi="Times New Roman" w:cs="Times New Roman"/>
          <w:sz w:val="20"/>
          <w:szCs w:val="20"/>
        </w:rPr>
      </w:pPr>
      <w:r>
        <w:rPr>
          <w:rFonts w:ascii="Times New Roman" w:hAnsi="Times New Roman" w:cs="Times New Roman"/>
          <w:sz w:val="20"/>
          <w:szCs w:val="20"/>
        </w:rPr>
        <w:t>Zdroj: Ministerstvo financií SR</w:t>
      </w:r>
    </w:p>
    <w:p w:rsidR="00B534F8" w:rsidP="0048644A">
      <w:pPr>
        <w:tabs>
          <w:tab w:val="left" w:pos="2910"/>
        </w:tabs>
        <w:spacing w:before="120" w:line="360" w:lineRule="auto"/>
        <w:ind w:firstLine="709"/>
        <w:jc w:val="both"/>
        <w:rPr>
          <w:rFonts w:ascii="Times New Roman" w:hAnsi="Times New Roman" w:cs="Times New Roman"/>
        </w:rPr>
      </w:pPr>
      <w:r>
        <w:rPr>
          <w:rFonts w:ascii="Times New Roman" w:hAnsi="Times New Roman" w:cs="Times New Roman"/>
        </w:rPr>
        <w:t>Pohľadávka voči Indii vedená v cudzej mene INR, v správe ČSOB, a.s., vznikla 24.4.2006 ako podiel SR na doplatku SDR vo výške 211,2 mil. Sk.</w:t>
      </w:r>
    </w:p>
    <w:p w:rsidR="00B534F8" w:rsidRPr="00185333" w:rsidP="00B534F8">
      <w:pPr>
        <w:spacing w:line="360" w:lineRule="auto"/>
        <w:jc w:val="both"/>
        <w:rPr>
          <w:rFonts w:ascii="Times New Roman" w:hAnsi="Times New Roman" w:cs="Times New Roman"/>
        </w:rPr>
      </w:pPr>
      <w:r>
        <w:rPr>
          <w:rFonts w:ascii="Times New Roman" w:hAnsi="Times New Roman" w:cs="Times New Roman"/>
        </w:rPr>
        <w:t xml:space="preserve">    </w:t>
        <w:tab/>
        <w:t>P</w:t>
      </w:r>
      <w:r w:rsidRPr="00185333">
        <w:rPr>
          <w:rFonts w:ascii="Times New Roman" w:hAnsi="Times New Roman" w:cs="Times New Roman"/>
        </w:rPr>
        <w:t>ohľadávka  voči Alžírsku v konvertibilnej  mene vykazuje celkové z</w:t>
      </w:r>
      <w:r>
        <w:rPr>
          <w:rFonts w:ascii="Times New Roman" w:hAnsi="Times New Roman" w:cs="Times New Roman"/>
        </w:rPr>
        <w:t>výš</w:t>
      </w:r>
      <w:r w:rsidRPr="00185333">
        <w:rPr>
          <w:rFonts w:ascii="Times New Roman" w:hAnsi="Times New Roman" w:cs="Times New Roman"/>
        </w:rPr>
        <w:t>enie o</w:t>
      </w:r>
      <w:r>
        <w:rPr>
          <w:rFonts w:ascii="Times New Roman" w:hAnsi="Times New Roman" w:cs="Times New Roman"/>
        </w:rPr>
        <w:t> 25,0 mil. Sk, na čom sa podieľa  jej zlúčenie s pohľadávkou Alžír - Lentimex.</w:t>
      </w:r>
    </w:p>
    <w:p w:rsidR="00B534F8" w:rsidP="0048644A">
      <w:pPr>
        <w:spacing w:before="120" w:line="360" w:lineRule="auto"/>
        <w:ind w:firstLine="720"/>
        <w:jc w:val="both"/>
        <w:rPr>
          <w:rFonts w:ascii="Times New Roman" w:hAnsi="Times New Roman" w:cs="Times New Roman"/>
        </w:rPr>
      </w:pPr>
      <w:r>
        <w:rPr>
          <w:rFonts w:ascii="Times New Roman" w:hAnsi="Times New Roman" w:cs="Times New Roman"/>
        </w:rPr>
        <w:t>Prehľad o zmenách zahraničných pohľadávok prevzatých od ČSOB, a.s. v roku 2006 z hľadiska vplyvu splátok istín, odpustených pohľadávok, predpisov nových úrokov, kurzových rozdielov a ostatných zmien poskytujú nasledovné údaje (v mil. Sk):</w:t>
      </w:r>
    </w:p>
    <w:tbl>
      <w:tblPr>
        <w:tblW w:w="9015" w:type="dxa"/>
        <w:tblInd w:w="55"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CellMar>
          <w:left w:w="70" w:type="dxa"/>
          <w:right w:w="70" w:type="dxa"/>
        </w:tblCellMar>
      </w:tblPr>
      <w:tblGrid>
        <w:gridCol w:w="1635"/>
        <w:gridCol w:w="1141"/>
        <w:gridCol w:w="852"/>
        <w:gridCol w:w="1074"/>
        <w:gridCol w:w="893"/>
        <w:gridCol w:w="1260"/>
        <w:gridCol w:w="1080"/>
        <w:gridCol w:w="1080"/>
      </w:tblGrid>
      <w:tr>
        <w:tblPrEx>
          <w:tblW w:w="9015" w:type="dxa"/>
          <w:tblInd w:w="55"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CellMar>
            <w:left w:w="70" w:type="dxa"/>
            <w:right w:w="70" w:type="dxa"/>
          </w:tblCellMar>
        </w:tblPrEx>
        <w:trPr>
          <w:trHeight w:val="545"/>
        </w:trPr>
        <w:tc>
          <w:tcPr>
            <w:tcW w:w="1635" w:type="dxa"/>
            <w:tcBorders>
              <w:top w:val="single" w:sz="8" w:space="0" w:color="auto"/>
              <w:left w:val="single" w:sz="8" w:space="0" w:color="auto"/>
              <w:bottom w:val="single" w:sz="4" w:space="0" w:color="auto"/>
              <w:right w:val="single" w:sz="4" w:space="0" w:color="auto"/>
              <w:tl2br w:val="nil"/>
              <w:tr2bl w:val="nil"/>
            </w:tcBorders>
            <w:noWrap/>
            <w:textDirection w:val="lrTb"/>
            <w:vAlign w:val="center"/>
          </w:tcPr>
          <w:p w:rsidR="005E13AA" w:rsidRPr="005E13AA" w:rsidP="005E13AA">
            <w:pPr>
              <w:jc w:val="center"/>
              <w:rPr>
                <w:rFonts w:ascii="Times New Roman" w:hAnsi="Times New Roman" w:cs="Times New Roman"/>
                <w:b/>
                <w:bCs/>
                <w:sz w:val="20"/>
                <w:szCs w:val="20"/>
              </w:rPr>
            </w:pPr>
            <w:r w:rsidRPr="005E13AA">
              <w:rPr>
                <w:rFonts w:ascii="Times New Roman" w:hAnsi="Times New Roman" w:cs="Times New Roman"/>
                <w:b/>
                <w:bCs/>
                <w:sz w:val="20"/>
                <w:szCs w:val="20"/>
              </w:rPr>
              <w:t>Krajina</w:t>
            </w:r>
          </w:p>
          <w:p w:rsidR="005E13AA" w:rsidRPr="005E13AA" w:rsidP="005E13AA">
            <w:pPr>
              <w:jc w:val="center"/>
              <w:rPr>
                <w:rFonts w:ascii="Times New Roman" w:hAnsi="Times New Roman" w:cs="Times New Roman"/>
                <w:b/>
                <w:bCs/>
                <w:sz w:val="20"/>
                <w:szCs w:val="20"/>
              </w:rPr>
            </w:pPr>
            <w:r w:rsidRPr="005E13AA">
              <w:rPr>
                <w:rFonts w:ascii="Times New Roman" w:hAnsi="Times New Roman" w:cs="Times New Roman"/>
                <w:b/>
                <w:bCs/>
                <w:sz w:val="20"/>
                <w:szCs w:val="20"/>
              </w:rPr>
              <w:t>dlžníka</w:t>
            </w:r>
          </w:p>
        </w:tc>
        <w:tc>
          <w:tcPr>
            <w:tcW w:w="1141" w:type="dxa"/>
            <w:tcBorders>
              <w:top w:val="single" w:sz="8" w:space="0" w:color="auto"/>
              <w:left w:val="single" w:sz="4" w:space="0" w:color="auto"/>
              <w:bottom w:val="single" w:sz="4" w:space="0" w:color="auto"/>
              <w:right w:val="single" w:sz="4" w:space="0" w:color="auto"/>
              <w:tl2br w:val="nil"/>
              <w:tr2bl w:val="nil"/>
            </w:tcBorders>
            <w:noWrap/>
            <w:textDirection w:val="lrTb"/>
            <w:vAlign w:val="center"/>
          </w:tcPr>
          <w:p w:rsidR="005E13AA" w:rsidRPr="005E13AA" w:rsidP="005E13AA">
            <w:pPr>
              <w:jc w:val="center"/>
              <w:rPr>
                <w:rFonts w:ascii="Times New Roman" w:hAnsi="Times New Roman" w:cs="Times New Roman"/>
                <w:b/>
                <w:bCs/>
                <w:sz w:val="20"/>
                <w:szCs w:val="20"/>
              </w:rPr>
            </w:pPr>
            <w:r w:rsidRPr="005E13AA">
              <w:rPr>
                <w:rFonts w:ascii="Times New Roman" w:hAnsi="Times New Roman" w:cs="Times New Roman"/>
                <w:b/>
                <w:bCs/>
                <w:sz w:val="20"/>
                <w:szCs w:val="20"/>
              </w:rPr>
              <w:t>Stav k</w:t>
            </w:r>
          </w:p>
          <w:p w:rsidR="005E13AA" w:rsidRPr="005E13AA" w:rsidP="005E13AA">
            <w:pPr>
              <w:jc w:val="center"/>
              <w:rPr>
                <w:rFonts w:ascii="Times New Roman" w:hAnsi="Times New Roman" w:cs="Times New Roman"/>
                <w:b/>
                <w:bCs/>
                <w:sz w:val="20"/>
                <w:szCs w:val="20"/>
              </w:rPr>
            </w:pPr>
            <w:r w:rsidRPr="005E13AA">
              <w:rPr>
                <w:rFonts w:ascii="Times New Roman" w:hAnsi="Times New Roman" w:cs="Times New Roman"/>
                <w:b/>
                <w:bCs/>
                <w:sz w:val="20"/>
                <w:szCs w:val="20"/>
              </w:rPr>
              <w:t>31.12.2005</w:t>
            </w:r>
          </w:p>
        </w:tc>
        <w:tc>
          <w:tcPr>
            <w:tcW w:w="852" w:type="dxa"/>
            <w:tcBorders>
              <w:top w:val="single" w:sz="8" w:space="0" w:color="auto"/>
              <w:left w:val="single" w:sz="4" w:space="0" w:color="auto"/>
              <w:bottom w:val="single" w:sz="4" w:space="0" w:color="auto"/>
              <w:right w:val="single" w:sz="4" w:space="0" w:color="auto"/>
              <w:tl2br w:val="nil"/>
              <w:tr2bl w:val="nil"/>
            </w:tcBorders>
            <w:noWrap/>
            <w:textDirection w:val="lrTb"/>
            <w:vAlign w:val="center"/>
          </w:tcPr>
          <w:p w:rsidR="005E13AA" w:rsidRPr="005E13AA" w:rsidP="005E13AA">
            <w:pPr>
              <w:jc w:val="center"/>
              <w:rPr>
                <w:rFonts w:ascii="Times New Roman" w:hAnsi="Times New Roman" w:cs="Times New Roman"/>
                <w:b/>
                <w:bCs/>
                <w:sz w:val="20"/>
                <w:szCs w:val="20"/>
              </w:rPr>
            </w:pPr>
            <w:r w:rsidRPr="005E13AA">
              <w:rPr>
                <w:rFonts w:ascii="Times New Roman" w:hAnsi="Times New Roman" w:cs="Times New Roman"/>
                <w:b/>
                <w:bCs/>
                <w:sz w:val="20"/>
                <w:szCs w:val="20"/>
              </w:rPr>
              <w:t>Splátky</w:t>
            </w:r>
          </w:p>
          <w:p w:rsidR="005E13AA" w:rsidRPr="005E13AA" w:rsidP="005E13AA">
            <w:pPr>
              <w:jc w:val="center"/>
              <w:rPr>
                <w:rFonts w:ascii="Times New Roman" w:hAnsi="Times New Roman" w:cs="Times New Roman"/>
                <w:b/>
                <w:bCs/>
                <w:sz w:val="20"/>
                <w:szCs w:val="20"/>
              </w:rPr>
            </w:pPr>
            <w:r w:rsidRPr="005E13AA">
              <w:rPr>
                <w:rFonts w:ascii="Times New Roman" w:hAnsi="Times New Roman" w:cs="Times New Roman"/>
                <w:b/>
                <w:bCs/>
                <w:sz w:val="20"/>
                <w:szCs w:val="20"/>
              </w:rPr>
              <w:t>istín</w:t>
            </w:r>
          </w:p>
        </w:tc>
        <w:tc>
          <w:tcPr>
            <w:tcW w:w="1074" w:type="dxa"/>
            <w:tcBorders>
              <w:top w:val="single" w:sz="8" w:space="0" w:color="auto"/>
              <w:left w:val="single" w:sz="4" w:space="0" w:color="auto"/>
              <w:bottom w:val="single" w:sz="4" w:space="0" w:color="auto"/>
              <w:right w:val="single" w:sz="4" w:space="0" w:color="auto"/>
              <w:tl2br w:val="nil"/>
              <w:tr2bl w:val="nil"/>
            </w:tcBorders>
            <w:noWrap/>
            <w:textDirection w:val="lrTb"/>
            <w:vAlign w:val="center"/>
          </w:tcPr>
          <w:p w:rsidR="005E13AA" w:rsidRPr="005E13AA" w:rsidP="005E13AA">
            <w:pPr>
              <w:jc w:val="center"/>
              <w:rPr>
                <w:rFonts w:ascii="Times New Roman" w:hAnsi="Times New Roman" w:cs="Times New Roman"/>
                <w:b/>
                <w:bCs/>
                <w:sz w:val="20"/>
                <w:szCs w:val="20"/>
              </w:rPr>
            </w:pPr>
            <w:r w:rsidRPr="005E13AA">
              <w:rPr>
                <w:rFonts w:ascii="Times New Roman" w:hAnsi="Times New Roman" w:cs="Times New Roman"/>
                <w:b/>
                <w:bCs/>
                <w:sz w:val="20"/>
                <w:szCs w:val="20"/>
              </w:rPr>
              <w:t>Odpustená</w:t>
            </w:r>
          </w:p>
          <w:p w:rsidR="005E13AA" w:rsidRPr="005E13AA" w:rsidP="005E13AA">
            <w:pPr>
              <w:jc w:val="center"/>
              <w:rPr>
                <w:rFonts w:ascii="Times New Roman" w:hAnsi="Times New Roman" w:cs="Times New Roman"/>
                <w:b/>
                <w:bCs/>
                <w:sz w:val="20"/>
                <w:szCs w:val="20"/>
              </w:rPr>
            </w:pPr>
            <w:r w:rsidRPr="005E13AA">
              <w:rPr>
                <w:rFonts w:ascii="Times New Roman" w:hAnsi="Times New Roman" w:cs="Times New Roman"/>
                <w:b/>
                <w:bCs/>
                <w:sz w:val="20"/>
                <w:szCs w:val="20"/>
              </w:rPr>
              <w:t>čiastka</w:t>
            </w:r>
          </w:p>
        </w:tc>
        <w:tc>
          <w:tcPr>
            <w:tcW w:w="893" w:type="dxa"/>
            <w:tcBorders>
              <w:top w:val="single" w:sz="8" w:space="0" w:color="auto"/>
              <w:left w:val="single" w:sz="4" w:space="0" w:color="auto"/>
              <w:bottom w:val="single" w:sz="4" w:space="0" w:color="auto"/>
              <w:right w:val="single" w:sz="4" w:space="0" w:color="auto"/>
              <w:tl2br w:val="nil"/>
              <w:tr2bl w:val="nil"/>
            </w:tcBorders>
            <w:noWrap/>
            <w:textDirection w:val="lrTb"/>
            <w:vAlign w:val="center"/>
          </w:tcPr>
          <w:p w:rsidR="005E13AA" w:rsidRPr="005E13AA" w:rsidP="005E13AA">
            <w:pPr>
              <w:jc w:val="center"/>
              <w:rPr>
                <w:rFonts w:ascii="Times New Roman" w:hAnsi="Times New Roman" w:cs="Times New Roman"/>
                <w:b/>
                <w:bCs/>
                <w:sz w:val="20"/>
                <w:szCs w:val="20"/>
              </w:rPr>
            </w:pPr>
            <w:r w:rsidRPr="005E13AA">
              <w:rPr>
                <w:rFonts w:ascii="Times New Roman" w:hAnsi="Times New Roman" w:cs="Times New Roman"/>
                <w:b/>
                <w:bCs/>
                <w:sz w:val="20"/>
                <w:szCs w:val="20"/>
              </w:rPr>
              <w:t xml:space="preserve">Úroky </w:t>
            </w:r>
          </w:p>
          <w:p w:rsidR="005E13AA" w:rsidRPr="005E13AA" w:rsidP="005E13AA">
            <w:pPr>
              <w:jc w:val="center"/>
              <w:rPr>
                <w:rFonts w:ascii="Times New Roman" w:hAnsi="Times New Roman" w:cs="Times New Roman"/>
                <w:b/>
                <w:bCs/>
                <w:sz w:val="20"/>
                <w:szCs w:val="20"/>
              </w:rPr>
            </w:pPr>
            <w:r w:rsidRPr="005E13AA">
              <w:rPr>
                <w:rFonts w:ascii="Times New Roman" w:hAnsi="Times New Roman" w:cs="Times New Roman"/>
                <w:b/>
                <w:bCs/>
                <w:sz w:val="20"/>
                <w:szCs w:val="20"/>
              </w:rPr>
              <w:t>predpis</w:t>
            </w:r>
          </w:p>
        </w:tc>
        <w:tc>
          <w:tcPr>
            <w:tcW w:w="1260" w:type="dxa"/>
            <w:tcBorders>
              <w:top w:val="single" w:sz="8" w:space="0" w:color="auto"/>
              <w:left w:val="single" w:sz="4" w:space="0" w:color="auto"/>
              <w:bottom w:val="single" w:sz="4" w:space="0" w:color="auto"/>
              <w:right w:val="single" w:sz="4" w:space="0" w:color="auto"/>
              <w:tl2br w:val="nil"/>
              <w:tr2bl w:val="nil"/>
            </w:tcBorders>
            <w:noWrap/>
            <w:textDirection w:val="lrTb"/>
            <w:vAlign w:val="center"/>
          </w:tcPr>
          <w:p w:rsidR="005E13AA" w:rsidRPr="005E13AA" w:rsidP="005E13AA">
            <w:pPr>
              <w:jc w:val="center"/>
              <w:rPr>
                <w:rFonts w:ascii="Times New Roman" w:hAnsi="Times New Roman" w:cs="Times New Roman"/>
                <w:b/>
                <w:bCs/>
                <w:sz w:val="20"/>
                <w:szCs w:val="20"/>
              </w:rPr>
            </w:pPr>
            <w:r w:rsidRPr="005E13AA">
              <w:rPr>
                <w:rFonts w:ascii="Times New Roman" w:hAnsi="Times New Roman" w:cs="Times New Roman"/>
                <w:b/>
                <w:bCs/>
                <w:sz w:val="20"/>
                <w:szCs w:val="20"/>
              </w:rPr>
              <w:t>Kurzové rozdiely a ostatné zmeny</w:t>
            </w:r>
          </w:p>
        </w:tc>
        <w:tc>
          <w:tcPr>
            <w:tcW w:w="1080" w:type="dxa"/>
            <w:tcBorders>
              <w:top w:val="single" w:sz="8" w:space="0" w:color="auto"/>
              <w:left w:val="single" w:sz="4" w:space="0" w:color="auto"/>
              <w:bottom w:val="single" w:sz="4" w:space="0" w:color="auto"/>
              <w:right w:val="single" w:sz="4" w:space="0" w:color="auto"/>
              <w:tl2br w:val="nil"/>
              <w:tr2bl w:val="nil"/>
            </w:tcBorders>
            <w:noWrap/>
            <w:textDirection w:val="lrTb"/>
            <w:vAlign w:val="center"/>
          </w:tcPr>
          <w:p w:rsidR="005E13AA" w:rsidRPr="005E13AA" w:rsidP="005E13AA">
            <w:pPr>
              <w:jc w:val="center"/>
              <w:rPr>
                <w:rFonts w:ascii="Times New Roman" w:hAnsi="Times New Roman" w:cs="Times New Roman"/>
                <w:b/>
                <w:bCs/>
                <w:sz w:val="20"/>
                <w:szCs w:val="20"/>
              </w:rPr>
            </w:pPr>
            <w:r w:rsidRPr="005E13AA">
              <w:rPr>
                <w:rFonts w:ascii="Times New Roman" w:hAnsi="Times New Roman" w:cs="Times New Roman"/>
                <w:b/>
                <w:bCs/>
                <w:sz w:val="20"/>
                <w:szCs w:val="20"/>
              </w:rPr>
              <w:t>Stav k</w:t>
            </w:r>
          </w:p>
          <w:p w:rsidR="005E13AA" w:rsidRPr="005E13AA" w:rsidP="005E13AA">
            <w:pPr>
              <w:jc w:val="center"/>
              <w:rPr>
                <w:rFonts w:ascii="Times New Roman" w:hAnsi="Times New Roman" w:cs="Times New Roman"/>
                <w:b/>
                <w:bCs/>
                <w:sz w:val="20"/>
                <w:szCs w:val="20"/>
              </w:rPr>
            </w:pPr>
            <w:r w:rsidRPr="005E13AA">
              <w:rPr>
                <w:rFonts w:ascii="Times New Roman" w:hAnsi="Times New Roman" w:cs="Times New Roman"/>
                <w:b/>
                <w:bCs/>
                <w:sz w:val="20"/>
                <w:szCs w:val="20"/>
              </w:rPr>
              <w:t>31.12.2006</w:t>
            </w:r>
          </w:p>
        </w:tc>
        <w:tc>
          <w:tcPr>
            <w:tcW w:w="1080" w:type="dxa"/>
            <w:tcBorders>
              <w:top w:val="single" w:sz="8" w:space="0" w:color="auto"/>
              <w:left w:val="single" w:sz="4" w:space="0" w:color="auto"/>
              <w:bottom w:val="single" w:sz="4" w:space="0" w:color="auto"/>
              <w:right w:val="single" w:sz="8" w:space="0" w:color="auto"/>
              <w:tl2br w:val="nil"/>
              <w:tr2bl w:val="nil"/>
            </w:tcBorders>
            <w:noWrap/>
            <w:textDirection w:val="lrTb"/>
            <w:vAlign w:val="center"/>
          </w:tcPr>
          <w:p w:rsidR="005E13AA" w:rsidRPr="005E13AA" w:rsidP="005E13AA">
            <w:pPr>
              <w:jc w:val="center"/>
              <w:rPr>
                <w:rFonts w:ascii="Times New Roman" w:hAnsi="Times New Roman" w:cs="Times New Roman"/>
                <w:b/>
                <w:bCs/>
                <w:sz w:val="20"/>
                <w:szCs w:val="20"/>
              </w:rPr>
            </w:pPr>
            <w:r w:rsidRPr="005E13AA">
              <w:rPr>
                <w:rFonts w:ascii="Times New Roman" w:hAnsi="Times New Roman" w:cs="Times New Roman"/>
                <w:b/>
                <w:bCs/>
                <w:sz w:val="20"/>
                <w:szCs w:val="20"/>
              </w:rPr>
              <w:t>Zmena</w:t>
            </w:r>
          </w:p>
          <w:p w:rsidR="005E13AA" w:rsidRPr="005E13AA" w:rsidP="005E13AA">
            <w:pPr>
              <w:jc w:val="center"/>
              <w:rPr>
                <w:rFonts w:ascii="Times New Roman" w:hAnsi="Times New Roman" w:cs="Times New Roman"/>
                <w:b/>
                <w:bCs/>
                <w:sz w:val="20"/>
                <w:szCs w:val="20"/>
              </w:rPr>
            </w:pPr>
            <w:r w:rsidRPr="005E13AA">
              <w:rPr>
                <w:rFonts w:ascii="Times New Roman" w:hAnsi="Times New Roman" w:cs="Times New Roman"/>
                <w:b/>
                <w:bCs/>
                <w:sz w:val="20"/>
                <w:szCs w:val="20"/>
              </w:rPr>
              <w:t>v r. 2006</w:t>
            </w:r>
          </w:p>
        </w:tc>
      </w:tr>
      <w:tr>
        <w:tblPrEx>
          <w:tblW w:w="9015" w:type="dxa"/>
          <w:tblInd w:w="55" w:type="dxa"/>
          <w:tblCellMar>
            <w:left w:w="70" w:type="dxa"/>
            <w:right w:w="70" w:type="dxa"/>
          </w:tblCellMar>
        </w:tblPrEx>
        <w:trPr>
          <w:trHeight w:val="270"/>
        </w:trPr>
        <w:tc>
          <w:tcPr>
            <w:tcW w:w="163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Čína</w:t>
            </w:r>
          </w:p>
        </w:tc>
        <w:tc>
          <w:tcPr>
            <w:tcW w:w="1141"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278,7</w:t>
            </w:r>
          </w:p>
        </w:tc>
        <w:tc>
          <w:tcPr>
            <w:tcW w:w="852"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07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893"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-31,4</w:t>
            </w:r>
          </w:p>
        </w:tc>
        <w:tc>
          <w:tcPr>
            <w:tcW w:w="10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247,3</w:t>
            </w:r>
          </w:p>
        </w:tc>
        <w:tc>
          <w:tcPr>
            <w:tcW w:w="1080"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-31,4</w:t>
            </w:r>
          </w:p>
        </w:tc>
      </w:tr>
      <w:tr>
        <w:tblPrEx>
          <w:tblW w:w="9015" w:type="dxa"/>
          <w:tblInd w:w="55" w:type="dxa"/>
          <w:tblCellMar>
            <w:left w:w="70" w:type="dxa"/>
            <w:right w:w="70" w:type="dxa"/>
          </w:tblCellMar>
        </w:tblPrEx>
        <w:trPr>
          <w:trHeight w:val="270"/>
        </w:trPr>
        <w:tc>
          <w:tcPr>
            <w:tcW w:w="163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Juhoslávia</w:t>
            </w:r>
          </w:p>
        </w:tc>
        <w:tc>
          <w:tcPr>
            <w:tcW w:w="1141"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2 071,4</w:t>
            </w:r>
          </w:p>
        </w:tc>
        <w:tc>
          <w:tcPr>
            <w:tcW w:w="852"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07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893"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93,6</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-369,7</w:t>
            </w:r>
          </w:p>
        </w:tc>
        <w:tc>
          <w:tcPr>
            <w:tcW w:w="10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1 795,3</w:t>
            </w:r>
          </w:p>
        </w:tc>
        <w:tc>
          <w:tcPr>
            <w:tcW w:w="1080"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-276,1</w:t>
            </w:r>
          </w:p>
        </w:tc>
      </w:tr>
      <w:tr>
        <w:tblPrEx>
          <w:tblW w:w="9015" w:type="dxa"/>
          <w:tblInd w:w="55" w:type="dxa"/>
          <w:tblCellMar>
            <w:left w:w="70" w:type="dxa"/>
            <w:right w:w="70" w:type="dxa"/>
          </w:tblCellMar>
        </w:tblPrEx>
        <w:trPr>
          <w:trHeight w:val="270"/>
        </w:trPr>
        <w:tc>
          <w:tcPr>
            <w:tcW w:w="163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Kórea</w:t>
            </w:r>
          </w:p>
        </w:tc>
        <w:tc>
          <w:tcPr>
            <w:tcW w:w="1141"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22,0</w:t>
            </w:r>
          </w:p>
        </w:tc>
        <w:tc>
          <w:tcPr>
            <w:tcW w:w="852"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07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893"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-3,9</w:t>
            </w:r>
          </w:p>
        </w:tc>
        <w:tc>
          <w:tcPr>
            <w:tcW w:w="10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18,1</w:t>
            </w:r>
          </w:p>
        </w:tc>
        <w:tc>
          <w:tcPr>
            <w:tcW w:w="1080"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-3,9</w:t>
            </w:r>
          </w:p>
        </w:tc>
      </w:tr>
      <w:tr>
        <w:tblPrEx>
          <w:tblW w:w="9015" w:type="dxa"/>
          <w:tblInd w:w="55" w:type="dxa"/>
          <w:tblCellMar>
            <w:left w:w="70" w:type="dxa"/>
            <w:right w:w="70" w:type="dxa"/>
          </w:tblCellMar>
        </w:tblPrEx>
        <w:trPr>
          <w:trHeight w:val="270"/>
        </w:trPr>
        <w:tc>
          <w:tcPr>
            <w:tcW w:w="163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Ruská federácia</w:t>
            </w:r>
          </w:p>
        </w:tc>
        <w:tc>
          <w:tcPr>
            <w:tcW w:w="1141"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1,2</w:t>
            </w:r>
          </w:p>
        </w:tc>
        <w:tc>
          <w:tcPr>
            <w:tcW w:w="852"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07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893"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1,2</w:t>
            </w:r>
          </w:p>
        </w:tc>
        <w:tc>
          <w:tcPr>
            <w:tcW w:w="1080"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r>
      <w:tr>
        <w:tblPrEx>
          <w:tblW w:w="9015" w:type="dxa"/>
          <w:tblInd w:w="55" w:type="dxa"/>
          <w:tblCellMar>
            <w:left w:w="70" w:type="dxa"/>
            <w:right w:w="70" w:type="dxa"/>
          </w:tblCellMar>
        </w:tblPrEx>
        <w:trPr>
          <w:trHeight w:val="270"/>
        </w:trPr>
        <w:tc>
          <w:tcPr>
            <w:tcW w:w="163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Slovinsko</w:t>
            </w:r>
          </w:p>
        </w:tc>
        <w:tc>
          <w:tcPr>
            <w:tcW w:w="1141"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3,6</w:t>
            </w:r>
          </w:p>
        </w:tc>
        <w:tc>
          <w:tcPr>
            <w:tcW w:w="852"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07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893"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-0,7</w:t>
            </w:r>
          </w:p>
        </w:tc>
        <w:tc>
          <w:tcPr>
            <w:tcW w:w="10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2,9</w:t>
            </w:r>
          </w:p>
        </w:tc>
        <w:tc>
          <w:tcPr>
            <w:tcW w:w="1080"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-0,7</w:t>
            </w:r>
          </w:p>
        </w:tc>
      </w:tr>
      <w:tr>
        <w:tblPrEx>
          <w:tblW w:w="9015" w:type="dxa"/>
          <w:tblInd w:w="55" w:type="dxa"/>
          <w:tblCellMar>
            <w:left w:w="70" w:type="dxa"/>
            <w:right w:w="70" w:type="dxa"/>
          </w:tblCellMar>
        </w:tblPrEx>
        <w:trPr>
          <w:trHeight w:val="270"/>
        </w:trPr>
        <w:tc>
          <w:tcPr>
            <w:tcW w:w="163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India  *</w:t>
            </w:r>
          </w:p>
        </w:tc>
        <w:tc>
          <w:tcPr>
            <w:tcW w:w="1141"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852"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-18,8</w:t>
            </w:r>
          </w:p>
        </w:tc>
        <w:tc>
          <w:tcPr>
            <w:tcW w:w="107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893"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191,6</w:t>
            </w:r>
          </w:p>
        </w:tc>
        <w:tc>
          <w:tcPr>
            <w:tcW w:w="10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172,8</w:t>
            </w:r>
          </w:p>
        </w:tc>
        <w:tc>
          <w:tcPr>
            <w:tcW w:w="1080"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172,8</w:t>
            </w:r>
          </w:p>
        </w:tc>
      </w:tr>
      <w:tr>
        <w:tblPrEx>
          <w:tblW w:w="9015" w:type="dxa"/>
          <w:tblInd w:w="55" w:type="dxa"/>
          <w:tblCellMar>
            <w:left w:w="70" w:type="dxa"/>
            <w:right w:w="70" w:type="dxa"/>
          </w:tblCellMar>
        </w:tblPrEx>
        <w:trPr>
          <w:trHeight w:val="270"/>
        </w:trPr>
        <w:tc>
          <w:tcPr>
            <w:tcW w:w="163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Albánsko</w:t>
            </w:r>
          </w:p>
        </w:tc>
        <w:tc>
          <w:tcPr>
            <w:tcW w:w="1141"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145,5</w:t>
            </w:r>
          </w:p>
        </w:tc>
        <w:tc>
          <w:tcPr>
            <w:tcW w:w="852"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-14,4</w:t>
            </w:r>
          </w:p>
        </w:tc>
        <w:tc>
          <w:tcPr>
            <w:tcW w:w="107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893"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-24,8</w:t>
            </w:r>
          </w:p>
        </w:tc>
        <w:tc>
          <w:tcPr>
            <w:tcW w:w="10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106,3</w:t>
            </w:r>
          </w:p>
        </w:tc>
        <w:tc>
          <w:tcPr>
            <w:tcW w:w="1080"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-39,2</w:t>
            </w:r>
          </w:p>
        </w:tc>
      </w:tr>
      <w:tr>
        <w:tblPrEx>
          <w:tblW w:w="9015" w:type="dxa"/>
          <w:tblInd w:w="55" w:type="dxa"/>
          <w:tblCellMar>
            <w:left w:w="70" w:type="dxa"/>
            <w:right w:w="70" w:type="dxa"/>
          </w:tblCellMar>
        </w:tblPrEx>
        <w:trPr>
          <w:trHeight w:val="270"/>
        </w:trPr>
        <w:tc>
          <w:tcPr>
            <w:tcW w:w="163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Alžírsko</w:t>
            </w:r>
          </w:p>
        </w:tc>
        <w:tc>
          <w:tcPr>
            <w:tcW w:w="1141"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8,0</w:t>
            </w:r>
          </w:p>
        </w:tc>
        <w:tc>
          <w:tcPr>
            <w:tcW w:w="852"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07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893"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25,0</w:t>
            </w:r>
          </w:p>
        </w:tc>
        <w:tc>
          <w:tcPr>
            <w:tcW w:w="10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33,0</w:t>
            </w:r>
          </w:p>
        </w:tc>
        <w:tc>
          <w:tcPr>
            <w:tcW w:w="1080"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25,0</w:t>
            </w:r>
          </w:p>
        </w:tc>
      </w:tr>
      <w:tr>
        <w:tblPrEx>
          <w:tblW w:w="9015" w:type="dxa"/>
          <w:tblInd w:w="55" w:type="dxa"/>
          <w:tblCellMar>
            <w:left w:w="70" w:type="dxa"/>
            <w:right w:w="70" w:type="dxa"/>
          </w:tblCellMar>
        </w:tblPrEx>
        <w:trPr>
          <w:trHeight w:val="270"/>
        </w:trPr>
        <w:tc>
          <w:tcPr>
            <w:tcW w:w="163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Kórea</w:t>
            </w:r>
          </w:p>
        </w:tc>
        <w:tc>
          <w:tcPr>
            <w:tcW w:w="1141"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38,2</w:t>
            </w:r>
          </w:p>
        </w:tc>
        <w:tc>
          <w:tcPr>
            <w:tcW w:w="852"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07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893"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-6,8</w:t>
            </w:r>
          </w:p>
        </w:tc>
        <w:tc>
          <w:tcPr>
            <w:tcW w:w="10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31,4</w:t>
            </w:r>
          </w:p>
        </w:tc>
        <w:tc>
          <w:tcPr>
            <w:tcW w:w="1080"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-6,8</w:t>
            </w:r>
          </w:p>
        </w:tc>
      </w:tr>
      <w:tr>
        <w:tblPrEx>
          <w:tblW w:w="9015" w:type="dxa"/>
          <w:tblInd w:w="55" w:type="dxa"/>
          <w:tblCellMar>
            <w:left w:w="70" w:type="dxa"/>
            <w:right w:w="70" w:type="dxa"/>
          </w:tblCellMar>
        </w:tblPrEx>
        <w:trPr>
          <w:trHeight w:val="270"/>
        </w:trPr>
        <w:tc>
          <w:tcPr>
            <w:tcW w:w="163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Kuba</w:t>
            </w:r>
          </w:p>
        </w:tc>
        <w:tc>
          <w:tcPr>
            <w:tcW w:w="1141"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553,0</w:t>
            </w:r>
          </w:p>
        </w:tc>
        <w:tc>
          <w:tcPr>
            <w:tcW w:w="852"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07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893"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553,0</w:t>
            </w:r>
          </w:p>
        </w:tc>
        <w:tc>
          <w:tcPr>
            <w:tcW w:w="1080"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r>
      <w:tr>
        <w:tblPrEx>
          <w:tblW w:w="9015" w:type="dxa"/>
          <w:tblInd w:w="55" w:type="dxa"/>
          <w:tblCellMar>
            <w:left w:w="70" w:type="dxa"/>
            <w:right w:w="70" w:type="dxa"/>
          </w:tblCellMar>
        </w:tblPrEx>
        <w:trPr>
          <w:trHeight w:val="270"/>
        </w:trPr>
        <w:tc>
          <w:tcPr>
            <w:tcW w:w="163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Bielorusko</w:t>
            </w:r>
          </w:p>
        </w:tc>
        <w:tc>
          <w:tcPr>
            <w:tcW w:w="1141"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28,6</w:t>
            </w:r>
          </w:p>
        </w:tc>
        <w:tc>
          <w:tcPr>
            <w:tcW w:w="852"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07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893"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-28,6</w:t>
            </w:r>
          </w:p>
        </w:tc>
        <w:tc>
          <w:tcPr>
            <w:tcW w:w="10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080"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-28,6</w:t>
            </w:r>
          </w:p>
        </w:tc>
      </w:tr>
      <w:tr>
        <w:tblPrEx>
          <w:tblW w:w="9015" w:type="dxa"/>
          <w:tblInd w:w="55" w:type="dxa"/>
          <w:tblCellMar>
            <w:left w:w="70" w:type="dxa"/>
            <w:right w:w="70" w:type="dxa"/>
          </w:tblCellMar>
        </w:tblPrEx>
        <w:trPr>
          <w:trHeight w:val="270"/>
        </w:trPr>
        <w:tc>
          <w:tcPr>
            <w:tcW w:w="163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Kuba ( DEM)</w:t>
            </w:r>
          </w:p>
        </w:tc>
        <w:tc>
          <w:tcPr>
            <w:tcW w:w="1141"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425,3</w:t>
            </w:r>
          </w:p>
        </w:tc>
        <w:tc>
          <w:tcPr>
            <w:tcW w:w="852"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107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w:t>
            </w:r>
          </w:p>
        </w:tc>
        <w:tc>
          <w:tcPr>
            <w:tcW w:w="893"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13,2</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-37,6</w:t>
            </w:r>
          </w:p>
        </w:tc>
        <w:tc>
          <w:tcPr>
            <w:tcW w:w="108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400,9</w:t>
            </w:r>
          </w:p>
        </w:tc>
        <w:tc>
          <w:tcPr>
            <w:tcW w:w="1080"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-24,4</w:t>
            </w:r>
          </w:p>
        </w:tc>
      </w:tr>
      <w:tr>
        <w:tblPrEx>
          <w:tblW w:w="9015" w:type="dxa"/>
          <w:tblInd w:w="55" w:type="dxa"/>
          <w:tblCellMar>
            <w:left w:w="70" w:type="dxa"/>
            <w:right w:w="70" w:type="dxa"/>
          </w:tblCellMar>
        </w:tblPrEx>
        <w:trPr>
          <w:trHeight w:val="270"/>
        </w:trPr>
        <w:tc>
          <w:tcPr>
            <w:tcW w:w="1635" w:type="dxa"/>
            <w:tcBorders>
              <w:top w:val="single" w:sz="4" w:space="0" w:color="auto"/>
              <w:left w:val="single" w:sz="8" w:space="0" w:color="auto"/>
              <w:bottom w:val="double" w:sz="6" w:space="0" w:color="auto"/>
              <w:right w:val="single" w:sz="4" w:space="0" w:color="auto"/>
              <w:tl2br w:val="nil"/>
              <w:tr2bl w:val="nil"/>
            </w:tcBorders>
            <w:noWrap/>
            <w:textDirection w:val="lrTb"/>
            <w:vAlign w:val="bottom"/>
          </w:tcPr>
          <w:p w:rsidR="00B534F8" w:rsidRPr="005E13AA" w:rsidP="00B534F8">
            <w:pPr>
              <w:rPr>
                <w:rFonts w:ascii="Times New Roman" w:hAnsi="Times New Roman" w:cs="Times New Roman"/>
                <w:b/>
                <w:bCs/>
                <w:sz w:val="20"/>
                <w:szCs w:val="20"/>
              </w:rPr>
            </w:pPr>
            <w:r w:rsidR="005E13AA">
              <w:rPr>
                <w:rFonts w:ascii="Times New Roman" w:hAnsi="Times New Roman" w:cs="Times New Roman"/>
                <w:b/>
                <w:bCs/>
                <w:sz w:val="20"/>
                <w:szCs w:val="20"/>
              </w:rPr>
              <w:t>SPOLU</w:t>
            </w:r>
          </w:p>
        </w:tc>
        <w:tc>
          <w:tcPr>
            <w:tcW w:w="1141"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b/>
                <w:bCs/>
                <w:sz w:val="20"/>
                <w:szCs w:val="20"/>
              </w:rPr>
            </w:pPr>
            <w:r w:rsidRPr="005E13AA">
              <w:rPr>
                <w:rFonts w:ascii="Times New Roman" w:hAnsi="Times New Roman" w:cs="Times New Roman"/>
                <w:b/>
                <w:bCs/>
                <w:sz w:val="20"/>
                <w:szCs w:val="20"/>
              </w:rPr>
              <w:t>3 575,5</w:t>
            </w:r>
          </w:p>
        </w:tc>
        <w:tc>
          <w:tcPr>
            <w:tcW w:w="852"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b/>
                <w:bCs/>
                <w:sz w:val="20"/>
                <w:szCs w:val="20"/>
              </w:rPr>
            </w:pPr>
            <w:r w:rsidRPr="005E13AA">
              <w:rPr>
                <w:rFonts w:ascii="Times New Roman" w:hAnsi="Times New Roman" w:cs="Times New Roman"/>
                <w:b/>
                <w:bCs/>
                <w:sz w:val="20"/>
                <w:szCs w:val="20"/>
              </w:rPr>
              <w:t>-33,2</w:t>
            </w:r>
          </w:p>
        </w:tc>
        <w:tc>
          <w:tcPr>
            <w:tcW w:w="1074"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b/>
                <w:bCs/>
                <w:sz w:val="20"/>
                <w:szCs w:val="20"/>
              </w:rPr>
            </w:pPr>
            <w:r w:rsidRPr="005E13AA">
              <w:rPr>
                <w:rFonts w:ascii="Times New Roman" w:hAnsi="Times New Roman" w:cs="Times New Roman"/>
                <w:b/>
                <w:bCs/>
                <w:sz w:val="20"/>
                <w:szCs w:val="20"/>
              </w:rPr>
              <w:t>0</w:t>
            </w:r>
          </w:p>
        </w:tc>
        <w:tc>
          <w:tcPr>
            <w:tcW w:w="893"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b/>
                <w:bCs/>
                <w:sz w:val="20"/>
                <w:szCs w:val="20"/>
              </w:rPr>
            </w:pPr>
            <w:r w:rsidRPr="005E13AA">
              <w:rPr>
                <w:rFonts w:ascii="Times New Roman" w:hAnsi="Times New Roman" w:cs="Times New Roman"/>
                <w:b/>
                <w:bCs/>
                <w:sz w:val="20"/>
                <w:szCs w:val="20"/>
              </w:rPr>
              <w:t>106,8</w:t>
            </w:r>
          </w:p>
        </w:tc>
        <w:tc>
          <w:tcPr>
            <w:tcW w:w="1260"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b/>
                <w:bCs/>
                <w:sz w:val="20"/>
                <w:szCs w:val="20"/>
              </w:rPr>
            </w:pPr>
            <w:r w:rsidRPr="005E13AA">
              <w:rPr>
                <w:rFonts w:ascii="Times New Roman" w:hAnsi="Times New Roman" w:cs="Times New Roman"/>
                <w:b/>
                <w:bCs/>
                <w:sz w:val="20"/>
                <w:szCs w:val="20"/>
              </w:rPr>
              <w:t>-286,9</w:t>
            </w:r>
          </w:p>
        </w:tc>
        <w:tc>
          <w:tcPr>
            <w:tcW w:w="1080"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B534F8" w:rsidRPr="005E13AA" w:rsidP="00B534F8">
            <w:pPr>
              <w:jc w:val="right"/>
              <w:rPr>
                <w:rFonts w:ascii="Times New Roman" w:hAnsi="Times New Roman" w:cs="Times New Roman"/>
                <w:b/>
                <w:bCs/>
                <w:sz w:val="20"/>
                <w:szCs w:val="20"/>
              </w:rPr>
            </w:pPr>
            <w:r w:rsidRPr="005E13AA">
              <w:rPr>
                <w:rFonts w:ascii="Times New Roman" w:hAnsi="Times New Roman" w:cs="Times New Roman"/>
                <w:b/>
                <w:bCs/>
                <w:sz w:val="20"/>
                <w:szCs w:val="20"/>
              </w:rPr>
              <w:t xml:space="preserve">3 362,2 </w:t>
            </w:r>
          </w:p>
        </w:tc>
        <w:tc>
          <w:tcPr>
            <w:tcW w:w="1080" w:type="dxa"/>
            <w:tcBorders>
              <w:top w:val="single" w:sz="4" w:space="0" w:color="auto"/>
              <w:left w:val="single" w:sz="4" w:space="0" w:color="auto"/>
              <w:bottom w:val="double" w:sz="6" w:space="0" w:color="auto"/>
              <w:right w:val="single" w:sz="8" w:space="0" w:color="auto"/>
              <w:tl2br w:val="nil"/>
              <w:tr2bl w:val="nil"/>
            </w:tcBorders>
            <w:noWrap/>
            <w:textDirection w:val="lrTb"/>
            <w:vAlign w:val="bottom"/>
          </w:tcPr>
          <w:p w:rsidR="00B534F8" w:rsidRPr="005E13AA" w:rsidP="00B534F8">
            <w:pPr>
              <w:jc w:val="right"/>
              <w:rPr>
                <w:rFonts w:ascii="Times New Roman" w:hAnsi="Times New Roman" w:cs="Times New Roman"/>
                <w:b/>
                <w:bCs/>
                <w:sz w:val="20"/>
                <w:szCs w:val="20"/>
              </w:rPr>
            </w:pPr>
            <w:r w:rsidRPr="005E13AA">
              <w:rPr>
                <w:rFonts w:ascii="Times New Roman" w:hAnsi="Times New Roman" w:cs="Times New Roman"/>
                <w:b/>
                <w:bCs/>
                <w:sz w:val="20"/>
                <w:szCs w:val="20"/>
              </w:rPr>
              <w:t>-213,3</w:t>
            </w:r>
          </w:p>
        </w:tc>
      </w:tr>
    </w:tbl>
    <w:p w:rsidR="00B534F8" w:rsidP="00B534F8">
      <w:pPr>
        <w:spacing w:before="120" w:line="360" w:lineRule="auto"/>
        <w:jc w:val="both"/>
        <w:rPr>
          <w:rFonts w:ascii="Times New Roman" w:hAnsi="Times New Roman" w:cs="Times New Roman"/>
          <w:sz w:val="20"/>
          <w:szCs w:val="20"/>
        </w:rPr>
      </w:pPr>
      <w:r>
        <w:rPr>
          <w:rFonts w:ascii="Times New Roman" w:hAnsi="Times New Roman" w:cs="Times New Roman"/>
          <w:sz w:val="20"/>
          <w:szCs w:val="20"/>
        </w:rPr>
        <w:t>*  Pohľadávka vznikla 24.4.2006 ako podiel SR na doplatku SDR</w:t>
      </w:r>
    </w:p>
    <w:p w:rsidR="00B534F8" w:rsidRPr="00185333" w:rsidP="00B534F8">
      <w:pPr>
        <w:spacing w:before="120" w:line="360" w:lineRule="auto"/>
        <w:jc w:val="both"/>
        <w:rPr>
          <w:rFonts w:ascii="Times New Roman" w:hAnsi="Times New Roman" w:cs="Times New Roman"/>
          <w:sz w:val="20"/>
          <w:szCs w:val="20"/>
        </w:rPr>
      </w:pPr>
      <w:r w:rsidR="005E13AA">
        <w:rPr>
          <w:rFonts w:ascii="Times New Roman" w:hAnsi="Times New Roman" w:cs="Times New Roman"/>
          <w:sz w:val="20"/>
          <w:szCs w:val="20"/>
        </w:rPr>
        <w:t xml:space="preserve"> </w:t>
      </w:r>
      <w:r>
        <w:rPr>
          <w:rFonts w:ascii="Times New Roman" w:hAnsi="Times New Roman" w:cs="Times New Roman"/>
          <w:sz w:val="20"/>
          <w:szCs w:val="20"/>
        </w:rPr>
        <w:t>Zdroj: Ministerstvo financií SR</w:t>
      </w:r>
    </w:p>
    <w:p w:rsidR="00B534F8" w:rsidP="00B534F8">
      <w:pPr>
        <w:rPr>
          <w:rFonts w:ascii="Arial Narrow" w:hAnsi="Arial Narrow" w:cs="Times New Roman"/>
          <w:sz w:val="22"/>
          <w:szCs w:val="22"/>
          <w:u w:val="single"/>
        </w:rPr>
      </w:pPr>
    </w:p>
    <w:p w:rsidR="0048644A" w:rsidP="00B534F8">
      <w:pPr>
        <w:rPr>
          <w:rFonts w:ascii="Arial Narrow" w:hAnsi="Arial Narrow" w:cs="Times New Roman"/>
          <w:sz w:val="22"/>
          <w:szCs w:val="22"/>
          <w:u w:val="single"/>
        </w:rPr>
      </w:pPr>
    </w:p>
    <w:p w:rsidR="00B534F8" w:rsidP="00B534F8">
      <w:pPr>
        <w:rPr>
          <w:rFonts w:ascii="Arial Narrow" w:hAnsi="Arial Narrow" w:cs="Times New Roman"/>
          <w:sz w:val="22"/>
          <w:szCs w:val="22"/>
          <w:u w:val="single"/>
        </w:rPr>
      </w:pPr>
    </w:p>
    <w:p w:rsidR="00B534F8" w:rsidP="00FE2600">
      <w:pPr>
        <w:numPr>
          <w:ilvl w:val="0"/>
          <w:numId w:val="97"/>
        </w:numPr>
        <w:tabs>
          <w:tab w:val="left" w:pos="720"/>
        </w:tabs>
        <w:spacing w:line="360" w:lineRule="auto"/>
        <w:jc w:val="center"/>
        <w:rPr>
          <w:rFonts w:ascii="Times New Roman" w:hAnsi="Times New Roman" w:cs="Times New Roman"/>
          <w:u w:val="single"/>
        </w:rPr>
      </w:pPr>
      <w:r w:rsidRPr="00185333">
        <w:rPr>
          <w:rFonts w:ascii="Times New Roman" w:hAnsi="Times New Roman" w:cs="Times New Roman"/>
          <w:u w:val="single"/>
        </w:rPr>
        <w:t>Majetková účasť štátu v medzinárodných finančných inštitúciách</w:t>
      </w:r>
    </w:p>
    <w:p w:rsidR="00FE2600" w:rsidP="00FE2600">
      <w:pPr>
        <w:spacing w:line="360" w:lineRule="auto"/>
        <w:ind w:left="360"/>
        <w:rPr>
          <w:rFonts w:ascii="Times New Roman" w:hAnsi="Times New Roman" w:cs="Times New Roman"/>
          <w:u w:val="single"/>
        </w:rPr>
      </w:pPr>
    </w:p>
    <w:p w:rsidR="00B534F8" w:rsidRPr="00F22245" w:rsidP="00B534F8">
      <w:pPr>
        <w:spacing w:line="360" w:lineRule="auto"/>
        <w:ind w:left="360" w:firstLine="348"/>
        <w:jc w:val="both"/>
        <w:rPr>
          <w:rFonts w:ascii="Times New Roman" w:hAnsi="Times New Roman" w:cs="Times New Roman"/>
        </w:rPr>
      </w:pPr>
      <w:r w:rsidRPr="00F22245">
        <w:rPr>
          <w:rFonts w:ascii="Times New Roman" w:hAnsi="Times New Roman" w:cs="Times New Roman"/>
        </w:rPr>
        <w:t>Aktíva Slovenskej republiky vo forme majetkových účastí štátu v medzinárodných finančných inštitúciách a v cenných papieroch v držbe štátu sa medziročne zvýšili o 24,1</w:t>
      </w:r>
      <w:r>
        <w:rPr>
          <w:rFonts w:ascii="Times New Roman" w:hAnsi="Times New Roman" w:cs="Times New Roman"/>
          <w:i/>
        </w:rPr>
        <w:t xml:space="preserve"> </w:t>
      </w:r>
      <w:r w:rsidRPr="00F22245">
        <w:rPr>
          <w:rFonts w:ascii="Times New Roman" w:hAnsi="Times New Roman" w:cs="Times New Roman"/>
        </w:rPr>
        <w:t>mil. Sk.  Majetkové účasti štátu v medzinárodných finančných inštitúciách štátu vzrástli o 28,7 mil. Sk a cenné papiere v držbe štátu poklesli o 4,6 mil. Sk.</w:t>
      </w:r>
    </w:p>
    <w:p w:rsidR="00B534F8" w:rsidRPr="00F22245" w:rsidP="00B534F8">
      <w:pPr>
        <w:spacing w:line="360" w:lineRule="auto"/>
        <w:ind w:left="360" w:firstLine="348"/>
        <w:jc w:val="both"/>
        <w:rPr>
          <w:rFonts w:ascii="Times New Roman" w:hAnsi="Times New Roman" w:cs="Times New Roman"/>
        </w:rPr>
      </w:pPr>
      <w:r w:rsidRPr="00F22245">
        <w:rPr>
          <w:rFonts w:ascii="Times New Roman" w:hAnsi="Times New Roman" w:cs="Times New Roman"/>
        </w:rPr>
        <w:t>Zvýšenie majetkových účastí v medzinárodných finančných inštitúciách nastalo z týchto dôvodov:</w:t>
      </w:r>
    </w:p>
    <w:p w:rsidR="00B534F8" w:rsidRPr="00F22245" w:rsidP="00B534F8">
      <w:pPr>
        <w:numPr>
          <w:ilvl w:val="0"/>
          <w:numId w:val="47"/>
        </w:numPr>
        <w:tabs>
          <w:tab w:val="left" w:pos="720"/>
        </w:tabs>
        <w:spacing w:line="360" w:lineRule="auto"/>
        <w:jc w:val="both"/>
        <w:rPr>
          <w:rFonts w:ascii="Times New Roman" w:hAnsi="Times New Roman" w:cs="Times New Roman"/>
        </w:rPr>
      </w:pPr>
      <w:r w:rsidRPr="00F22245">
        <w:rPr>
          <w:rFonts w:ascii="Times New Roman" w:hAnsi="Times New Roman" w:cs="Times New Roman"/>
        </w:rPr>
        <w:t xml:space="preserve">zo štátnych finančných aktív boli použité prostriedky na navýšenie majetkových účastí štátu v medzinárodných finančných inštitúciách v celkovej výške 461,5 mil. Sk, z toho v Európskej investičnej banke 358,3 mil. Sk, v Európskej banke </w:t>
      </w:r>
      <w:r>
        <w:rPr>
          <w:rFonts w:ascii="Times New Roman" w:hAnsi="Times New Roman" w:cs="Times New Roman"/>
        </w:rPr>
        <w:t>p</w:t>
      </w:r>
      <w:r w:rsidRPr="00F22245">
        <w:rPr>
          <w:rFonts w:ascii="Times New Roman" w:hAnsi="Times New Roman" w:cs="Times New Roman"/>
        </w:rPr>
        <w:t>re obnovu a rozvoj 45,4 mil. Sk a vo Svetovej banke (IDA) 57,8 mil. Sk,</w:t>
      </w:r>
    </w:p>
    <w:p w:rsidR="00B534F8" w:rsidRPr="00F22245" w:rsidP="00B534F8">
      <w:pPr>
        <w:numPr>
          <w:ilvl w:val="0"/>
          <w:numId w:val="47"/>
        </w:numPr>
        <w:tabs>
          <w:tab w:val="left" w:pos="720"/>
        </w:tabs>
        <w:spacing w:line="360" w:lineRule="auto"/>
        <w:jc w:val="both"/>
        <w:rPr>
          <w:rFonts w:ascii="Times New Roman" w:hAnsi="Times New Roman" w:cs="Times New Roman"/>
          <w:b/>
        </w:rPr>
      </w:pPr>
      <w:r w:rsidRPr="00F22245">
        <w:rPr>
          <w:rFonts w:ascii="Times New Roman" w:hAnsi="Times New Roman" w:cs="Times New Roman"/>
        </w:rPr>
        <w:t>valorizáciou akcií Slovenskej republiky v Medzinárodnej banke pre obnovu a rozvoj sa majetkový podiel v tejto banke znížil o 64,0 mil. Sk,</w:t>
      </w:r>
    </w:p>
    <w:p w:rsidR="00B534F8" w:rsidRPr="00F22245" w:rsidP="00B534F8">
      <w:pPr>
        <w:numPr>
          <w:ilvl w:val="0"/>
          <w:numId w:val="47"/>
        </w:numPr>
        <w:tabs>
          <w:tab w:val="left" w:pos="720"/>
        </w:tabs>
        <w:spacing w:line="360" w:lineRule="auto"/>
        <w:jc w:val="both"/>
        <w:rPr>
          <w:rFonts w:ascii="Times New Roman" w:hAnsi="Times New Roman" w:cs="Times New Roman"/>
          <w:b/>
        </w:rPr>
      </w:pPr>
      <w:r w:rsidRPr="00F22245">
        <w:rPr>
          <w:rFonts w:ascii="Times New Roman" w:hAnsi="Times New Roman" w:cs="Times New Roman"/>
        </w:rPr>
        <w:t>kurzové rozdiely zúčtované k 31.12.2006 z devízových vkladov znížili korunovú protihodnotu majetkových účastí štátu v medzinárodných finančných inštitúciách o 368,8 mil. Sk.</w:t>
      </w:r>
    </w:p>
    <w:p w:rsidR="00B534F8" w:rsidRPr="002C3A6E" w:rsidP="00B534F8">
      <w:pPr>
        <w:spacing w:before="120" w:line="360" w:lineRule="auto"/>
        <w:ind w:firstLine="708"/>
        <w:jc w:val="both"/>
        <w:rPr>
          <w:rFonts w:ascii="Times New Roman" w:hAnsi="Times New Roman" w:cs="Times New Roman"/>
        </w:rPr>
      </w:pPr>
      <w:r w:rsidRPr="00185333">
        <w:rPr>
          <w:rFonts w:ascii="Times New Roman" w:hAnsi="Times New Roman" w:cs="Times New Roman"/>
        </w:rPr>
        <w:t>Prehľad o účastiach Slovenskej republiky v týchto inštitúciách  a cenných papierov vo vlastníctve štátu prezentuje nasledovná tabuľka (v mil. Sk):</w:t>
      </w:r>
    </w:p>
    <w:tbl>
      <w:tblPr>
        <w:tblW w:w="8740" w:type="dxa"/>
        <w:tblInd w:w="55" w:type="dxa"/>
        <w:tblBorders>
          <w:top w:val="single" w:sz="8" w:space="0" w:color="000000"/>
          <w:left w:val="single" w:sz="8" w:space="0" w:color="000000"/>
          <w:bottom w:val="double" w:sz="6" w:space="0" w:color="auto"/>
          <w:right w:val="single" w:sz="8" w:space="0" w:color="000000"/>
          <w:insideH w:val="single" w:sz="4" w:space="0" w:color="000000"/>
          <w:insideV w:val="single" w:sz="4" w:space="0" w:color="000000"/>
        </w:tblBorders>
        <w:tblCellMar>
          <w:left w:w="70" w:type="dxa"/>
          <w:right w:w="70" w:type="dxa"/>
        </w:tblCellMar>
      </w:tblPr>
      <w:tblGrid>
        <w:gridCol w:w="5415"/>
        <w:gridCol w:w="1145"/>
        <w:gridCol w:w="1220"/>
        <w:gridCol w:w="960"/>
      </w:tblGrid>
      <w:tr>
        <w:tblPrEx>
          <w:tblW w:w="8740" w:type="dxa"/>
          <w:tblInd w:w="55" w:type="dxa"/>
          <w:tblBorders>
            <w:top w:val="single" w:sz="8" w:space="0" w:color="000000"/>
            <w:left w:val="single" w:sz="8" w:space="0" w:color="000000"/>
            <w:bottom w:val="double" w:sz="6" w:space="0" w:color="auto"/>
            <w:right w:val="single" w:sz="8" w:space="0" w:color="000000"/>
            <w:insideH w:val="single" w:sz="4" w:space="0" w:color="000000"/>
            <w:insideV w:val="single" w:sz="4" w:space="0" w:color="000000"/>
          </w:tblBorders>
          <w:tblCellMar>
            <w:left w:w="70" w:type="dxa"/>
            <w:right w:w="70" w:type="dxa"/>
          </w:tblCellMar>
        </w:tblPrEx>
        <w:trPr>
          <w:trHeight w:hRule="exact" w:val="567"/>
        </w:trPr>
        <w:tc>
          <w:tcPr>
            <w:tcW w:w="5415" w:type="dxa"/>
            <w:tcBorders>
              <w:top w:val="single" w:sz="8" w:space="0" w:color="000000"/>
              <w:left w:val="single" w:sz="8" w:space="0" w:color="000000"/>
              <w:bottom w:val="single" w:sz="4" w:space="0" w:color="000000"/>
              <w:right w:val="single" w:sz="4" w:space="0" w:color="000000"/>
              <w:tl2br w:val="nil"/>
              <w:tr2bl w:val="nil"/>
            </w:tcBorders>
            <w:textDirection w:val="lrTb"/>
            <w:vAlign w:val="center"/>
          </w:tcPr>
          <w:p w:rsidR="00B534F8" w:rsidRPr="005E13AA" w:rsidP="00B534F8">
            <w:pPr>
              <w:jc w:val="center"/>
              <w:rPr>
                <w:rFonts w:ascii="Times New Roman" w:hAnsi="Times New Roman" w:cs="Times New Roman"/>
                <w:b/>
                <w:bCs/>
                <w:sz w:val="20"/>
                <w:szCs w:val="20"/>
              </w:rPr>
            </w:pPr>
            <w:r w:rsidRPr="005E13AA">
              <w:rPr>
                <w:rFonts w:ascii="Times New Roman" w:hAnsi="Times New Roman" w:cs="Times New Roman"/>
                <w:b/>
                <w:bCs/>
                <w:sz w:val="20"/>
                <w:szCs w:val="20"/>
              </w:rPr>
              <w:t>Položka aktív</w:t>
            </w:r>
          </w:p>
        </w:tc>
        <w:tc>
          <w:tcPr>
            <w:tcW w:w="1145" w:type="dxa"/>
            <w:tcBorders>
              <w:top w:val="single" w:sz="8" w:space="0" w:color="000000"/>
              <w:left w:val="single" w:sz="4" w:space="0" w:color="000000"/>
              <w:bottom w:val="single" w:sz="4" w:space="0" w:color="000000"/>
              <w:right w:val="single" w:sz="4" w:space="0" w:color="000000"/>
              <w:tl2br w:val="nil"/>
              <w:tr2bl w:val="nil"/>
            </w:tcBorders>
            <w:textDirection w:val="lrTb"/>
            <w:vAlign w:val="center"/>
          </w:tcPr>
          <w:p w:rsidR="00B534F8" w:rsidRPr="005E13AA" w:rsidP="00B534F8">
            <w:pPr>
              <w:jc w:val="center"/>
              <w:rPr>
                <w:rFonts w:ascii="Times New Roman" w:hAnsi="Times New Roman" w:cs="Times New Roman"/>
                <w:b/>
                <w:bCs/>
                <w:sz w:val="20"/>
                <w:szCs w:val="20"/>
              </w:rPr>
            </w:pPr>
            <w:r w:rsidRPr="005E13AA">
              <w:rPr>
                <w:rFonts w:ascii="Times New Roman" w:hAnsi="Times New Roman" w:cs="Times New Roman"/>
                <w:b/>
                <w:bCs/>
                <w:sz w:val="20"/>
                <w:szCs w:val="20"/>
              </w:rPr>
              <w:t>Stav k</w:t>
            </w:r>
          </w:p>
          <w:p w:rsidR="00B534F8" w:rsidRPr="005E13AA" w:rsidP="00B534F8">
            <w:pPr>
              <w:jc w:val="center"/>
              <w:rPr>
                <w:rFonts w:ascii="Times New Roman" w:hAnsi="Times New Roman" w:cs="Times New Roman"/>
                <w:b/>
                <w:bCs/>
                <w:sz w:val="20"/>
                <w:szCs w:val="20"/>
              </w:rPr>
            </w:pPr>
            <w:r w:rsidRPr="005E13AA">
              <w:rPr>
                <w:rFonts w:ascii="Times New Roman" w:hAnsi="Times New Roman" w:cs="Times New Roman"/>
                <w:b/>
                <w:bCs/>
                <w:sz w:val="20"/>
                <w:szCs w:val="20"/>
              </w:rPr>
              <w:t>31.12.2005</w:t>
            </w:r>
          </w:p>
        </w:tc>
        <w:tc>
          <w:tcPr>
            <w:tcW w:w="1220" w:type="dxa"/>
            <w:tcBorders>
              <w:top w:val="single" w:sz="8" w:space="0" w:color="000000"/>
              <w:left w:val="single" w:sz="4" w:space="0" w:color="000000"/>
              <w:bottom w:val="single" w:sz="4" w:space="0" w:color="000000"/>
              <w:right w:val="single" w:sz="4" w:space="0" w:color="000000"/>
              <w:tl2br w:val="nil"/>
              <w:tr2bl w:val="nil"/>
            </w:tcBorders>
            <w:textDirection w:val="lrTb"/>
            <w:vAlign w:val="center"/>
          </w:tcPr>
          <w:p w:rsidR="00B534F8" w:rsidRPr="005E13AA" w:rsidP="00B534F8">
            <w:pPr>
              <w:jc w:val="center"/>
              <w:rPr>
                <w:rFonts w:ascii="Times New Roman" w:hAnsi="Times New Roman" w:cs="Times New Roman"/>
                <w:b/>
                <w:bCs/>
                <w:sz w:val="20"/>
                <w:szCs w:val="20"/>
              </w:rPr>
            </w:pPr>
            <w:r w:rsidRPr="005E13AA">
              <w:rPr>
                <w:rFonts w:ascii="Times New Roman" w:hAnsi="Times New Roman" w:cs="Times New Roman"/>
                <w:b/>
                <w:bCs/>
                <w:sz w:val="20"/>
                <w:szCs w:val="20"/>
              </w:rPr>
              <w:t>Stav k 31.12.2006</w:t>
            </w:r>
          </w:p>
        </w:tc>
        <w:tc>
          <w:tcPr>
            <w:tcW w:w="960" w:type="dxa"/>
            <w:tcBorders>
              <w:top w:val="single" w:sz="8" w:space="0" w:color="000000"/>
              <w:left w:val="single" w:sz="4" w:space="0" w:color="000000"/>
              <w:bottom w:val="single" w:sz="4" w:space="0" w:color="000000"/>
              <w:right w:val="single" w:sz="8" w:space="0" w:color="000000"/>
              <w:tl2br w:val="nil"/>
              <w:tr2bl w:val="nil"/>
            </w:tcBorders>
            <w:textDirection w:val="lrTb"/>
            <w:vAlign w:val="center"/>
          </w:tcPr>
          <w:p w:rsidR="00B534F8" w:rsidRPr="005E13AA" w:rsidP="00B534F8">
            <w:pPr>
              <w:jc w:val="center"/>
              <w:rPr>
                <w:rFonts w:ascii="Times New Roman" w:hAnsi="Times New Roman" w:cs="Times New Roman"/>
                <w:b/>
                <w:bCs/>
                <w:sz w:val="20"/>
                <w:szCs w:val="20"/>
              </w:rPr>
            </w:pPr>
            <w:r w:rsidRPr="005E13AA">
              <w:rPr>
                <w:rFonts w:ascii="Times New Roman" w:hAnsi="Times New Roman" w:cs="Times New Roman"/>
                <w:b/>
                <w:bCs/>
                <w:sz w:val="20"/>
                <w:szCs w:val="20"/>
              </w:rPr>
              <w:t>Zmena</w:t>
            </w:r>
          </w:p>
        </w:tc>
      </w:tr>
      <w:tr>
        <w:tblPrEx>
          <w:tblW w:w="8740" w:type="dxa"/>
          <w:tblInd w:w="55" w:type="dxa"/>
          <w:tblCellMar>
            <w:left w:w="70" w:type="dxa"/>
            <w:right w:w="70" w:type="dxa"/>
          </w:tblCellMar>
        </w:tblPrEx>
        <w:trPr>
          <w:trHeight w:hRule="exact" w:val="364"/>
        </w:trPr>
        <w:tc>
          <w:tcPr>
            <w:tcW w:w="5415" w:type="dxa"/>
            <w:tcBorders>
              <w:top w:val="single" w:sz="4" w:space="0" w:color="000000"/>
              <w:left w:val="single" w:sz="8" w:space="0" w:color="000000"/>
              <w:bottom w:val="single" w:sz="4" w:space="0" w:color="000000"/>
              <w:right w:val="single" w:sz="4" w:space="0" w:color="000000"/>
              <w:tl2br w:val="nil"/>
              <w:tr2bl w:val="nil"/>
            </w:tcBorders>
            <w:textDirection w:val="lrTb"/>
            <w:vAlign w:val="bottom"/>
          </w:tcPr>
          <w:p w:rsidR="00B534F8" w:rsidRPr="005E13AA" w:rsidP="00B534F8">
            <w:pPr>
              <w:rPr>
                <w:rFonts w:ascii="Times New Roman" w:hAnsi="Times New Roman" w:cs="Times New Roman"/>
                <w:b/>
                <w:bCs/>
                <w:sz w:val="20"/>
                <w:szCs w:val="20"/>
              </w:rPr>
            </w:pPr>
            <w:r w:rsidRPr="005E13AA">
              <w:rPr>
                <w:rFonts w:ascii="Times New Roman" w:hAnsi="Times New Roman" w:cs="Times New Roman"/>
                <w:b/>
                <w:bCs/>
                <w:sz w:val="20"/>
                <w:szCs w:val="20"/>
              </w:rPr>
              <w:t>Vklady štátu v medzinárodných inštitúciách - spolu</w:t>
            </w:r>
          </w:p>
        </w:tc>
        <w:tc>
          <w:tcPr>
            <w:tcW w:w="1145"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b/>
                <w:bCs/>
                <w:sz w:val="20"/>
                <w:szCs w:val="20"/>
              </w:rPr>
            </w:pPr>
            <w:r w:rsidRPr="005E13AA">
              <w:rPr>
                <w:rFonts w:ascii="Times New Roman" w:hAnsi="Times New Roman" w:cs="Times New Roman"/>
                <w:b/>
                <w:bCs/>
                <w:sz w:val="20"/>
                <w:szCs w:val="20"/>
              </w:rPr>
              <w:t>3 610,2</w:t>
            </w:r>
          </w:p>
        </w:tc>
        <w:tc>
          <w:tcPr>
            <w:tcW w:w="1220"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b/>
                <w:bCs/>
                <w:sz w:val="20"/>
                <w:szCs w:val="20"/>
              </w:rPr>
            </w:pPr>
            <w:r w:rsidRPr="005E13AA">
              <w:rPr>
                <w:rFonts w:ascii="Times New Roman" w:hAnsi="Times New Roman" w:cs="Times New Roman"/>
                <w:b/>
                <w:bCs/>
                <w:sz w:val="20"/>
                <w:szCs w:val="20"/>
              </w:rPr>
              <w:t>3 638,9</w:t>
            </w:r>
          </w:p>
        </w:tc>
        <w:tc>
          <w:tcPr>
            <w:tcW w:w="960" w:type="dxa"/>
            <w:tcBorders>
              <w:top w:val="single" w:sz="4" w:space="0" w:color="000000"/>
              <w:left w:val="single" w:sz="4" w:space="0" w:color="000000"/>
              <w:bottom w:val="single" w:sz="4" w:space="0" w:color="000000"/>
              <w:right w:val="single" w:sz="8" w:space="0" w:color="000000"/>
              <w:tl2br w:val="nil"/>
              <w:tr2bl w:val="nil"/>
            </w:tcBorders>
            <w:textDirection w:val="lrTb"/>
            <w:vAlign w:val="bottom"/>
          </w:tcPr>
          <w:p w:rsidR="00B534F8" w:rsidRPr="005E13AA" w:rsidP="00B534F8">
            <w:pPr>
              <w:jc w:val="right"/>
              <w:rPr>
                <w:rFonts w:ascii="Times New Roman" w:hAnsi="Times New Roman" w:cs="Times New Roman"/>
                <w:b/>
                <w:bCs/>
                <w:sz w:val="20"/>
                <w:szCs w:val="20"/>
              </w:rPr>
            </w:pPr>
            <w:r w:rsidRPr="005E13AA">
              <w:rPr>
                <w:rFonts w:ascii="Times New Roman" w:hAnsi="Times New Roman" w:cs="Times New Roman"/>
                <w:b/>
                <w:bCs/>
                <w:sz w:val="20"/>
                <w:szCs w:val="20"/>
              </w:rPr>
              <w:t>28,7</w:t>
            </w:r>
          </w:p>
        </w:tc>
      </w:tr>
      <w:tr>
        <w:tblPrEx>
          <w:tblW w:w="8740" w:type="dxa"/>
          <w:tblInd w:w="55" w:type="dxa"/>
          <w:tblCellMar>
            <w:left w:w="70" w:type="dxa"/>
            <w:right w:w="70" w:type="dxa"/>
          </w:tblCellMar>
        </w:tblPrEx>
        <w:trPr>
          <w:trHeight w:hRule="exact" w:val="340"/>
        </w:trPr>
        <w:tc>
          <w:tcPr>
            <w:tcW w:w="5415" w:type="dxa"/>
            <w:tcBorders>
              <w:top w:val="single" w:sz="4" w:space="0" w:color="000000"/>
              <w:left w:val="single" w:sz="8" w:space="0" w:color="000000"/>
              <w:bottom w:val="single" w:sz="4" w:space="0" w:color="000000"/>
              <w:right w:val="single" w:sz="4" w:space="0" w:color="000000"/>
              <w:tl2br w:val="nil"/>
              <w:tr2bl w:val="nil"/>
            </w:tcBorders>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Účasť v Medzinárodnej banke pre hosp. spoluprácu</w:t>
            </w:r>
          </w:p>
        </w:tc>
        <w:tc>
          <w:tcPr>
            <w:tcW w:w="1145"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325,4</w:t>
            </w:r>
          </w:p>
        </w:tc>
        <w:tc>
          <w:tcPr>
            <w:tcW w:w="1220"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297,3</w:t>
            </w:r>
          </w:p>
        </w:tc>
        <w:tc>
          <w:tcPr>
            <w:tcW w:w="960" w:type="dxa"/>
            <w:tcBorders>
              <w:top w:val="single" w:sz="4" w:space="0" w:color="000000"/>
              <w:left w:val="single" w:sz="4" w:space="0" w:color="000000"/>
              <w:bottom w:val="single" w:sz="4" w:space="0" w:color="000000"/>
              <w:right w:val="single" w:sz="8"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-28,1</w:t>
            </w:r>
          </w:p>
        </w:tc>
      </w:tr>
      <w:tr>
        <w:tblPrEx>
          <w:tblW w:w="8740" w:type="dxa"/>
          <w:tblInd w:w="55" w:type="dxa"/>
          <w:tblCellMar>
            <w:left w:w="70" w:type="dxa"/>
            <w:right w:w="70" w:type="dxa"/>
          </w:tblCellMar>
        </w:tblPrEx>
        <w:trPr>
          <w:trHeight w:hRule="exact" w:val="340"/>
        </w:trPr>
        <w:tc>
          <w:tcPr>
            <w:tcW w:w="5415" w:type="dxa"/>
            <w:tcBorders>
              <w:top w:val="single" w:sz="4" w:space="0" w:color="000000"/>
              <w:left w:val="single" w:sz="8" w:space="0" w:color="000000"/>
              <w:bottom w:val="single" w:sz="4" w:space="0" w:color="000000"/>
              <w:right w:val="single" w:sz="4" w:space="0" w:color="000000"/>
              <w:tl2br w:val="nil"/>
              <w:tr2bl w:val="nil"/>
            </w:tcBorders>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Účasť v Medzinárodnej investičnej banke</w:t>
            </w:r>
          </w:p>
        </w:tc>
        <w:tc>
          <w:tcPr>
            <w:tcW w:w="1145"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393,6</w:t>
            </w:r>
          </w:p>
        </w:tc>
        <w:tc>
          <w:tcPr>
            <w:tcW w:w="1220"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359,6</w:t>
            </w:r>
          </w:p>
        </w:tc>
        <w:tc>
          <w:tcPr>
            <w:tcW w:w="960" w:type="dxa"/>
            <w:tcBorders>
              <w:top w:val="single" w:sz="4" w:space="0" w:color="000000"/>
              <w:left w:val="single" w:sz="4" w:space="0" w:color="000000"/>
              <w:bottom w:val="single" w:sz="4" w:space="0" w:color="000000"/>
              <w:right w:val="single" w:sz="8"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-34,0</w:t>
            </w:r>
          </w:p>
        </w:tc>
      </w:tr>
      <w:tr>
        <w:tblPrEx>
          <w:tblW w:w="8740" w:type="dxa"/>
          <w:tblInd w:w="55" w:type="dxa"/>
          <w:tblCellMar>
            <w:left w:w="70" w:type="dxa"/>
            <w:right w:w="70" w:type="dxa"/>
          </w:tblCellMar>
        </w:tblPrEx>
        <w:trPr>
          <w:trHeight w:hRule="exact" w:val="340"/>
        </w:trPr>
        <w:tc>
          <w:tcPr>
            <w:tcW w:w="5415" w:type="dxa"/>
            <w:tcBorders>
              <w:top w:val="single" w:sz="4" w:space="0" w:color="000000"/>
              <w:left w:val="single" w:sz="8" w:space="0" w:color="000000"/>
              <w:bottom w:val="single" w:sz="4" w:space="0" w:color="000000"/>
              <w:right w:val="single" w:sz="4" w:space="0" w:color="000000"/>
              <w:tl2br w:val="nil"/>
              <w:tr2bl w:val="nil"/>
            </w:tcBorders>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Účasť v Európskej banke pre obnovu a rozvoj – USD</w:t>
            </w:r>
          </w:p>
        </w:tc>
        <w:tc>
          <w:tcPr>
            <w:tcW w:w="1145"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477,3</w:t>
            </w:r>
          </w:p>
        </w:tc>
        <w:tc>
          <w:tcPr>
            <w:tcW w:w="1220"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392,1</w:t>
            </w:r>
          </w:p>
        </w:tc>
        <w:tc>
          <w:tcPr>
            <w:tcW w:w="960" w:type="dxa"/>
            <w:tcBorders>
              <w:top w:val="single" w:sz="4" w:space="0" w:color="000000"/>
              <w:left w:val="single" w:sz="4" w:space="0" w:color="000000"/>
              <w:bottom w:val="single" w:sz="4" w:space="0" w:color="000000"/>
              <w:right w:val="single" w:sz="8"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-85,2</w:t>
            </w:r>
          </w:p>
        </w:tc>
      </w:tr>
      <w:tr>
        <w:tblPrEx>
          <w:tblW w:w="8740" w:type="dxa"/>
          <w:tblInd w:w="55" w:type="dxa"/>
          <w:tblCellMar>
            <w:left w:w="70" w:type="dxa"/>
            <w:right w:w="70" w:type="dxa"/>
          </w:tblCellMar>
        </w:tblPrEx>
        <w:trPr>
          <w:trHeight w:hRule="exact" w:val="340"/>
        </w:trPr>
        <w:tc>
          <w:tcPr>
            <w:tcW w:w="5415" w:type="dxa"/>
            <w:tcBorders>
              <w:top w:val="single" w:sz="4" w:space="0" w:color="000000"/>
              <w:left w:val="single" w:sz="8" w:space="0" w:color="000000"/>
              <w:bottom w:val="single" w:sz="4" w:space="0" w:color="000000"/>
              <w:right w:val="single" w:sz="4" w:space="0" w:color="000000"/>
              <w:tl2br w:val="nil"/>
              <w:tr2bl w:val="nil"/>
            </w:tcBorders>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Účasť v Európskej banke pre obnovu a rozvoj – EUR</w:t>
            </w:r>
          </w:p>
        </w:tc>
        <w:tc>
          <w:tcPr>
            <w:tcW w:w="1145"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317,9</w:t>
            </w:r>
          </w:p>
        </w:tc>
        <w:tc>
          <w:tcPr>
            <w:tcW w:w="1220"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331,9</w:t>
            </w:r>
          </w:p>
        </w:tc>
        <w:tc>
          <w:tcPr>
            <w:tcW w:w="960" w:type="dxa"/>
            <w:tcBorders>
              <w:top w:val="single" w:sz="4" w:space="0" w:color="000000"/>
              <w:left w:val="single" w:sz="4" w:space="0" w:color="000000"/>
              <w:bottom w:val="single" w:sz="4" w:space="0" w:color="000000"/>
              <w:right w:val="single" w:sz="8"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14,0</w:t>
            </w:r>
          </w:p>
        </w:tc>
      </w:tr>
      <w:tr>
        <w:tblPrEx>
          <w:tblW w:w="8740" w:type="dxa"/>
          <w:tblInd w:w="55" w:type="dxa"/>
          <w:tblCellMar>
            <w:left w:w="70" w:type="dxa"/>
            <w:right w:w="70" w:type="dxa"/>
          </w:tblCellMar>
        </w:tblPrEx>
        <w:trPr>
          <w:trHeight w:hRule="exact" w:val="340"/>
        </w:trPr>
        <w:tc>
          <w:tcPr>
            <w:tcW w:w="5415" w:type="dxa"/>
            <w:tcBorders>
              <w:top w:val="single" w:sz="4" w:space="0" w:color="000000"/>
              <w:left w:val="single" w:sz="8" w:space="0" w:color="000000"/>
              <w:bottom w:val="single" w:sz="4" w:space="0" w:color="000000"/>
              <w:right w:val="single" w:sz="4" w:space="0" w:color="000000"/>
              <w:tl2br w:val="nil"/>
              <w:tr2bl w:val="nil"/>
            </w:tcBorders>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Vklad do Rozvojovej banky Rady Európy</w:t>
            </w:r>
          </w:p>
        </w:tc>
        <w:tc>
          <w:tcPr>
            <w:tcW w:w="1145"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20,5</w:t>
            </w:r>
          </w:p>
        </w:tc>
        <w:tc>
          <w:tcPr>
            <w:tcW w:w="1220"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18,7</w:t>
            </w:r>
          </w:p>
        </w:tc>
        <w:tc>
          <w:tcPr>
            <w:tcW w:w="960" w:type="dxa"/>
            <w:tcBorders>
              <w:top w:val="single" w:sz="4" w:space="0" w:color="000000"/>
              <w:left w:val="single" w:sz="4" w:space="0" w:color="000000"/>
              <w:bottom w:val="single" w:sz="4" w:space="0" w:color="000000"/>
              <w:right w:val="single" w:sz="8"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-1,8</w:t>
            </w:r>
          </w:p>
        </w:tc>
      </w:tr>
      <w:tr>
        <w:tblPrEx>
          <w:tblW w:w="8740" w:type="dxa"/>
          <w:tblInd w:w="55" w:type="dxa"/>
          <w:tblCellMar>
            <w:left w:w="70" w:type="dxa"/>
            <w:right w:w="70" w:type="dxa"/>
          </w:tblCellMar>
        </w:tblPrEx>
        <w:trPr>
          <w:trHeight w:hRule="exact" w:val="340"/>
        </w:trPr>
        <w:tc>
          <w:tcPr>
            <w:tcW w:w="5415" w:type="dxa"/>
            <w:tcBorders>
              <w:top w:val="single" w:sz="4" w:space="0" w:color="000000"/>
              <w:left w:val="single" w:sz="8" w:space="0" w:color="000000"/>
              <w:bottom w:val="single" w:sz="4" w:space="0" w:color="000000"/>
              <w:right w:val="single" w:sz="4" w:space="0" w:color="000000"/>
              <w:tl2br w:val="nil"/>
              <w:tr2bl w:val="nil"/>
            </w:tcBorders>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Vklad do Európskej investičnej banky</w:t>
            </w:r>
          </w:p>
        </w:tc>
        <w:tc>
          <w:tcPr>
            <w:tcW w:w="1145"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202,7</w:t>
            </w:r>
          </w:p>
        </w:tc>
        <w:tc>
          <w:tcPr>
            <w:tcW w:w="1220"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277,8</w:t>
            </w:r>
          </w:p>
        </w:tc>
        <w:tc>
          <w:tcPr>
            <w:tcW w:w="960" w:type="dxa"/>
            <w:tcBorders>
              <w:top w:val="single" w:sz="4" w:space="0" w:color="000000"/>
              <w:left w:val="single" w:sz="4" w:space="0" w:color="000000"/>
              <w:bottom w:val="single" w:sz="4" w:space="0" w:color="000000"/>
              <w:right w:val="single" w:sz="8"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75,1</w:t>
            </w:r>
          </w:p>
        </w:tc>
      </w:tr>
      <w:tr>
        <w:tblPrEx>
          <w:tblW w:w="8740" w:type="dxa"/>
          <w:tblInd w:w="55" w:type="dxa"/>
          <w:tblCellMar>
            <w:left w:w="70" w:type="dxa"/>
            <w:right w:w="70" w:type="dxa"/>
          </w:tblCellMar>
        </w:tblPrEx>
        <w:trPr>
          <w:trHeight w:hRule="exact" w:val="340"/>
        </w:trPr>
        <w:tc>
          <w:tcPr>
            <w:tcW w:w="5415" w:type="dxa"/>
            <w:tcBorders>
              <w:top w:val="single" w:sz="4" w:space="0" w:color="000000"/>
              <w:left w:val="single" w:sz="8" w:space="0" w:color="000000"/>
              <w:bottom w:val="single" w:sz="4" w:space="0" w:color="000000"/>
              <w:right w:val="single" w:sz="4" w:space="0" w:color="000000"/>
              <w:tl2br w:val="nil"/>
              <w:tr2bl w:val="nil"/>
            </w:tcBorders>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Účasť v inštitúciách Svetovej banky</w:t>
            </w:r>
          </w:p>
        </w:tc>
        <w:tc>
          <w:tcPr>
            <w:tcW w:w="1145"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 xml:space="preserve"> 1 303,9</w:t>
            </w:r>
          </w:p>
        </w:tc>
        <w:tc>
          <w:tcPr>
            <w:tcW w:w="1220"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1 212,0</w:t>
            </w:r>
          </w:p>
        </w:tc>
        <w:tc>
          <w:tcPr>
            <w:tcW w:w="960" w:type="dxa"/>
            <w:tcBorders>
              <w:top w:val="single" w:sz="4" w:space="0" w:color="000000"/>
              <w:left w:val="single" w:sz="4" w:space="0" w:color="000000"/>
              <w:bottom w:val="single" w:sz="4" w:space="0" w:color="000000"/>
              <w:right w:val="single" w:sz="8"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-91,9</w:t>
            </w:r>
          </w:p>
        </w:tc>
      </w:tr>
      <w:tr>
        <w:tblPrEx>
          <w:tblW w:w="8740" w:type="dxa"/>
          <w:tblInd w:w="55" w:type="dxa"/>
          <w:tblCellMar>
            <w:left w:w="70" w:type="dxa"/>
            <w:right w:w="70" w:type="dxa"/>
          </w:tblCellMar>
        </w:tblPrEx>
        <w:trPr>
          <w:trHeight w:hRule="exact" w:val="340"/>
        </w:trPr>
        <w:tc>
          <w:tcPr>
            <w:tcW w:w="5415" w:type="dxa"/>
            <w:tcBorders>
              <w:top w:val="single" w:sz="4" w:space="0" w:color="000000"/>
              <w:left w:val="single" w:sz="8" w:space="0" w:color="000000"/>
              <w:bottom w:val="single" w:sz="4" w:space="0" w:color="000000"/>
              <w:right w:val="single" w:sz="4" w:space="0" w:color="000000"/>
              <w:tl2br w:val="nil"/>
              <w:tr2bl w:val="nil"/>
            </w:tcBorders>
            <w:textDirection w:val="lrTb"/>
            <w:vAlign w:val="bottom"/>
          </w:tcPr>
          <w:p w:rsidR="00B534F8" w:rsidRPr="005E13AA" w:rsidP="00B534F8">
            <w:pPr>
              <w:rPr>
                <w:rFonts w:ascii="Times New Roman" w:hAnsi="Times New Roman" w:cs="Times New Roman"/>
                <w:i/>
                <w:iCs/>
                <w:sz w:val="20"/>
                <w:szCs w:val="20"/>
              </w:rPr>
            </w:pPr>
            <w:r w:rsidRPr="005E13AA">
              <w:rPr>
                <w:rFonts w:ascii="Times New Roman" w:hAnsi="Times New Roman" w:cs="Times New Roman"/>
                <w:i/>
                <w:iCs/>
                <w:sz w:val="20"/>
                <w:szCs w:val="20"/>
              </w:rPr>
              <w:t>v tom: korunová časť</w:t>
            </w:r>
          </w:p>
        </w:tc>
        <w:tc>
          <w:tcPr>
            <w:tcW w:w="1145"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i/>
                <w:iCs/>
                <w:sz w:val="20"/>
                <w:szCs w:val="20"/>
              </w:rPr>
            </w:pPr>
            <w:r w:rsidRPr="005E13AA">
              <w:rPr>
                <w:rFonts w:ascii="Times New Roman" w:hAnsi="Times New Roman" w:cs="Times New Roman"/>
                <w:i/>
                <w:iCs/>
                <w:sz w:val="20"/>
                <w:szCs w:val="20"/>
              </w:rPr>
              <w:t>824,2</w:t>
            </w:r>
          </w:p>
        </w:tc>
        <w:tc>
          <w:tcPr>
            <w:tcW w:w="1220"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i/>
                <w:iCs/>
                <w:sz w:val="20"/>
                <w:szCs w:val="20"/>
              </w:rPr>
            </w:pPr>
            <w:r w:rsidRPr="005E13AA">
              <w:rPr>
                <w:rFonts w:ascii="Times New Roman" w:hAnsi="Times New Roman" w:cs="Times New Roman"/>
                <w:i/>
                <w:iCs/>
                <w:sz w:val="20"/>
                <w:szCs w:val="20"/>
              </w:rPr>
              <w:t>818,0</w:t>
            </w:r>
          </w:p>
        </w:tc>
        <w:tc>
          <w:tcPr>
            <w:tcW w:w="960" w:type="dxa"/>
            <w:tcBorders>
              <w:top w:val="single" w:sz="4" w:space="0" w:color="000000"/>
              <w:left w:val="single" w:sz="4" w:space="0" w:color="000000"/>
              <w:bottom w:val="single" w:sz="4" w:space="0" w:color="000000"/>
              <w:right w:val="single" w:sz="8" w:space="0" w:color="000000"/>
              <w:tl2br w:val="nil"/>
              <w:tr2bl w:val="nil"/>
            </w:tcBorders>
            <w:textDirection w:val="lrTb"/>
            <w:vAlign w:val="bottom"/>
          </w:tcPr>
          <w:p w:rsidR="00B534F8" w:rsidRPr="005E13AA" w:rsidP="00B534F8">
            <w:pPr>
              <w:jc w:val="right"/>
              <w:rPr>
                <w:rFonts w:ascii="Times New Roman" w:hAnsi="Times New Roman" w:cs="Times New Roman"/>
                <w:i/>
                <w:iCs/>
                <w:sz w:val="20"/>
                <w:szCs w:val="20"/>
              </w:rPr>
            </w:pPr>
            <w:r w:rsidRPr="005E13AA">
              <w:rPr>
                <w:rFonts w:ascii="Times New Roman" w:hAnsi="Times New Roman" w:cs="Times New Roman"/>
                <w:i/>
                <w:iCs/>
                <w:sz w:val="20"/>
                <w:szCs w:val="20"/>
              </w:rPr>
              <w:t>-6,2</w:t>
            </w:r>
          </w:p>
        </w:tc>
      </w:tr>
      <w:tr>
        <w:tblPrEx>
          <w:tblW w:w="8740" w:type="dxa"/>
          <w:tblInd w:w="55" w:type="dxa"/>
          <w:tblCellMar>
            <w:left w:w="70" w:type="dxa"/>
            <w:right w:w="70" w:type="dxa"/>
          </w:tblCellMar>
        </w:tblPrEx>
        <w:trPr>
          <w:trHeight w:hRule="exact" w:val="340"/>
        </w:trPr>
        <w:tc>
          <w:tcPr>
            <w:tcW w:w="5415" w:type="dxa"/>
            <w:tcBorders>
              <w:top w:val="single" w:sz="4" w:space="0" w:color="000000"/>
              <w:left w:val="single" w:sz="8" w:space="0" w:color="000000"/>
              <w:bottom w:val="single" w:sz="4" w:space="0" w:color="000000"/>
              <w:right w:val="single" w:sz="4" w:space="0" w:color="000000"/>
              <w:tl2br w:val="nil"/>
              <w:tr2bl w:val="nil"/>
            </w:tcBorders>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IBRD</w:t>
            </w:r>
          </w:p>
        </w:tc>
        <w:tc>
          <w:tcPr>
            <w:tcW w:w="1145"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681,5</w:t>
            </w:r>
          </w:p>
        </w:tc>
        <w:tc>
          <w:tcPr>
            <w:tcW w:w="1220"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617,5</w:t>
            </w:r>
          </w:p>
        </w:tc>
        <w:tc>
          <w:tcPr>
            <w:tcW w:w="960" w:type="dxa"/>
            <w:tcBorders>
              <w:top w:val="single" w:sz="4" w:space="0" w:color="000000"/>
              <w:left w:val="single" w:sz="4" w:space="0" w:color="000000"/>
              <w:bottom w:val="single" w:sz="4" w:space="0" w:color="000000"/>
              <w:right w:val="single" w:sz="8"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-64,0</w:t>
            </w:r>
          </w:p>
        </w:tc>
      </w:tr>
      <w:tr>
        <w:tblPrEx>
          <w:tblW w:w="8740" w:type="dxa"/>
          <w:tblInd w:w="55" w:type="dxa"/>
          <w:tblCellMar>
            <w:left w:w="70" w:type="dxa"/>
            <w:right w:w="70" w:type="dxa"/>
          </w:tblCellMar>
        </w:tblPrEx>
        <w:trPr>
          <w:trHeight w:hRule="exact" w:val="340"/>
        </w:trPr>
        <w:tc>
          <w:tcPr>
            <w:tcW w:w="5415" w:type="dxa"/>
            <w:tcBorders>
              <w:top w:val="single" w:sz="4" w:space="0" w:color="000000"/>
              <w:left w:val="single" w:sz="8" w:space="0" w:color="000000"/>
              <w:bottom w:val="single" w:sz="4" w:space="0" w:color="000000"/>
              <w:right w:val="single" w:sz="4" w:space="0" w:color="000000"/>
              <w:tl2br w:val="nil"/>
              <w:tr2bl w:val="nil"/>
            </w:tcBorders>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 xml:space="preserve">IDA    </w:t>
            </w:r>
          </w:p>
        </w:tc>
        <w:tc>
          <w:tcPr>
            <w:tcW w:w="1145"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141,8</w:t>
            </w:r>
          </w:p>
        </w:tc>
        <w:tc>
          <w:tcPr>
            <w:tcW w:w="1220"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199,6</w:t>
            </w:r>
          </w:p>
        </w:tc>
        <w:tc>
          <w:tcPr>
            <w:tcW w:w="960" w:type="dxa"/>
            <w:tcBorders>
              <w:top w:val="single" w:sz="4" w:space="0" w:color="000000"/>
              <w:left w:val="single" w:sz="4" w:space="0" w:color="000000"/>
              <w:bottom w:val="single" w:sz="4" w:space="0" w:color="000000"/>
              <w:right w:val="single" w:sz="8"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57,8</w:t>
            </w:r>
          </w:p>
        </w:tc>
      </w:tr>
      <w:tr>
        <w:tblPrEx>
          <w:tblW w:w="8740" w:type="dxa"/>
          <w:tblInd w:w="55" w:type="dxa"/>
          <w:tblCellMar>
            <w:left w:w="70" w:type="dxa"/>
            <w:right w:w="70" w:type="dxa"/>
          </w:tblCellMar>
        </w:tblPrEx>
        <w:trPr>
          <w:trHeight w:hRule="exact" w:val="340"/>
        </w:trPr>
        <w:tc>
          <w:tcPr>
            <w:tcW w:w="5415" w:type="dxa"/>
            <w:tcBorders>
              <w:top w:val="single" w:sz="4" w:space="0" w:color="000000"/>
              <w:left w:val="single" w:sz="8" w:space="0" w:color="000000"/>
              <w:bottom w:val="single" w:sz="4" w:space="0" w:color="000000"/>
              <w:right w:val="single" w:sz="4" w:space="0" w:color="000000"/>
              <w:tl2br w:val="nil"/>
              <w:tr2bl w:val="nil"/>
            </w:tcBorders>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MIGA</w:t>
            </w:r>
          </w:p>
        </w:tc>
        <w:tc>
          <w:tcPr>
            <w:tcW w:w="1145"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0,9</w:t>
            </w:r>
          </w:p>
        </w:tc>
        <w:tc>
          <w:tcPr>
            <w:tcW w:w="1220"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0,9</w:t>
            </w:r>
          </w:p>
        </w:tc>
        <w:tc>
          <w:tcPr>
            <w:tcW w:w="960" w:type="dxa"/>
            <w:tcBorders>
              <w:top w:val="single" w:sz="4" w:space="0" w:color="000000"/>
              <w:left w:val="single" w:sz="4" w:space="0" w:color="000000"/>
              <w:bottom w:val="single" w:sz="4" w:space="0" w:color="000000"/>
              <w:right w:val="single" w:sz="8"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0,0</w:t>
            </w:r>
          </w:p>
        </w:tc>
      </w:tr>
      <w:tr>
        <w:tblPrEx>
          <w:tblW w:w="8740" w:type="dxa"/>
          <w:tblInd w:w="55" w:type="dxa"/>
          <w:tblCellMar>
            <w:left w:w="70" w:type="dxa"/>
            <w:right w:w="70" w:type="dxa"/>
          </w:tblCellMar>
        </w:tblPrEx>
        <w:trPr>
          <w:trHeight w:hRule="exact" w:val="328"/>
        </w:trPr>
        <w:tc>
          <w:tcPr>
            <w:tcW w:w="5415" w:type="dxa"/>
            <w:tcBorders>
              <w:top w:val="single" w:sz="4" w:space="0" w:color="000000"/>
              <w:left w:val="single" w:sz="8" w:space="0" w:color="000000"/>
              <w:bottom w:val="single" w:sz="4" w:space="0" w:color="000000"/>
              <w:right w:val="single" w:sz="4" w:space="0" w:color="000000"/>
              <w:tl2br w:val="nil"/>
              <w:tr2bl w:val="nil"/>
            </w:tcBorders>
            <w:textDirection w:val="lrTb"/>
            <w:vAlign w:val="bottom"/>
          </w:tcPr>
          <w:p w:rsidR="00B534F8" w:rsidRPr="005E13AA" w:rsidP="00B534F8">
            <w:pPr>
              <w:rPr>
                <w:rFonts w:ascii="Times New Roman" w:hAnsi="Times New Roman" w:cs="Times New Roman"/>
                <w:i/>
                <w:iCs/>
                <w:sz w:val="20"/>
                <w:szCs w:val="20"/>
              </w:rPr>
            </w:pPr>
            <w:r w:rsidRPr="005E13AA">
              <w:rPr>
                <w:rFonts w:ascii="Times New Roman" w:hAnsi="Times New Roman" w:cs="Times New Roman"/>
                <w:i/>
                <w:iCs/>
                <w:sz w:val="20"/>
                <w:szCs w:val="20"/>
              </w:rPr>
              <w:t>v tom: devízová časť</w:t>
            </w:r>
          </w:p>
        </w:tc>
        <w:tc>
          <w:tcPr>
            <w:tcW w:w="1145"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i/>
                <w:iCs/>
                <w:sz w:val="20"/>
                <w:szCs w:val="20"/>
              </w:rPr>
            </w:pPr>
            <w:r w:rsidRPr="005E13AA">
              <w:rPr>
                <w:rFonts w:ascii="Times New Roman" w:hAnsi="Times New Roman" w:cs="Times New Roman"/>
                <w:i/>
                <w:iCs/>
                <w:sz w:val="20"/>
                <w:szCs w:val="20"/>
              </w:rPr>
              <w:t>479,7</w:t>
            </w:r>
          </w:p>
        </w:tc>
        <w:tc>
          <w:tcPr>
            <w:tcW w:w="1220"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i/>
                <w:iCs/>
                <w:sz w:val="20"/>
                <w:szCs w:val="20"/>
              </w:rPr>
            </w:pPr>
            <w:r w:rsidRPr="005E13AA">
              <w:rPr>
                <w:rFonts w:ascii="Times New Roman" w:hAnsi="Times New Roman" w:cs="Times New Roman"/>
                <w:i/>
                <w:iCs/>
                <w:sz w:val="20"/>
                <w:szCs w:val="20"/>
              </w:rPr>
              <w:t>394,0</w:t>
            </w:r>
          </w:p>
        </w:tc>
        <w:tc>
          <w:tcPr>
            <w:tcW w:w="960" w:type="dxa"/>
            <w:tcBorders>
              <w:top w:val="single" w:sz="4" w:space="0" w:color="000000"/>
              <w:left w:val="single" w:sz="4" w:space="0" w:color="000000"/>
              <w:bottom w:val="single" w:sz="4" w:space="0" w:color="000000"/>
              <w:right w:val="single" w:sz="8" w:space="0" w:color="000000"/>
              <w:tl2br w:val="nil"/>
              <w:tr2bl w:val="nil"/>
            </w:tcBorders>
            <w:textDirection w:val="lrTb"/>
            <w:vAlign w:val="bottom"/>
          </w:tcPr>
          <w:p w:rsidR="00B534F8" w:rsidRPr="005E13AA" w:rsidP="00B534F8">
            <w:pPr>
              <w:jc w:val="right"/>
              <w:rPr>
                <w:rFonts w:ascii="Times New Roman" w:hAnsi="Times New Roman" w:cs="Times New Roman"/>
                <w:i/>
                <w:iCs/>
                <w:sz w:val="20"/>
                <w:szCs w:val="20"/>
              </w:rPr>
            </w:pPr>
            <w:r w:rsidRPr="005E13AA">
              <w:rPr>
                <w:rFonts w:ascii="Times New Roman" w:hAnsi="Times New Roman" w:cs="Times New Roman"/>
                <w:i/>
                <w:iCs/>
                <w:sz w:val="20"/>
                <w:szCs w:val="20"/>
              </w:rPr>
              <w:t>-85,7</w:t>
            </w:r>
          </w:p>
        </w:tc>
      </w:tr>
      <w:tr>
        <w:tblPrEx>
          <w:tblW w:w="8740" w:type="dxa"/>
          <w:tblInd w:w="55" w:type="dxa"/>
          <w:tblCellMar>
            <w:left w:w="70" w:type="dxa"/>
            <w:right w:w="70" w:type="dxa"/>
          </w:tblCellMar>
        </w:tblPrEx>
        <w:trPr>
          <w:trHeight w:hRule="exact" w:val="366"/>
        </w:trPr>
        <w:tc>
          <w:tcPr>
            <w:tcW w:w="5415" w:type="dxa"/>
            <w:tcBorders>
              <w:top w:val="single" w:sz="4" w:space="0" w:color="000000"/>
              <w:left w:val="single" w:sz="8" w:space="0" w:color="000000"/>
              <w:bottom w:val="single" w:sz="4" w:space="0" w:color="000000"/>
              <w:right w:val="single" w:sz="4" w:space="0" w:color="000000"/>
              <w:tl2br w:val="nil"/>
              <w:tr2bl w:val="nil"/>
            </w:tcBorders>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IBRD</w:t>
            </w:r>
          </w:p>
        </w:tc>
        <w:tc>
          <w:tcPr>
            <w:tcW w:w="1145"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73,4</w:t>
            </w:r>
          </w:p>
        </w:tc>
        <w:tc>
          <w:tcPr>
            <w:tcW w:w="1220"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60,3</w:t>
            </w:r>
          </w:p>
        </w:tc>
        <w:tc>
          <w:tcPr>
            <w:tcW w:w="960" w:type="dxa"/>
            <w:tcBorders>
              <w:top w:val="single" w:sz="4" w:space="0" w:color="000000"/>
              <w:left w:val="single" w:sz="4" w:space="0" w:color="000000"/>
              <w:bottom w:val="single" w:sz="4" w:space="0" w:color="000000"/>
              <w:right w:val="single" w:sz="8"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-13,1</w:t>
            </w:r>
          </w:p>
        </w:tc>
      </w:tr>
      <w:tr>
        <w:tblPrEx>
          <w:tblW w:w="8740" w:type="dxa"/>
          <w:tblInd w:w="55" w:type="dxa"/>
          <w:tblCellMar>
            <w:left w:w="70" w:type="dxa"/>
            <w:right w:w="70" w:type="dxa"/>
          </w:tblCellMar>
        </w:tblPrEx>
        <w:trPr>
          <w:trHeight w:val="322"/>
        </w:trPr>
        <w:tc>
          <w:tcPr>
            <w:tcW w:w="5415" w:type="dxa"/>
            <w:tcBorders>
              <w:top w:val="single" w:sz="4" w:space="0" w:color="000000"/>
              <w:left w:val="single" w:sz="8" w:space="0" w:color="000000"/>
              <w:bottom w:val="single" w:sz="4" w:space="0" w:color="000000"/>
              <w:right w:val="single" w:sz="4" w:space="0" w:color="000000"/>
              <w:tl2br w:val="nil"/>
              <w:tr2bl w:val="nil"/>
            </w:tcBorders>
            <w:textDirection w:val="lrTb"/>
            <w:vAlign w:val="bottom"/>
          </w:tcPr>
          <w:p w:rsidR="00B534F8" w:rsidRPr="005E13AA" w:rsidP="00B534F8">
            <w:pPr>
              <w:rPr>
                <w:rFonts w:ascii="Times New Roman" w:hAnsi="Times New Roman" w:cs="Times New Roman"/>
                <w:sz w:val="20"/>
                <w:szCs w:val="20"/>
              </w:rPr>
            </w:pPr>
            <w:r w:rsidRPr="005E13AA">
              <w:rPr>
                <w:rFonts w:ascii="Times New Roman" w:hAnsi="Times New Roman" w:cs="Times New Roman"/>
                <w:sz w:val="20"/>
                <w:szCs w:val="20"/>
              </w:rPr>
              <w:t>IDA</w:t>
            </w:r>
          </w:p>
        </w:tc>
        <w:tc>
          <w:tcPr>
            <w:tcW w:w="1145"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240,2</w:t>
            </w:r>
          </w:p>
        </w:tc>
        <w:tc>
          <w:tcPr>
            <w:tcW w:w="1220"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197,3</w:t>
            </w:r>
          </w:p>
        </w:tc>
        <w:tc>
          <w:tcPr>
            <w:tcW w:w="960" w:type="dxa"/>
            <w:tcBorders>
              <w:top w:val="single" w:sz="4" w:space="0" w:color="000000"/>
              <w:left w:val="single" w:sz="4" w:space="0" w:color="000000"/>
              <w:bottom w:val="single" w:sz="4" w:space="0" w:color="000000"/>
              <w:right w:val="single" w:sz="8" w:space="0" w:color="000000"/>
              <w:tl2br w:val="nil"/>
              <w:tr2bl w:val="nil"/>
            </w:tcBorders>
            <w:textDirection w:val="lrTb"/>
            <w:vAlign w:val="bottom"/>
          </w:tcPr>
          <w:p w:rsidR="00B534F8" w:rsidRPr="005E13AA" w:rsidP="00B534F8">
            <w:pPr>
              <w:jc w:val="right"/>
              <w:rPr>
                <w:rFonts w:ascii="Times New Roman" w:hAnsi="Times New Roman" w:cs="Times New Roman"/>
                <w:sz w:val="20"/>
                <w:szCs w:val="20"/>
              </w:rPr>
            </w:pPr>
            <w:r w:rsidRPr="005E13AA">
              <w:rPr>
                <w:rFonts w:ascii="Times New Roman" w:hAnsi="Times New Roman" w:cs="Times New Roman"/>
                <w:sz w:val="20"/>
                <w:szCs w:val="20"/>
              </w:rPr>
              <w:t>-42,9</w:t>
            </w:r>
          </w:p>
        </w:tc>
      </w:tr>
      <w:tr>
        <w:tblPrEx>
          <w:tblW w:w="8740" w:type="dxa"/>
          <w:tblInd w:w="55" w:type="dxa"/>
          <w:tblCellMar>
            <w:left w:w="70" w:type="dxa"/>
            <w:right w:w="70" w:type="dxa"/>
          </w:tblCellMar>
        </w:tblPrEx>
        <w:trPr>
          <w:trHeight w:val="169"/>
        </w:trPr>
        <w:tc>
          <w:tcPr>
            <w:tcW w:w="5415" w:type="dxa"/>
            <w:tcBorders>
              <w:top w:val="single" w:sz="4" w:space="0" w:color="000000"/>
              <w:left w:val="single" w:sz="8" w:space="0" w:color="000000"/>
              <w:bottom w:val="single" w:sz="4" w:space="0" w:color="000000"/>
              <w:right w:val="single" w:sz="4" w:space="0" w:color="000000"/>
              <w:tl2br w:val="nil"/>
              <w:tr2bl w:val="nil"/>
            </w:tcBorders>
            <w:textDirection w:val="lrTb"/>
            <w:vAlign w:val="bottom"/>
          </w:tcPr>
          <w:p w:rsidR="00B534F8" w:rsidRPr="00863DCF" w:rsidP="00B534F8">
            <w:pPr>
              <w:rPr>
                <w:rFonts w:ascii="Times New Roman" w:hAnsi="Times New Roman" w:cs="Times New Roman"/>
                <w:sz w:val="22"/>
                <w:szCs w:val="22"/>
              </w:rPr>
            </w:pPr>
            <w:r w:rsidRPr="00863DCF">
              <w:rPr>
                <w:rFonts w:ascii="Times New Roman" w:hAnsi="Times New Roman" w:cs="Times New Roman"/>
                <w:sz w:val="22"/>
                <w:szCs w:val="22"/>
              </w:rPr>
              <w:t>IFC</w:t>
            </w:r>
          </w:p>
        </w:tc>
        <w:tc>
          <w:tcPr>
            <w:tcW w:w="1145"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863DCF" w:rsidP="00B534F8">
            <w:pPr>
              <w:jc w:val="right"/>
              <w:rPr>
                <w:rFonts w:ascii="Times New Roman" w:hAnsi="Times New Roman" w:cs="Times New Roman"/>
                <w:sz w:val="22"/>
                <w:szCs w:val="22"/>
              </w:rPr>
            </w:pPr>
            <w:r w:rsidRPr="00863DCF">
              <w:rPr>
                <w:rFonts w:ascii="Times New Roman" w:hAnsi="Times New Roman" w:cs="Times New Roman"/>
                <w:sz w:val="22"/>
                <w:szCs w:val="22"/>
              </w:rPr>
              <w:t>142,4</w:t>
            </w:r>
          </w:p>
        </w:tc>
        <w:tc>
          <w:tcPr>
            <w:tcW w:w="1220"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863DCF" w:rsidP="00B534F8">
            <w:pPr>
              <w:jc w:val="right"/>
              <w:rPr>
                <w:rFonts w:ascii="Times New Roman" w:hAnsi="Times New Roman" w:cs="Times New Roman"/>
                <w:sz w:val="22"/>
                <w:szCs w:val="22"/>
              </w:rPr>
            </w:pPr>
            <w:r>
              <w:rPr>
                <w:rFonts w:ascii="Times New Roman" w:hAnsi="Times New Roman" w:cs="Times New Roman"/>
                <w:sz w:val="22"/>
                <w:szCs w:val="22"/>
              </w:rPr>
              <w:t>116,9</w:t>
            </w:r>
          </w:p>
        </w:tc>
        <w:tc>
          <w:tcPr>
            <w:tcW w:w="960" w:type="dxa"/>
            <w:tcBorders>
              <w:top w:val="single" w:sz="4" w:space="0" w:color="000000"/>
              <w:left w:val="single" w:sz="4" w:space="0" w:color="000000"/>
              <w:bottom w:val="single" w:sz="4" w:space="0" w:color="000000"/>
              <w:right w:val="single" w:sz="8" w:space="0" w:color="000000"/>
              <w:tl2br w:val="nil"/>
              <w:tr2bl w:val="nil"/>
            </w:tcBorders>
            <w:textDirection w:val="lrTb"/>
            <w:vAlign w:val="bottom"/>
          </w:tcPr>
          <w:p w:rsidR="00B534F8" w:rsidRPr="00863DCF" w:rsidP="00B534F8">
            <w:pPr>
              <w:jc w:val="right"/>
              <w:rPr>
                <w:rFonts w:ascii="Times New Roman" w:hAnsi="Times New Roman" w:cs="Times New Roman"/>
                <w:sz w:val="22"/>
                <w:szCs w:val="22"/>
              </w:rPr>
            </w:pPr>
            <w:r>
              <w:rPr>
                <w:rFonts w:ascii="Times New Roman" w:hAnsi="Times New Roman" w:cs="Times New Roman"/>
                <w:sz w:val="22"/>
                <w:szCs w:val="22"/>
              </w:rPr>
              <w:t>-25,5</w:t>
            </w:r>
          </w:p>
        </w:tc>
      </w:tr>
      <w:tr>
        <w:tblPrEx>
          <w:tblW w:w="8740" w:type="dxa"/>
          <w:tblInd w:w="55" w:type="dxa"/>
          <w:tblCellMar>
            <w:left w:w="70" w:type="dxa"/>
            <w:right w:w="70" w:type="dxa"/>
          </w:tblCellMar>
        </w:tblPrEx>
        <w:trPr>
          <w:trHeight w:val="60"/>
        </w:trPr>
        <w:tc>
          <w:tcPr>
            <w:tcW w:w="5415" w:type="dxa"/>
            <w:tcBorders>
              <w:top w:val="single" w:sz="4" w:space="0" w:color="000000"/>
              <w:left w:val="single" w:sz="8" w:space="0" w:color="000000"/>
              <w:bottom w:val="single" w:sz="4" w:space="0" w:color="000000"/>
              <w:right w:val="single" w:sz="4" w:space="0" w:color="000000"/>
              <w:tl2br w:val="nil"/>
              <w:tr2bl w:val="nil"/>
            </w:tcBorders>
            <w:textDirection w:val="lrTb"/>
            <w:vAlign w:val="bottom"/>
          </w:tcPr>
          <w:p w:rsidR="00B534F8" w:rsidRPr="00863DCF" w:rsidP="00B534F8">
            <w:pPr>
              <w:rPr>
                <w:rFonts w:ascii="Times New Roman" w:hAnsi="Times New Roman" w:cs="Times New Roman"/>
                <w:sz w:val="22"/>
                <w:szCs w:val="22"/>
              </w:rPr>
            </w:pPr>
            <w:r w:rsidRPr="00863DCF">
              <w:rPr>
                <w:rFonts w:ascii="Times New Roman" w:hAnsi="Times New Roman" w:cs="Times New Roman"/>
                <w:sz w:val="22"/>
                <w:szCs w:val="22"/>
              </w:rPr>
              <w:t>MIGA</w:t>
            </w:r>
          </w:p>
        </w:tc>
        <w:tc>
          <w:tcPr>
            <w:tcW w:w="1145"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863DCF" w:rsidP="00B534F8">
            <w:pPr>
              <w:jc w:val="right"/>
              <w:rPr>
                <w:rFonts w:ascii="Times New Roman" w:hAnsi="Times New Roman" w:cs="Times New Roman"/>
                <w:sz w:val="22"/>
                <w:szCs w:val="22"/>
              </w:rPr>
            </w:pPr>
            <w:r w:rsidRPr="00863DCF">
              <w:rPr>
                <w:rFonts w:ascii="Times New Roman" w:hAnsi="Times New Roman" w:cs="Times New Roman"/>
                <w:sz w:val="22"/>
                <w:szCs w:val="22"/>
              </w:rPr>
              <w:t>23,7</w:t>
            </w:r>
          </w:p>
        </w:tc>
        <w:tc>
          <w:tcPr>
            <w:tcW w:w="1220"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863DCF" w:rsidP="00B534F8">
            <w:pPr>
              <w:jc w:val="right"/>
              <w:rPr>
                <w:rFonts w:ascii="Times New Roman" w:hAnsi="Times New Roman" w:cs="Times New Roman"/>
                <w:sz w:val="22"/>
                <w:szCs w:val="22"/>
              </w:rPr>
            </w:pPr>
            <w:r>
              <w:rPr>
                <w:rFonts w:ascii="Times New Roman" w:hAnsi="Times New Roman" w:cs="Times New Roman"/>
                <w:sz w:val="22"/>
                <w:szCs w:val="22"/>
              </w:rPr>
              <w:t>19,5</w:t>
            </w:r>
          </w:p>
        </w:tc>
        <w:tc>
          <w:tcPr>
            <w:tcW w:w="960" w:type="dxa"/>
            <w:tcBorders>
              <w:top w:val="single" w:sz="4" w:space="0" w:color="000000"/>
              <w:left w:val="single" w:sz="4" w:space="0" w:color="000000"/>
              <w:bottom w:val="single" w:sz="4" w:space="0" w:color="000000"/>
              <w:right w:val="single" w:sz="8" w:space="0" w:color="000000"/>
              <w:tl2br w:val="nil"/>
              <w:tr2bl w:val="nil"/>
            </w:tcBorders>
            <w:textDirection w:val="lrTb"/>
            <w:vAlign w:val="bottom"/>
          </w:tcPr>
          <w:p w:rsidR="00B534F8" w:rsidRPr="00863DCF" w:rsidP="00B534F8">
            <w:pPr>
              <w:jc w:val="right"/>
              <w:rPr>
                <w:rFonts w:ascii="Times New Roman" w:hAnsi="Times New Roman" w:cs="Times New Roman"/>
                <w:sz w:val="22"/>
                <w:szCs w:val="22"/>
              </w:rPr>
            </w:pPr>
            <w:r>
              <w:rPr>
                <w:rFonts w:ascii="Times New Roman" w:hAnsi="Times New Roman" w:cs="Times New Roman"/>
                <w:sz w:val="22"/>
                <w:szCs w:val="22"/>
              </w:rPr>
              <w:t>-4,2</w:t>
            </w:r>
          </w:p>
        </w:tc>
      </w:tr>
      <w:tr>
        <w:tblPrEx>
          <w:tblW w:w="8740" w:type="dxa"/>
          <w:tblInd w:w="55" w:type="dxa"/>
          <w:tblCellMar>
            <w:left w:w="70" w:type="dxa"/>
            <w:right w:w="70" w:type="dxa"/>
          </w:tblCellMar>
        </w:tblPrEx>
        <w:trPr>
          <w:trHeight w:val="231"/>
        </w:trPr>
        <w:tc>
          <w:tcPr>
            <w:tcW w:w="5415" w:type="dxa"/>
            <w:tcBorders>
              <w:top w:val="single" w:sz="4" w:space="0" w:color="000000"/>
              <w:left w:val="single" w:sz="8" w:space="0" w:color="000000"/>
              <w:bottom w:val="single" w:sz="4" w:space="0" w:color="000000"/>
              <w:right w:val="single" w:sz="4" w:space="0" w:color="000000"/>
              <w:tl2br w:val="nil"/>
              <w:tr2bl w:val="nil"/>
            </w:tcBorders>
            <w:textDirection w:val="lrTb"/>
            <w:vAlign w:val="bottom"/>
          </w:tcPr>
          <w:p w:rsidR="00B534F8" w:rsidRPr="00863DCF" w:rsidP="00B534F8">
            <w:pPr>
              <w:rPr>
                <w:rFonts w:ascii="Times New Roman" w:hAnsi="Times New Roman" w:cs="Times New Roman"/>
                <w:sz w:val="22"/>
                <w:szCs w:val="22"/>
              </w:rPr>
            </w:pPr>
            <w:r w:rsidRPr="00863DCF">
              <w:rPr>
                <w:rFonts w:ascii="Times New Roman" w:hAnsi="Times New Roman" w:cs="Times New Roman"/>
                <w:sz w:val="22"/>
                <w:szCs w:val="22"/>
              </w:rPr>
              <w:t>Vklad do Rozvojovej banky Rady Európy – rezervný fond</w:t>
            </w:r>
          </w:p>
        </w:tc>
        <w:tc>
          <w:tcPr>
            <w:tcW w:w="1145"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863DCF" w:rsidP="00B534F8">
            <w:pPr>
              <w:jc w:val="right"/>
              <w:rPr>
                <w:rFonts w:ascii="Times New Roman" w:hAnsi="Times New Roman" w:cs="Times New Roman"/>
                <w:sz w:val="22"/>
                <w:szCs w:val="22"/>
              </w:rPr>
            </w:pPr>
            <w:r w:rsidRPr="00863DCF">
              <w:rPr>
                <w:rFonts w:ascii="Times New Roman" w:hAnsi="Times New Roman" w:cs="Times New Roman"/>
                <w:sz w:val="22"/>
                <w:szCs w:val="22"/>
              </w:rPr>
              <w:t>11,1</w:t>
            </w:r>
          </w:p>
        </w:tc>
        <w:tc>
          <w:tcPr>
            <w:tcW w:w="1220"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863DCF" w:rsidP="00B534F8">
            <w:pPr>
              <w:jc w:val="right"/>
              <w:rPr>
                <w:rFonts w:ascii="Times New Roman" w:hAnsi="Times New Roman" w:cs="Times New Roman"/>
                <w:sz w:val="22"/>
                <w:szCs w:val="22"/>
              </w:rPr>
            </w:pPr>
            <w:r>
              <w:rPr>
                <w:rFonts w:ascii="Times New Roman" w:hAnsi="Times New Roman" w:cs="Times New Roman"/>
                <w:sz w:val="22"/>
                <w:szCs w:val="22"/>
              </w:rPr>
              <w:t>10,1</w:t>
            </w:r>
          </w:p>
        </w:tc>
        <w:tc>
          <w:tcPr>
            <w:tcW w:w="960" w:type="dxa"/>
            <w:tcBorders>
              <w:top w:val="single" w:sz="4" w:space="0" w:color="000000"/>
              <w:left w:val="single" w:sz="4" w:space="0" w:color="000000"/>
              <w:bottom w:val="single" w:sz="4" w:space="0" w:color="000000"/>
              <w:right w:val="single" w:sz="8" w:space="0" w:color="000000"/>
              <w:tl2br w:val="nil"/>
              <w:tr2bl w:val="nil"/>
            </w:tcBorders>
            <w:textDirection w:val="lrTb"/>
            <w:vAlign w:val="bottom"/>
          </w:tcPr>
          <w:p w:rsidR="00B534F8" w:rsidRPr="00863DCF" w:rsidP="00B534F8">
            <w:pPr>
              <w:jc w:val="right"/>
              <w:rPr>
                <w:rFonts w:ascii="Times New Roman" w:hAnsi="Times New Roman" w:cs="Times New Roman"/>
                <w:sz w:val="22"/>
                <w:szCs w:val="22"/>
              </w:rPr>
            </w:pPr>
            <w:r>
              <w:rPr>
                <w:rFonts w:ascii="Times New Roman" w:hAnsi="Times New Roman" w:cs="Times New Roman"/>
                <w:sz w:val="22"/>
                <w:szCs w:val="22"/>
              </w:rPr>
              <w:t>-1,0</w:t>
            </w:r>
          </w:p>
        </w:tc>
      </w:tr>
      <w:tr>
        <w:tblPrEx>
          <w:tblW w:w="8740" w:type="dxa"/>
          <w:tblInd w:w="55" w:type="dxa"/>
          <w:tblCellMar>
            <w:left w:w="70" w:type="dxa"/>
            <w:right w:w="70" w:type="dxa"/>
          </w:tblCellMar>
        </w:tblPrEx>
        <w:trPr>
          <w:trHeight w:val="77"/>
        </w:trPr>
        <w:tc>
          <w:tcPr>
            <w:tcW w:w="5415" w:type="dxa"/>
            <w:tcBorders>
              <w:top w:val="single" w:sz="4" w:space="0" w:color="000000"/>
              <w:left w:val="single" w:sz="8" w:space="0" w:color="000000"/>
              <w:bottom w:val="single" w:sz="4" w:space="0" w:color="000000"/>
              <w:right w:val="single" w:sz="4" w:space="0" w:color="000000"/>
              <w:tl2br w:val="nil"/>
              <w:tr2bl w:val="nil"/>
            </w:tcBorders>
            <w:textDirection w:val="lrTb"/>
            <w:vAlign w:val="bottom"/>
          </w:tcPr>
          <w:p w:rsidR="00B534F8" w:rsidRPr="00863DCF" w:rsidP="00B534F8">
            <w:pPr>
              <w:rPr>
                <w:rFonts w:ascii="Times New Roman" w:hAnsi="Times New Roman" w:cs="Times New Roman"/>
                <w:sz w:val="22"/>
                <w:szCs w:val="22"/>
              </w:rPr>
            </w:pPr>
            <w:r w:rsidRPr="00863DCF">
              <w:rPr>
                <w:rFonts w:ascii="Times New Roman" w:hAnsi="Times New Roman" w:cs="Times New Roman"/>
                <w:sz w:val="22"/>
                <w:szCs w:val="22"/>
              </w:rPr>
              <w:t>Dočasný zverenecký fond – IDA</w:t>
            </w:r>
          </w:p>
        </w:tc>
        <w:tc>
          <w:tcPr>
            <w:tcW w:w="1145"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863DCF" w:rsidP="00B534F8">
            <w:pPr>
              <w:jc w:val="right"/>
              <w:rPr>
                <w:rFonts w:ascii="Times New Roman" w:hAnsi="Times New Roman" w:cs="Times New Roman"/>
                <w:sz w:val="22"/>
                <w:szCs w:val="22"/>
              </w:rPr>
            </w:pPr>
            <w:r w:rsidRPr="00863DCF">
              <w:rPr>
                <w:rFonts w:ascii="Times New Roman" w:hAnsi="Times New Roman" w:cs="Times New Roman"/>
                <w:sz w:val="22"/>
                <w:szCs w:val="22"/>
              </w:rPr>
              <w:t>45,5</w:t>
            </w:r>
          </w:p>
        </w:tc>
        <w:tc>
          <w:tcPr>
            <w:tcW w:w="1220"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863DCF" w:rsidP="00B534F8">
            <w:pPr>
              <w:jc w:val="right"/>
              <w:rPr>
                <w:rFonts w:ascii="Times New Roman" w:hAnsi="Times New Roman" w:cs="Times New Roman"/>
                <w:sz w:val="22"/>
                <w:szCs w:val="22"/>
              </w:rPr>
            </w:pPr>
            <w:r>
              <w:rPr>
                <w:rFonts w:ascii="Times New Roman" w:hAnsi="Times New Roman" w:cs="Times New Roman"/>
                <w:sz w:val="22"/>
                <w:szCs w:val="22"/>
              </w:rPr>
              <w:t>37,4</w:t>
            </w:r>
          </w:p>
        </w:tc>
        <w:tc>
          <w:tcPr>
            <w:tcW w:w="960" w:type="dxa"/>
            <w:tcBorders>
              <w:top w:val="single" w:sz="4" w:space="0" w:color="000000"/>
              <w:left w:val="single" w:sz="4" w:space="0" w:color="000000"/>
              <w:bottom w:val="single" w:sz="4" w:space="0" w:color="000000"/>
              <w:right w:val="single" w:sz="8" w:space="0" w:color="000000"/>
              <w:tl2br w:val="nil"/>
              <w:tr2bl w:val="nil"/>
            </w:tcBorders>
            <w:textDirection w:val="lrTb"/>
            <w:vAlign w:val="bottom"/>
          </w:tcPr>
          <w:p w:rsidR="00B534F8" w:rsidRPr="00863DCF" w:rsidP="00B534F8">
            <w:pPr>
              <w:jc w:val="right"/>
              <w:rPr>
                <w:rFonts w:ascii="Times New Roman" w:hAnsi="Times New Roman" w:cs="Times New Roman"/>
                <w:sz w:val="22"/>
                <w:szCs w:val="22"/>
              </w:rPr>
            </w:pPr>
            <w:r>
              <w:rPr>
                <w:rFonts w:ascii="Times New Roman" w:hAnsi="Times New Roman" w:cs="Times New Roman"/>
                <w:sz w:val="22"/>
                <w:szCs w:val="22"/>
              </w:rPr>
              <w:t>-8,1</w:t>
            </w:r>
          </w:p>
        </w:tc>
      </w:tr>
      <w:tr>
        <w:tblPrEx>
          <w:tblW w:w="8740" w:type="dxa"/>
          <w:tblInd w:w="55" w:type="dxa"/>
          <w:tblCellMar>
            <w:left w:w="70" w:type="dxa"/>
            <w:right w:w="70" w:type="dxa"/>
          </w:tblCellMar>
        </w:tblPrEx>
        <w:trPr>
          <w:trHeight w:val="171"/>
        </w:trPr>
        <w:tc>
          <w:tcPr>
            <w:tcW w:w="5415" w:type="dxa"/>
            <w:tcBorders>
              <w:top w:val="single" w:sz="4" w:space="0" w:color="000000"/>
              <w:left w:val="single" w:sz="8" w:space="0" w:color="000000"/>
              <w:bottom w:val="single" w:sz="4" w:space="0" w:color="000000"/>
              <w:right w:val="single" w:sz="4" w:space="0" w:color="000000"/>
              <w:tl2br w:val="nil"/>
              <w:tr2bl w:val="nil"/>
            </w:tcBorders>
            <w:textDirection w:val="lrTb"/>
            <w:vAlign w:val="bottom"/>
          </w:tcPr>
          <w:p w:rsidR="00B534F8" w:rsidRPr="00863DCF" w:rsidP="00B534F8">
            <w:pPr>
              <w:rPr>
                <w:rFonts w:ascii="Times New Roman" w:hAnsi="Times New Roman" w:cs="Times New Roman"/>
                <w:sz w:val="22"/>
                <w:szCs w:val="22"/>
              </w:rPr>
            </w:pPr>
            <w:r w:rsidRPr="00863DCF">
              <w:rPr>
                <w:rFonts w:ascii="Times New Roman" w:hAnsi="Times New Roman" w:cs="Times New Roman"/>
                <w:sz w:val="22"/>
                <w:szCs w:val="22"/>
              </w:rPr>
              <w:t>Vklad do Európskej investičnej banky – rezervný fond</w:t>
            </w:r>
          </w:p>
        </w:tc>
        <w:tc>
          <w:tcPr>
            <w:tcW w:w="1145"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863DCF" w:rsidP="00B534F8">
            <w:pPr>
              <w:jc w:val="right"/>
              <w:rPr>
                <w:rFonts w:ascii="Times New Roman" w:hAnsi="Times New Roman" w:cs="Times New Roman"/>
                <w:sz w:val="22"/>
                <w:szCs w:val="22"/>
              </w:rPr>
            </w:pPr>
            <w:r w:rsidRPr="00863DCF">
              <w:rPr>
                <w:rFonts w:ascii="Times New Roman" w:hAnsi="Times New Roman" w:cs="Times New Roman"/>
                <w:sz w:val="22"/>
                <w:szCs w:val="22"/>
              </w:rPr>
              <w:t>512,3</w:t>
            </w:r>
          </w:p>
        </w:tc>
        <w:tc>
          <w:tcPr>
            <w:tcW w:w="1220"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863DCF" w:rsidP="00B534F8">
            <w:pPr>
              <w:jc w:val="right"/>
              <w:rPr>
                <w:rFonts w:ascii="Times New Roman" w:hAnsi="Times New Roman" w:cs="Times New Roman"/>
                <w:sz w:val="22"/>
                <w:szCs w:val="22"/>
              </w:rPr>
            </w:pPr>
            <w:r>
              <w:rPr>
                <w:rFonts w:ascii="Times New Roman" w:hAnsi="Times New Roman" w:cs="Times New Roman"/>
                <w:sz w:val="22"/>
                <w:szCs w:val="22"/>
              </w:rPr>
              <w:t>702,0</w:t>
            </w:r>
          </w:p>
        </w:tc>
        <w:tc>
          <w:tcPr>
            <w:tcW w:w="960" w:type="dxa"/>
            <w:tcBorders>
              <w:top w:val="single" w:sz="4" w:space="0" w:color="000000"/>
              <w:left w:val="single" w:sz="4" w:space="0" w:color="000000"/>
              <w:bottom w:val="single" w:sz="4" w:space="0" w:color="000000"/>
              <w:right w:val="single" w:sz="8" w:space="0" w:color="000000"/>
              <w:tl2br w:val="nil"/>
              <w:tr2bl w:val="nil"/>
            </w:tcBorders>
            <w:textDirection w:val="lrTb"/>
            <w:vAlign w:val="bottom"/>
          </w:tcPr>
          <w:p w:rsidR="00B534F8" w:rsidRPr="00863DCF" w:rsidP="00B534F8">
            <w:pPr>
              <w:jc w:val="right"/>
              <w:rPr>
                <w:rFonts w:ascii="Times New Roman" w:hAnsi="Times New Roman" w:cs="Times New Roman"/>
                <w:sz w:val="22"/>
                <w:szCs w:val="22"/>
              </w:rPr>
            </w:pPr>
            <w:r>
              <w:rPr>
                <w:rFonts w:ascii="Times New Roman" w:hAnsi="Times New Roman" w:cs="Times New Roman"/>
                <w:sz w:val="22"/>
                <w:szCs w:val="22"/>
              </w:rPr>
              <w:t>189,7</w:t>
            </w:r>
          </w:p>
        </w:tc>
      </w:tr>
      <w:tr>
        <w:tblPrEx>
          <w:tblW w:w="8740" w:type="dxa"/>
          <w:tblInd w:w="55" w:type="dxa"/>
          <w:tblCellMar>
            <w:left w:w="70" w:type="dxa"/>
            <w:right w:w="70" w:type="dxa"/>
          </w:tblCellMar>
        </w:tblPrEx>
        <w:trPr>
          <w:trHeight w:val="60"/>
        </w:trPr>
        <w:tc>
          <w:tcPr>
            <w:tcW w:w="5415" w:type="dxa"/>
            <w:tcBorders>
              <w:top w:val="single" w:sz="4" w:space="0" w:color="000000"/>
              <w:left w:val="single" w:sz="8" w:space="0" w:color="000000"/>
              <w:bottom w:val="single" w:sz="4" w:space="0" w:color="000000"/>
              <w:right w:val="single" w:sz="4" w:space="0" w:color="000000"/>
              <w:tl2br w:val="nil"/>
              <w:tr2bl w:val="nil"/>
            </w:tcBorders>
            <w:textDirection w:val="lrTb"/>
            <w:vAlign w:val="bottom"/>
          </w:tcPr>
          <w:p w:rsidR="00B534F8" w:rsidRPr="00863DCF" w:rsidP="00B534F8">
            <w:pPr>
              <w:rPr>
                <w:rFonts w:ascii="Times New Roman" w:hAnsi="Times New Roman" w:cs="Times New Roman"/>
                <w:b/>
                <w:bCs/>
                <w:sz w:val="22"/>
                <w:szCs w:val="22"/>
              </w:rPr>
            </w:pPr>
            <w:r w:rsidRPr="00863DCF">
              <w:rPr>
                <w:rFonts w:ascii="Times New Roman" w:hAnsi="Times New Roman" w:cs="Times New Roman"/>
                <w:b/>
                <w:bCs/>
                <w:sz w:val="22"/>
                <w:szCs w:val="22"/>
              </w:rPr>
              <w:t>Cenné papiere vo vlastníctve štátu</w:t>
            </w:r>
          </w:p>
        </w:tc>
        <w:tc>
          <w:tcPr>
            <w:tcW w:w="1145"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863DCF" w:rsidP="00B534F8">
            <w:pPr>
              <w:jc w:val="right"/>
              <w:rPr>
                <w:rFonts w:ascii="Times New Roman" w:hAnsi="Times New Roman" w:cs="Times New Roman"/>
                <w:b/>
                <w:bCs/>
                <w:sz w:val="22"/>
                <w:szCs w:val="22"/>
              </w:rPr>
            </w:pPr>
            <w:r w:rsidRPr="00863DCF">
              <w:rPr>
                <w:rFonts w:ascii="Times New Roman" w:hAnsi="Times New Roman" w:cs="Times New Roman"/>
                <w:b/>
                <w:bCs/>
                <w:sz w:val="22"/>
                <w:szCs w:val="22"/>
              </w:rPr>
              <w:t>2,8</w:t>
            </w:r>
          </w:p>
        </w:tc>
        <w:tc>
          <w:tcPr>
            <w:tcW w:w="1220"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863DCF" w:rsidP="00B534F8">
            <w:pPr>
              <w:jc w:val="right"/>
              <w:rPr>
                <w:rFonts w:ascii="Times New Roman" w:hAnsi="Times New Roman" w:cs="Times New Roman"/>
                <w:b/>
                <w:bCs/>
                <w:sz w:val="22"/>
                <w:szCs w:val="22"/>
              </w:rPr>
            </w:pPr>
            <w:r>
              <w:rPr>
                <w:rFonts w:ascii="Times New Roman" w:hAnsi="Times New Roman" w:cs="Times New Roman"/>
                <w:b/>
                <w:bCs/>
                <w:sz w:val="22"/>
                <w:szCs w:val="22"/>
              </w:rPr>
              <w:t>2,5</w:t>
            </w:r>
          </w:p>
        </w:tc>
        <w:tc>
          <w:tcPr>
            <w:tcW w:w="960" w:type="dxa"/>
            <w:tcBorders>
              <w:top w:val="single" w:sz="4" w:space="0" w:color="000000"/>
              <w:left w:val="single" w:sz="4" w:space="0" w:color="000000"/>
              <w:bottom w:val="single" w:sz="4" w:space="0" w:color="000000"/>
              <w:right w:val="single" w:sz="8" w:space="0" w:color="000000"/>
              <w:tl2br w:val="nil"/>
              <w:tr2bl w:val="nil"/>
            </w:tcBorders>
            <w:textDirection w:val="lrTb"/>
            <w:vAlign w:val="bottom"/>
          </w:tcPr>
          <w:p w:rsidR="00B534F8" w:rsidRPr="00C828C2" w:rsidP="00B534F8">
            <w:pPr>
              <w:jc w:val="right"/>
              <w:rPr>
                <w:rFonts w:ascii="Times New Roman" w:hAnsi="Times New Roman" w:cs="Times New Roman"/>
                <w:b/>
                <w:sz w:val="22"/>
                <w:szCs w:val="22"/>
              </w:rPr>
            </w:pPr>
            <w:r w:rsidRPr="00C828C2">
              <w:rPr>
                <w:rFonts w:ascii="Times New Roman" w:hAnsi="Times New Roman" w:cs="Times New Roman"/>
                <w:b/>
                <w:sz w:val="22"/>
                <w:szCs w:val="22"/>
              </w:rPr>
              <w:t>-0,3</w:t>
            </w:r>
          </w:p>
        </w:tc>
      </w:tr>
      <w:tr>
        <w:tblPrEx>
          <w:tblW w:w="8740" w:type="dxa"/>
          <w:tblInd w:w="55" w:type="dxa"/>
          <w:tblCellMar>
            <w:left w:w="70" w:type="dxa"/>
            <w:right w:w="70" w:type="dxa"/>
          </w:tblCellMar>
        </w:tblPrEx>
        <w:trPr>
          <w:trHeight w:val="136"/>
        </w:trPr>
        <w:tc>
          <w:tcPr>
            <w:tcW w:w="5415" w:type="dxa"/>
            <w:tcBorders>
              <w:top w:val="single" w:sz="4" w:space="0" w:color="000000"/>
              <w:left w:val="single" w:sz="8" w:space="0" w:color="000000"/>
              <w:bottom w:val="single" w:sz="4" w:space="0" w:color="000000"/>
              <w:right w:val="single" w:sz="4" w:space="0" w:color="000000"/>
              <w:tl2br w:val="nil"/>
              <w:tr2bl w:val="nil"/>
            </w:tcBorders>
            <w:textDirection w:val="lrTb"/>
            <w:vAlign w:val="bottom"/>
          </w:tcPr>
          <w:p w:rsidR="00B534F8" w:rsidRPr="00863DCF" w:rsidP="00B534F8">
            <w:pPr>
              <w:rPr>
                <w:rFonts w:ascii="Times New Roman" w:hAnsi="Times New Roman" w:cs="Times New Roman"/>
                <w:b/>
                <w:bCs/>
                <w:sz w:val="22"/>
                <w:szCs w:val="22"/>
              </w:rPr>
            </w:pPr>
            <w:r w:rsidRPr="00863DCF">
              <w:rPr>
                <w:rFonts w:ascii="Times New Roman" w:hAnsi="Times New Roman" w:cs="Times New Roman"/>
                <w:b/>
                <w:bCs/>
                <w:sz w:val="22"/>
                <w:szCs w:val="22"/>
              </w:rPr>
              <w:t>Bondy Argentínskej republiky</w:t>
            </w:r>
          </w:p>
        </w:tc>
        <w:tc>
          <w:tcPr>
            <w:tcW w:w="1145"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863DCF" w:rsidP="00B534F8">
            <w:pPr>
              <w:jc w:val="right"/>
              <w:rPr>
                <w:rFonts w:ascii="Times New Roman" w:hAnsi="Times New Roman" w:cs="Times New Roman"/>
                <w:b/>
                <w:bCs/>
                <w:sz w:val="22"/>
                <w:szCs w:val="22"/>
              </w:rPr>
            </w:pPr>
            <w:r w:rsidRPr="00863DCF">
              <w:rPr>
                <w:rFonts w:ascii="Times New Roman" w:hAnsi="Times New Roman" w:cs="Times New Roman"/>
                <w:b/>
                <w:bCs/>
                <w:sz w:val="22"/>
                <w:szCs w:val="22"/>
              </w:rPr>
              <w:t>23,8</w:t>
            </w:r>
          </w:p>
        </w:tc>
        <w:tc>
          <w:tcPr>
            <w:tcW w:w="1220" w:type="dxa"/>
            <w:tcBorders>
              <w:top w:val="single" w:sz="4" w:space="0" w:color="000000"/>
              <w:left w:val="single" w:sz="4" w:space="0" w:color="000000"/>
              <w:bottom w:val="single" w:sz="4" w:space="0" w:color="000000"/>
              <w:right w:val="single" w:sz="4" w:space="0" w:color="000000"/>
              <w:tl2br w:val="nil"/>
              <w:tr2bl w:val="nil"/>
            </w:tcBorders>
            <w:textDirection w:val="lrTb"/>
            <w:vAlign w:val="bottom"/>
          </w:tcPr>
          <w:p w:rsidR="00B534F8" w:rsidRPr="00863DCF" w:rsidP="00B534F8">
            <w:pPr>
              <w:jc w:val="right"/>
              <w:rPr>
                <w:rFonts w:ascii="Times New Roman" w:hAnsi="Times New Roman" w:cs="Times New Roman"/>
                <w:b/>
                <w:bCs/>
                <w:sz w:val="22"/>
                <w:szCs w:val="22"/>
              </w:rPr>
            </w:pPr>
            <w:r>
              <w:rPr>
                <w:rFonts w:ascii="Times New Roman" w:hAnsi="Times New Roman" w:cs="Times New Roman"/>
                <w:b/>
                <w:bCs/>
                <w:sz w:val="22"/>
                <w:szCs w:val="22"/>
              </w:rPr>
              <w:t>19,5</w:t>
            </w:r>
          </w:p>
        </w:tc>
        <w:tc>
          <w:tcPr>
            <w:tcW w:w="960" w:type="dxa"/>
            <w:tcBorders>
              <w:top w:val="single" w:sz="4" w:space="0" w:color="000000"/>
              <w:left w:val="single" w:sz="4" w:space="0" w:color="000000"/>
              <w:bottom w:val="single" w:sz="4" w:space="0" w:color="000000"/>
              <w:right w:val="single" w:sz="8" w:space="0" w:color="000000"/>
              <w:tl2br w:val="nil"/>
              <w:tr2bl w:val="nil"/>
            </w:tcBorders>
            <w:textDirection w:val="lrTb"/>
            <w:vAlign w:val="bottom"/>
          </w:tcPr>
          <w:p w:rsidR="00B534F8" w:rsidRPr="00C828C2" w:rsidP="00B534F8">
            <w:pPr>
              <w:jc w:val="right"/>
              <w:rPr>
                <w:rFonts w:ascii="Times New Roman" w:hAnsi="Times New Roman" w:cs="Times New Roman"/>
                <w:b/>
                <w:sz w:val="22"/>
                <w:szCs w:val="22"/>
              </w:rPr>
            </w:pPr>
            <w:r w:rsidRPr="00C828C2">
              <w:rPr>
                <w:rFonts w:ascii="Times New Roman" w:hAnsi="Times New Roman" w:cs="Times New Roman"/>
                <w:b/>
                <w:sz w:val="22"/>
                <w:szCs w:val="22"/>
              </w:rPr>
              <w:t>-4,3</w:t>
            </w:r>
          </w:p>
        </w:tc>
      </w:tr>
      <w:tr>
        <w:tblPrEx>
          <w:tblW w:w="8740" w:type="dxa"/>
          <w:tblInd w:w="55" w:type="dxa"/>
          <w:tblCellMar>
            <w:left w:w="70" w:type="dxa"/>
            <w:right w:w="70" w:type="dxa"/>
          </w:tblCellMar>
        </w:tblPrEx>
        <w:trPr>
          <w:trHeight w:hRule="exact" w:val="643"/>
        </w:trPr>
        <w:tc>
          <w:tcPr>
            <w:tcW w:w="5415" w:type="dxa"/>
            <w:tcBorders>
              <w:top w:val="single" w:sz="4" w:space="0" w:color="000000"/>
              <w:left w:val="single" w:sz="8" w:space="0" w:color="000000"/>
              <w:bottom w:val="double" w:sz="6" w:space="0" w:color="auto"/>
              <w:right w:val="single" w:sz="4" w:space="0" w:color="000000"/>
              <w:tl2br w:val="nil"/>
              <w:tr2bl w:val="nil"/>
            </w:tcBorders>
            <w:textDirection w:val="lrTb"/>
            <w:vAlign w:val="top"/>
          </w:tcPr>
          <w:p w:rsidR="00B534F8" w:rsidRPr="00863DCF" w:rsidP="0097323D">
            <w:pPr>
              <w:rPr>
                <w:rFonts w:ascii="Times New Roman" w:hAnsi="Times New Roman" w:cs="Times New Roman"/>
                <w:b/>
                <w:bCs/>
                <w:sz w:val="22"/>
                <w:szCs w:val="22"/>
              </w:rPr>
            </w:pPr>
            <w:r w:rsidRPr="00863DCF">
              <w:rPr>
                <w:rFonts w:ascii="Times New Roman" w:hAnsi="Times New Roman" w:cs="Times New Roman"/>
                <w:b/>
                <w:bCs/>
                <w:sz w:val="22"/>
                <w:szCs w:val="22"/>
              </w:rPr>
              <w:t>Vklady štátu v medzinárodných inštitúciách,</w:t>
            </w:r>
          </w:p>
          <w:p w:rsidR="00B534F8" w:rsidRPr="00863DCF" w:rsidP="0097323D">
            <w:pPr>
              <w:rPr>
                <w:rFonts w:ascii="Times New Roman" w:hAnsi="Times New Roman" w:cs="Times New Roman"/>
                <w:b/>
                <w:bCs/>
                <w:sz w:val="22"/>
                <w:szCs w:val="22"/>
              </w:rPr>
            </w:pPr>
            <w:r w:rsidRPr="00863DCF">
              <w:rPr>
                <w:rFonts w:ascii="Times New Roman" w:hAnsi="Times New Roman" w:cs="Times New Roman"/>
                <w:b/>
                <w:bCs/>
                <w:sz w:val="22"/>
                <w:szCs w:val="22"/>
              </w:rPr>
              <w:t>cenné papiere a ostatné finančné investície spolu</w:t>
            </w:r>
          </w:p>
        </w:tc>
        <w:tc>
          <w:tcPr>
            <w:tcW w:w="1145" w:type="dxa"/>
            <w:tcBorders>
              <w:top w:val="single" w:sz="4" w:space="0" w:color="000000"/>
              <w:left w:val="single" w:sz="4" w:space="0" w:color="000000"/>
              <w:bottom w:val="double" w:sz="6" w:space="0" w:color="auto"/>
              <w:right w:val="single" w:sz="4" w:space="0" w:color="000000"/>
              <w:tl2br w:val="nil"/>
              <w:tr2bl w:val="nil"/>
            </w:tcBorders>
            <w:textDirection w:val="lrTb"/>
            <w:vAlign w:val="center"/>
          </w:tcPr>
          <w:p w:rsidR="00B534F8" w:rsidRPr="00863DCF" w:rsidP="0097323D">
            <w:pPr>
              <w:jc w:val="right"/>
              <w:rPr>
                <w:rFonts w:ascii="Times New Roman" w:hAnsi="Times New Roman" w:cs="Times New Roman"/>
                <w:b/>
                <w:bCs/>
                <w:sz w:val="22"/>
                <w:szCs w:val="22"/>
              </w:rPr>
            </w:pPr>
            <w:r w:rsidRPr="00863DCF">
              <w:rPr>
                <w:rFonts w:ascii="Times New Roman" w:hAnsi="Times New Roman" w:cs="Times New Roman"/>
                <w:b/>
                <w:bCs/>
                <w:sz w:val="22"/>
                <w:szCs w:val="22"/>
              </w:rPr>
              <w:t>3 636,8</w:t>
            </w:r>
          </w:p>
        </w:tc>
        <w:tc>
          <w:tcPr>
            <w:tcW w:w="1220" w:type="dxa"/>
            <w:tcBorders>
              <w:top w:val="single" w:sz="4" w:space="0" w:color="000000"/>
              <w:left w:val="single" w:sz="4" w:space="0" w:color="000000"/>
              <w:bottom w:val="double" w:sz="6" w:space="0" w:color="auto"/>
              <w:right w:val="single" w:sz="4" w:space="0" w:color="000000"/>
              <w:tl2br w:val="nil"/>
              <w:tr2bl w:val="nil"/>
            </w:tcBorders>
            <w:textDirection w:val="lrTb"/>
            <w:vAlign w:val="center"/>
          </w:tcPr>
          <w:p w:rsidR="00B534F8" w:rsidRPr="00863DCF" w:rsidP="0097323D">
            <w:pPr>
              <w:jc w:val="right"/>
              <w:rPr>
                <w:rFonts w:ascii="Times New Roman" w:hAnsi="Times New Roman" w:cs="Times New Roman"/>
                <w:b/>
                <w:bCs/>
                <w:sz w:val="22"/>
                <w:szCs w:val="22"/>
              </w:rPr>
            </w:pPr>
            <w:r>
              <w:rPr>
                <w:rFonts w:ascii="Times New Roman" w:hAnsi="Times New Roman" w:cs="Times New Roman"/>
                <w:b/>
                <w:bCs/>
                <w:sz w:val="22"/>
                <w:szCs w:val="22"/>
              </w:rPr>
              <w:t>3 660,9</w:t>
            </w:r>
          </w:p>
        </w:tc>
        <w:tc>
          <w:tcPr>
            <w:tcW w:w="960" w:type="dxa"/>
            <w:tcBorders>
              <w:top w:val="single" w:sz="4" w:space="0" w:color="000000"/>
              <w:left w:val="single" w:sz="4" w:space="0" w:color="000000"/>
              <w:bottom w:val="double" w:sz="6" w:space="0" w:color="auto"/>
              <w:right w:val="single" w:sz="8" w:space="0" w:color="000000"/>
              <w:tl2br w:val="nil"/>
              <w:tr2bl w:val="nil"/>
            </w:tcBorders>
            <w:textDirection w:val="lrTb"/>
            <w:vAlign w:val="center"/>
          </w:tcPr>
          <w:p w:rsidR="00B534F8" w:rsidRPr="00863DCF" w:rsidP="0097323D">
            <w:pPr>
              <w:jc w:val="right"/>
              <w:rPr>
                <w:rFonts w:ascii="Times New Roman" w:hAnsi="Times New Roman" w:cs="Times New Roman"/>
                <w:b/>
                <w:bCs/>
                <w:sz w:val="22"/>
                <w:szCs w:val="22"/>
              </w:rPr>
            </w:pPr>
            <w:r>
              <w:rPr>
                <w:rFonts w:ascii="Times New Roman" w:hAnsi="Times New Roman" w:cs="Times New Roman"/>
                <w:b/>
                <w:bCs/>
                <w:sz w:val="22"/>
                <w:szCs w:val="22"/>
              </w:rPr>
              <w:t>24,1</w:t>
            </w:r>
          </w:p>
        </w:tc>
      </w:tr>
    </w:tbl>
    <w:p w:rsidR="00B534F8" w:rsidRPr="0048644A" w:rsidP="00B534F8">
      <w:pPr>
        <w:spacing w:line="360" w:lineRule="auto"/>
        <w:jc w:val="both"/>
        <w:rPr>
          <w:rFonts w:ascii="Times New Roman" w:hAnsi="Times New Roman" w:cs="Times New Roman"/>
          <w:sz w:val="20"/>
          <w:szCs w:val="20"/>
        </w:rPr>
      </w:pPr>
      <w:r w:rsidRPr="0048644A">
        <w:rPr>
          <w:rFonts w:ascii="Times New Roman" w:hAnsi="Times New Roman" w:cs="Times New Roman"/>
          <w:sz w:val="20"/>
          <w:szCs w:val="20"/>
        </w:rPr>
        <w:t>Zdroj: Ministerstvo financií SR</w:t>
      </w:r>
    </w:p>
    <w:p w:rsidR="00B534F8" w:rsidP="00B534F8">
      <w:pPr>
        <w:spacing w:line="360" w:lineRule="auto"/>
        <w:jc w:val="both"/>
        <w:rPr>
          <w:rFonts w:ascii="Arial Narrow" w:hAnsi="Arial Narrow" w:cs="Times New Roman"/>
        </w:rPr>
      </w:pPr>
    </w:p>
    <w:p w:rsidR="00B534F8" w:rsidRPr="005825A4" w:rsidP="005825A4">
      <w:pPr>
        <w:spacing w:line="360" w:lineRule="auto"/>
        <w:jc w:val="both"/>
        <w:rPr>
          <w:rFonts w:ascii="Times New Roman" w:hAnsi="Times New Roman" w:cs="Times New Roman"/>
        </w:rPr>
      </w:pPr>
      <w:r>
        <w:rPr>
          <w:rFonts w:ascii="Arial Narrow" w:hAnsi="Arial Narrow" w:cs="Times New Roman"/>
        </w:rPr>
        <w:tab/>
      </w:r>
      <w:r w:rsidRPr="002F1B65">
        <w:rPr>
          <w:rFonts w:ascii="Times New Roman" w:hAnsi="Times New Roman" w:cs="Times New Roman"/>
        </w:rPr>
        <w:t>Zníženie cenných papierov vo vlastníctve štátu o 4,6 mil. Sk, ktoré boli nadobudnuté v rámci delenia štátnych finančných aktív  bývalej Československej federácie, nastalo iba z dôvodu kurzových rozdielov zúčtovaných k týmto cenným papierom k 31.12.2006</w:t>
      </w:r>
    </w:p>
    <w:p w:rsidR="00B534F8" w:rsidRPr="00863DCF" w:rsidP="00B534F8">
      <w:pPr>
        <w:jc w:val="center"/>
        <w:rPr>
          <w:rFonts w:ascii="Times New Roman" w:hAnsi="Times New Roman" w:cs="Times New Roman"/>
          <w:b/>
        </w:rPr>
      </w:pPr>
      <w:r w:rsidR="00766559">
        <w:rPr>
          <w:rFonts w:ascii="Times New Roman" w:hAnsi="Times New Roman" w:cs="Times New Roman"/>
          <w:b/>
        </w:rPr>
        <w:t>4</w:t>
      </w:r>
      <w:r w:rsidRPr="00863DCF">
        <w:rPr>
          <w:rFonts w:ascii="Times New Roman" w:hAnsi="Times New Roman" w:cs="Times New Roman"/>
          <w:b/>
        </w:rPr>
        <w:t>.3.1.</w:t>
      </w:r>
      <w:r>
        <w:rPr>
          <w:rFonts w:ascii="Times New Roman" w:hAnsi="Times New Roman" w:cs="Times New Roman"/>
          <w:b/>
        </w:rPr>
        <w:t>4</w:t>
      </w:r>
      <w:r w:rsidRPr="00863DCF">
        <w:rPr>
          <w:rFonts w:ascii="Times New Roman" w:hAnsi="Times New Roman" w:cs="Times New Roman"/>
          <w:b/>
        </w:rPr>
        <w:t>.  Štátne finančné aktíva ako vklady a pohľadávky voči tuzemským organizáciám</w:t>
      </w:r>
    </w:p>
    <w:p w:rsidR="00B534F8" w:rsidRPr="00863DCF" w:rsidP="00B534F8">
      <w:pPr>
        <w:spacing w:line="360" w:lineRule="auto"/>
        <w:rPr>
          <w:rFonts w:ascii="Times New Roman" w:hAnsi="Times New Roman" w:cs="Times New Roman"/>
          <w:b/>
        </w:rPr>
      </w:pPr>
    </w:p>
    <w:p w:rsidR="00B534F8" w:rsidRPr="00863DCF" w:rsidP="00B534F8">
      <w:pPr>
        <w:spacing w:line="360" w:lineRule="auto"/>
        <w:ind w:firstLine="708"/>
        <w:jc w:val="center"/>
        <w:rPr>
          <w:rFonts w:ascii="Times New Roman" w:hAnsi="Times New Roman" w:cs="Times New Roman"/>
          <w:u w:val="single"/>
        </w:rPr>
      </w:pPr>
      <w:r w:rsidRPr="00863DCF">
        <w:rPr>
          <w:rFonts w:ascii="Times New Roman" w:hAnsi="Times New Roman" w:cs="Times New Roman"/>
          <w:u w:val="single"/>
        </w:rPr>
        <w:t>a)  Majetková účasť štátu v tuzemských spoločnostiach</w:t>
      </w:r>
    </w:p>
    <w:p w:rsidR="00B534F8" w:rsidP="00B534F8">
      <w:pPr>
        <w:spacing w:before="120" w:after="120" w:line="360" w:lineRule="auto"/>
        <w:ind w:firstLine="709"/>
        <w:jc w:val="both"/>
        <w:rPr>
          <w:rFonts w:ascii="Times New Roman" w:hAnsi="Times New Roman" w:cs="Times New Roman"/>
        </w:rPr>
      </w:pPr>
      <w:r w:rsidRPr="00863DCF">
        <w:rPr>
          <w:rFonts w:ascii="Times New Roman" w:hAnsi="Times New Roman" w:cs="Times New Roman"/>
        </w:rPr>
        <w:t>V majetkových účastiach štátu v tuzemských spoločnostiach došlo v roku 200</w:t>
      </w:r>
      <w:r>
        <w:rPr>
          <w:rFonts w:ascii="Times New Roman" w:hAnsi="Times New Roman" w:cs="Times New Roman"/>
        </w:rPr>
        <w:t>6</w:t>
      </w:r>
      <w:r w:rsidRPr="00863DCF">
        <w:rPr>
          <w:rFonts w:ascii="Times New Roman" w:hAnsi="Times New Roman" w:cs="Times New Roman"/>
        </w:rPr>
        <w:t xml:space="preserve"> k </w:t>
      </w:r>
      <w:r>
        <w:rPr>
          <w:rFonts w:ascii="Times New Roman" w:hAnsi="Times New Roman" w:cs="Times New Roman"/>
        </w:rPr>
        <w:t>n</w:t>
      </w:r>
      <w:r w:rsidRPr="00863DCF">
        <w:rPr>
          <w:rFonts w:ascii="Times New Roman" w:hAnsi="Times New Roman" w:cs="Times New Roman"/>
        </w:rPr>
        <w:t xml:space="preserve">asledovným zmenám (v mil. Sk): </w:t>
      </w:r>
    </w:p>
    <w:tbl>
      <w:tblPr>
        <w:tblW w:w="9030"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CellMar>
          <w:top w:w="0" w:type="dxa"/>
          <w:left w:w="30" w:type="dxa"/>
          <w:bottom w:w="0" w:type="dxa"/>
          <w:right w:w="30" w:type="dxa"/>
        </w:tblCellMar>
      </w:tblPr>
      <w:tblGrid>
        <w:gridCol w:w="5070"/>
        <w:gridCol w:w="1440"/>
        <w:gridCol w:w="1440"/>
        <w:gridCol w:w="1080"/>
      </w:tblGrid>
      <w:tr>
        <w:tblPrEx>
          <w:tblW w:w="9030"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CellMar>
            <w:top w:w="0" w:type="dxa"/>
            <w:left w:w="30" w:type="dxa"/>
            <w:bottom w:w="0" w:type="dxa"/>
            <w:right w:w="30" w:type="dxa"/>
          </w:tblCellMar>
        </w:tblPrEx>
        <w:trPr>
          <w:trHeight w:val="305"/>
        </w:trPr>
        <w:tc>
          <w:tcPr>
            <w:tcW w:w="5070"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B534F8" w:rsidRPr="00280AFE" w:rsidP="00B534F8">
            <w:pPr>
              <w:autoSpaceDE/>
              <w:autoSpaceDN/>
              <w:jc w:val="center"/>
              <w:rPr>
                <w:rFonts w:ascii="Times New Roman" w:hAnsi="Times New Roman" w:cs="Times New Roman"/>
                <w:b/>
                <w:color w:val="000000"/>
                <w:sz w:val="20"/>
                <w:szCs w:val="20"/>
              </w:rPr>
            </w:pPr>
            <w:r w:rsidRPr="00280AFE">
              <w:rPr>
                <w:rFonts w:ascii="Times New Roman" w:hAnsi="Times New Roman" w:cs="Times New Roman"/>
                <w:b/>
                <w:color w:val="000000"/>
                <w:sz w:val="20"/>
                <w:szCs w:val="20"/>
              </w:rPr>
              <w:t>Položka aktív</w:t>
            </w:r>
          </w:p>
        </w:tc>
        <w:tc>
          <w:tcPr>
            <w:tcW w:w="1440"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B534F8" w:rsidRPr="00280AFE" w:rsidP="00B534F8">
            <w:pPr>
              <w:autoSpaceDE/>
              <w:autoSpaceDN/>
              <w:jc w:val="center"/>
              <w:rPr>
                <w:rFonts w:ascii="Times New Roman" w:hAnsi="Times New Roman" w:cs="Times New Roman"/>
                <w:b/>
                <w:color w:val="000000"/>
                <w:sz w:val="20"/>
                <w:szCs w:val="20"/>
              </w:rPr>
            </w:pPr>
            <w:r w:rsidRPr="00280AFE">
              <w:rPr>
                <w:rFonts w:ascii="Times New Roman" w:hAnsi="Times New Roman" w:cs="Times New Roman"/>
                <w:b/>
                <w:color w:val="000000"/>
                <w:sz w:val="20"/>
                <w:szCs w:val="20"/>
              </w:rPr>
              <w:t>Stav k 31.12.2005</w:t>
            </w:r>
          </w:p>
        </w:tc>
        <w:tc>
          <w:tcPr>
            <w:tcW w:w="1440"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B534F8" w:rsidRPr="00280AFE" w:rsidP="00B534F8">
            <w:pPr>
              <w:autoSpaceDE/>
              <w:autoSpaceDN/>
              <w:jc w:val="center"/>
              <w:rPr>
                <w:rFonts w:ascii="Times New Roman" w:hAnsi="Times New Roman" w:cs="Times New Roman"/>
                <w:b/>
                <w:color w:val="000000"/>
                <w:sz w:val="20"/>
                <w:szCs w:val="20"/>
              </w:rPr>
            </w:pPr>
            <w:r w:rsidRPr="00280AFE">
              <w:rPr>
                <w:rFonts w:ascii="Times New Roman" w:hAnsi="Times New Roman" w:cs="Times New Roman"/>
                <w:b/>
                <w:color w:val="000000"/>
                <w:sz w:val="20"/>
                <w:szCs w:val="20"/>
              </w:rPr>
              <w:t>Stav k 31.12.2006</w:t>
            </w:r>
          </w:p>
        </w:tc>
        <w:tc>
          <w:tcPr>
            <w:tcW w:w="1080"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B534F8" w:rsidRPr="00280AFE" w:rsidP="00B534F8">
            <w:pPr>
              <w:autoSpaceDE/>
              <w:autoSpaceDN/>
              <w:jc w:val="center"/>
              <w:rPr>
                <w:rFonts w:ascii="Times New Roman" w:hAnsi="Times New Roman" w:cs="Times New Roman"/>
                <w:b/>
                <w:color w:val="000000"/>
                <w:sz w:val="20"/>
                <w:szCs w:val="20"/>
              </w:rPr>
            </w:pPr>
            <w:r w:rsidRPr="00280AFE">
              <w:rPr>
                <w:rFonts w:ascii="Times New Roman" w:hAnsi="Times New Roman" w:cs="Times New Roman"/>
                <w:b/>
                <w:color w:val="000000"/>
                <w:sz w:val="20"/>
                <w:szCs w:val="20"/>
              </w:rPr>
              <w:t>Zmena</w:t>
            </w:r>
          </w:p>
        </w:tc>
      </w:tr>
      <w:tr>
        <w:tblPrEx>
          <w:tblW w:w="9030" w:type="dxa"/>
          <w:tblLayout w:type="fixed"/>
          <w:tblCellMar>
            <w:top w:w="0" w:type="dxa"/>
            <w:left w:w="30" w:type="dxa"/>
            <w:bottom w:w="0" w:type="dxa"/>
            <w:right w:w="30" w:type="dxa"/>
          </w:tblCellMar>
        </w:tblPrEx>
        <w:trPr>
          <w:trHeight w:val="305"/>
        </w:trPr>
        <w:tc>
          <w:tcPr>
            <w:tcW w:w="507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280AFE" w:rsidP="00B534F8">
            <w:pPr>
              <w:autoSpaceDE/>
              <w:autoSpaceDN/>
              <w:rPr>
                <w:rFonts w:ascii="Times New Roman" w:hAnsi="Times New Roman" w:cs="Times New Roman"/>
                <w:color w:val="000000"/>
                <w:sz w:val="20"/>
                <w:szCs w:val="20"/>
              </w:rPr>
            </w:pPr>
            <w:r w:rsidRPr="00280AFE">
              <w:rPr>
                <w:rFonts w:ascii="Times New Roman" w:hAnsi="Times New Roman" w:cs="Times New Roman"/>
                <w:color w:val="000000"/>
                <w:sz w:val="20"/>
                <w:szCs w:val="20"/>
              </w:rPr>
              <w:t>RVS, a.s. (Bankové zúčtovacie centrum Slovenska, a.s.)</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1,0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1,0</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0,0</w:t>
            </w:r>
          </w:p>
        </w:tc>
      </w:tr>
      <w:tr>
        <w:tblPrEx>
          <w:tblW w:w="9030" w:type="dxa"/>
          <w:tblLayout w:type="fixed"/>
          <w:tblCellMar>
            <w:top w:w="0" w:type="dxa"/>
            <w:left w:w="30" w:type="dxa"/>
            <w:bottom w:w="0" w:type="dxa"/>
            <w:right w:w="30" w:type="dxa"/>
          </w:tblCellMar>
        </w:tblPrEx>
        <w:trPr>
          <w:trHeight w:val="305"/>
        </w:trPr>
        <w:tc>
          <w:tcPr>
            <w:tcW w:w="507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280AFE" w:rsidP="00B534F8">
            <w:pPr>
              <w:autoSpaceDE/>
              <w:autoSpaceDN/>
              <w:rPr>
                <w:rFonts w:ascii="Times New Roman" w:hAnsi="Times New Roman" w:cs="Times New Roman"/>
                <w:color w:val="000000"/>
                <w:sz w:val="20"/>
                <w:szCs w:val="20"/>
              </w:rPr>
            </w:pPr>
            <w:r w:rsidRPr="00280AFE">
              <w:rPr>
                <w:rFonts w:ascii="Times New Roman" w:hAnsi="Times New Roman" w:cs="Times New Roman"/>
                <w:color w:val="000000"/>
                <w:sz w:val="20"/>
                <w:szCs w:val="20"/>
              </w:rPr>
              <w:t>Centrálny depozitár cenných papierov SR a.s. Bratislava</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316,0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0,0</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-316,0</w:t>
            </w:r>
          </w:p>
        </w:tc>
      </w:tr>
      <w:tr>
        <w:tblPrEx>
          <w:tblW w:w="9030" w:type="dxa"/>
          <w:tblLayout w:type="fixed"/>
          <w:tblCellMar>
            <w:top w:w="0" w:type="dxa"/>
            <w:left w:w="30" w:type="dxa"/>
            <w:bottom w:w="0" w:type="dxa"/>
            <w:right w:w="30" w:type="dxa"/>
          </w:tblCellMar>
        </w:tblPrEx>
        <w:trPr>
          <w:trHeight w:val="305"/>
        </w:trPr>
        <w:tc>
          <w:tcPr>
            <w:tcW w:w="507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280AFE" w:rsidP="00B534F8">
            <w:pPr>
              <w:autoSpaceDE/>
              <w:autoSpaceDN/>
              <w:rPr>
                <w:rFonts w:ascii="Times New Roman" w:hAnsi="Times New Roman" w:cs="Times New Roman"/>
                <w:color w:val="000000"/>
                <w:sz w:val="20"/>
                <w:szCs w:val="20"/>
              </w:rPr>
            </w:pPr>
            <w:r w:rsidRPr="00280AFE">
              <w:rPr>
                <w:rFonts w:ascii="Times New Roman" w:hAnsi="Times New Roman" w:cs="Times New Roman"/>
                <w:color w:val="000000"/>
                <w:sz w:val="20"/>
                <w:szCs w:val="20"/>
              </w:rPr>
              <w:t>TIPOS, národná lotériová</w:t>
            </w:r>
            <w:r w:rsidRPr="00280AFE">
              <w:rPr>
                <w:rFonts w:ascii="Times New Roman" w:hAnsi="Times New Roman" w:cs="Times New Roman"/>
                <w:vanish/>
                <w:color w:val="000000"/>
                <w:sz w:val="20"/>
                <w:szCs w:val="20"/>
                <w:u w:val="single"/>
              </w:rPr>
              <w:t>b</w:t>
            </w:r>
            <w:r w:rsidRPr="00280AFE">
              <w:rPr>
                <w:rFonts w:ascii="Times New Roman" w:hAnsi="Times New Roman" w:cs="Times New Roman"/>
                <w:color w:val="000000"/>
                <w:sz w:val="20"/>
                <w:szCs w:val="20"/>
              </w:rPr>
              <w:t xml:space="preserve"> spoločnosť, a .s. Bratislava</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11,0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11,0</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0,0</w:t>
            </w:r>
          </w:p>
        </w:tc>
      </w:tr>
      <w:tr>
        <w:tblPrEx>
          <w:tblW w:w="9030" w:type="dxa"/>
          <w:tblLayout w:type="fixed"/>
          <w:tblCellMar>
            <w:top w:w="0" w:type="dxa"/>
            <w:left w:w="30" w:type="dxa"/>
            <w:bottom w:w="0" w:type="dxa"/>
            <w:right w:w="30" w:type="dxa"/>
          </w:tblCellMar>
        </w:tblPrEx>
        <w:trPr>
          <w:trHeight w:val="305"/>
        </w:trPr>
        <w:tc>
          <w:tcPr>
            <w:tcW w:w="507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280AFE" w:rsidP="00B534F8">
            <w:pPr>
              <w:autoSpaceDE/>
              <w:autoSpaceDN/>
              <w:rPr>
                <w:rFonts w:ascii="Times New Roman" w:hAnsi="Times New Roman" w:cs="Times New Roman"/>
                <w:color w:val="000000"/>
                <w:sz w:val="20"/>
                <w:szCs w:val="20"/>
              </w:rPr>
            </w:pPr>
            <w:r w:rsidRPr="00280AFE">
              <w:rPr>
                <w:rFonts w:ascii="Times New Roman" w:hAnsi="Times New Roman" w:cs="Times New Roman"/>
                <w:color w:val="000000"/>
                <w:sz w:val="20"/>
                <w:szCs w:val="20"/>
              </w:rPr>
              <w:t>Slovenská záručná a rozvojová banka, a.s. Bratislava</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800,0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800,0</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0,0</w:t>
            </w:r>
          </w:p>
        </w:tc>
      </w:tr>
      <w:tr>
        <w:tblPrEx>
          <w:tblW w:w="9030" w:type="dxa"/>
          <w:tblLayout w:type="fixed"/>
          <w:tblCellMar>
            <w:top w:w="0" w:type="dxa"/>
            <w:left w:w="30" w:type="dxa"/>
            <w:bottom w:w="0" w:type="dxa"/>
            <w:right w:w="30" w:type="dxa"/>
          </w:tblCellMar>
        </w:tblPrEx>
        <w:trPr>
          <w:trHeight w:val="305"/>
        </w:trPr>
        <w:tc>
          <w:tcPr>
            <w:tcW w:w="507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280AFE" w:rsidP="00B534F8">
            <w:pPr>
              <w:autoSpaceDE/>
              <w:autoSpaceDN/>
              <w:rPr>
                <w:rFonts w:ascii="Times New Roman" w:hAnsi="Times New Roman" w:cs="Times New Roman"/>
                <w:color w:val="000000"/>
                <w:sz w:val="20"/>
                <w:szCs w:val="20"/>
              </w:rPr>
            </w:pPr>
            <w:r w:rsidRPr="00280AFE">
              <w:rPr>
                <w:rFonts w:ascii="Times New Roman" w:hAnsi="Times New Roman" w:cs="Times New Roman"/>
                <w:color w:val="000000"/>
                <w:sz w:val="20"/>
                <w:szCs w:val="20"/>
              </w:rPr>
              <w:t>Slovenská inkasná spoločnosť, s.r.o. Bratislava</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0,5</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0,0</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-0,5</w:t>
            </w:r>
          </w:p>
        </w:tc>
      </w:tr>
      <w:tr>
        <w:tblPrEx>
          <w:tblW w:w="9030" w:type="dxa"/>
          <w:tblLayout w:type="fixed"/>
          <w:tblCellMar>
            <w:top w:w="0" w:type="dxa"/>
            <w:left w:w="30" w:type="dxa"/>
            <w:bottom w:w="0" w:type="dxa"/>
            <w:right w:w="30" w:type="dxa"/>
          </w:tblCellMar>
        </w:tblPrEx>
        <w:trPr>
          <w:trHeight w:val="305"/>
        </w:trPr>
        <w:tc>
          <w:tcPr>
            <w:tcW w:w="507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280AFE" w:rsidP="00B534F8">
            <w:pPr>
              <w:autoSpaceDE/>
              <w:autoSpaceDN/>
              <w:rPr>
                <w:rFonts w:ascii="Times New Roman" w:hAnsi="Times New Roman" w:cs="Times New Roman"/>
                <w:color w:val="000000"/>
                <w:sz w:val="20"/>
                <w:szCs w:val="20"/>
              </w:rPr>
            </w:pPr>
            <w:r w:rsidRPr="00280AFE">
              <w:rPr>
                <w:rFonts w:ascii="Times New Roman" w:hAnsi="Times New Roman" w:cs="Times New Roman"/>
                <w:color w:val="000000"/>
                <w:sz w:val="20"/>
                <w:szCs w:val="20"/>
              </w:rPr>
              <w:t>Slovenská konsolidačná, a.s. Bratislava</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1 065,6</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6 784,9</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5 719,3</w:t>
            </w:r>
          </w:p>
        </w:tc>
      </w:tr>
      <w:tr>
        <w:tblPrEx>
          <w:tblW w:w="9030" w:type="dxa"/>
          <w:tblLayout w:type="fixed"/>
          <w:tblCellMar>
            <w:top w:w="0" w:type="dxa"/>
            <w:left w:w="30" w:type="dxa"/>
            <w:bottom w:w="0" w:type="dxa"/>
            <w:right w:w="30" w:type="dxa"/>
          </w:tblCellMar>
        </w:tblPrEx>
        <w:trPr>
          <w:trHeight w:val="305"/>
        </w:trPr>
        <w:tc>
          <w:tcPr>
            <w:tcW w:w="507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280AFE" w:rsidP="00B534F8">
            <w:pPr>
              <w:autoSpaceDE/>
              <w:autoSpaceDN/>
              <w:rPr>
                <w:rFonts w:ascii="Times New Roman" w:hAnsi="Times New Roman" w:cs="Times New Roman"/>
                <w:color w:val="000000"/>
                <w:sz w:val="20"/>
                <w:szCs w:val="20"/>
              </w:rPr>
            </w:pPr>
            <w:r w:rsidRPr="00280AFE">
              <w:rPr>
                <w:rFonts w:ascii="Times New Roman" w:hAnsi="Times New Roman" w:cs="Times New Roman"/>
                <w:color w:val="000000"/>
                <w:sz w:val="20"/>
                <w:szCs w:val="20"/>
              </w:rPr>
              <w:t>EXIM Banka, a.s. Bratislava</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2 668,0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2 668,0</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0,0</w:t>
            </w:r>
          </w:p>
        </w:tc>
      </w:tr>
      <w:tr>
        <w:tblPrEx>
          <w:tblW w:w="9030" w:type="dxa"/>
          <w:tblLayout w:type="fixed"/>
          <w:tblCellMar>
            <w:top w:w="0" w:type="dxa"/>
            <w:left w:w="30" w:type="dxa"/>
            <w:bottom w:w="0" w:type="dxa"/>
            <w:right w:w="30" w:type="dxa"/>
          </w:tblCellMar>
        </w:tblPrEx>
        <w:trPr>
          <w:trHeight w:val="305"/>
        </w:trPr>
        <w:tc>
          <w:tcPr>
            <w:tcW w:w="507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280AFE" w:rsidP="00B534F8">
            <w:pPr>
              <w:autoSpaceDE/>
              <w:autoSpaceDN/>
              <w:rPr>
                <w:rFonts w:ascii="Times New Roman" w:hAnsi="Times New Roman" w:cs="Times New Roman"/>
                <w:color w:val="000000"/>
                <w:sz w:val="20"/>
                <w:szCs w:val="20"/>
              </w:rPr>
            </w:pPr>
            <w:r w:rsidRPr="00280AFE">
              <w:rPr>
                <w:rFonts w:ascii="Times New Roman" w:hAnsi="Times New Roman" w:cs="Times New Roman"/>
                <w:color w:val="000000"/>
                <w:sz w:val="20"/>
                <w:szCs w:val="20"/>
              </w:rPr>
              <w:t>Veriteľ, a.s.</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7 401,0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0,0</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280AFE" w:rsidP="00B534F8">
            <w:pPr>
              <w:autoSpaceDE/>
              <w:autoSpaceDN/>
              <w:jc w:val="right"/>
              <w:rPr>
                <w:rFonts w:ascii="Times New Roman" w:hAnsi="Times New Roman" w:cs="Times New Roman"/>
                <w:color w:val="000000"/>
                <w:sz w:val="20"/>
                <w:szCs w:val="20"/>
              </w:rPr>
            </w:pPr>
            <w:r w:rsidRPr="00280AFE">
              <w:rPr>
                <w:rFonts w:ascii="Times New Roman" w:hAnsi="Times New Roman" w:cs="Times New Roman"/>
                <w:color w:val="000000"/>
                <w:sz w:val="20"/>
                <w:szCs w:val="20"/>
              </w:rPr>
              <w:t>-7 401,0</w:t>
            </w:r>
          </w:p>
        </w:tc>
      </w:tr>
      <w:tr>
        <w:tblPrEx>
          <w:tblW w:w="9030" w:type="dxa"/>
          <w:tblLayout w:type="fixed"/>
          <w:tblCellMar>
            <w:top w:w="0" w:type="dxa"/>
            <w:left w:w="30" w:type="dxa"/>
            <w:bottom w:w="0" w:type="dxa"/>
            <w:right w:w="30" w:type="dxa"/>
          </w:tblCellMar>
        </w:tblPrEx>
        <w:trPr>
          <w:trHeight w:val="290"/>
        </w:trPr>
        <w:tc>
          <w:tcPr>
            <w:tcW w:w="5070" w:type="dxa"/>
            <w:tcBorders>
              <w:top w:val="single" w:sz="4" w:space="0" w:color="auto"/>
              <w:left w:val="single" w:sz="8" w:space="0" w:color="auto"/>
              <w:bottom w:val="double" w:sz="6" w:space="0" w:color="auto"/>
              <w:right w:val="single" w:sz="4" w:space="0" w:color="auto"/>
              <w:tl2br w:val="nil"/>
              <w:tr2bl w:val="nil"/>
            </w:tcBorders>
            <w:textDirection w:val="lrTb"/>
            <w:vAlign w:val="top"/>
          </w:tcPr>
          <w:p w:rsidR="00B534F8" w:rsidRPr="00280AFE" w:rsidP="00B534F8">
            <w:pPr>
              <w:autoSpaceDE/>
              <w:autoSpaceDN/>
              <w:rPr>
                <w:rFonts w:ascii="Times New Roman" w:hAnsi="Times New Roman" w:cs="Times New Roman"/>
                <w:b/>
                <w:bCs/>
                <w:color w:val="000000"/>
                <w:sz w:val="20"/>
                <w:szCs w:val="20"/>
              </w:rPr>
            </w:pPr>
            <w:r w:rsidRPr="00280AFE" w:rsidR="00280AFE">
              <w:rPr>
                <w:rFonts w:ascii="Times New Roman" w:hAnsi="Times New Roman" w:cs="Times New Roman"/>
                <w:b/>
                <w:bCs/>
                <w:color w:val="000000"/>
                <w:sz w:val="20"/>
                <w:szCs w:val="20"/>
              </w:rPr>
              <w:t>SPOLU</w:t>
            </w:r>
          </w:p>
        </w:tc>
        <w:tc>
          <w:tcPr>
            <w:tcW w:w="1440" w:type="dxa"/>
            <w:tcBorders>
              <w:top w:val="single" w:sz="4" w:space="0" w:color="auto"/>
              <w:left w:val="single" w:sz="4" w:space="0" w:color="auto"/>
              <w:bottom w:val="double" w:sz="6" w:space="0" w:color="auto"/>
              <w:right w:val="single" w:sz="4" w:space="0" w:color="auto"/>
              <w:tl2br w:val="nil"/>
              <w:tr2bl w:val="nil"/>
            </w:tcBorders>
            <w:textDirection w:val="lrTb"/>
            <w:vAlign w:val="top"/>
          </w:tcPr>
          <w:p w:rsidR="00B534F8" w:rsidRPr="00280AFE" w:rsidP="00B534F8">
            <w:pPr>
              <w:autoSpaceDE/>
              <w:autoSpaceDN/>
              <w:jc w:val="right"/>
              <w:rPr>
                <w:rFonts w:ascii="Times New Roman" w:hAnsi="Times New Roman" w:cs="Times New Roman"/>
                <w:b/>
                <w:bCs/>
                <w:color w:val="000000"/>
                <w:sz w:val="20"/>
                <w:szCs w:val="20"/>
              </w:rPr>
            </w:pPr>
            <w:r w:rsidRPr="00280AFE">
              <w:rPr>
                <w:rFonts w:ascii="Times New Roman" w:hAnsi="Times New Roman" w:cs="Times New Roman"/>
                <w:b/>
                <w:bCs/>
                <w:color w:val="000000"/>
                <w:sz w:val="20"/>
                <w:szCs w:val="20"/>
              </w:rPr>
              <w:t>12 263,1</w:t>
            </w:r>
          </w:p>
        </w:tc>
        <w:tc>
          <w:tcPr>
            <w:tcW w:w="1440" w:type="dxa"/>
            <w:tcBorders>
              <w:top w:val="single" w:sz="4" w:space="0" w:color="auto"/>
              <w:left w:val="single" w:sz="4" w:space="0" w:color="auto"/>
              <w:bottom w:val="double" w:sz="6" w:space="0" w:color="auto"/>
              <w:right w:val="single" w:sz="4" w:space="0" w:color="auto"/>
              <w:tl2br w:val="nil"/>
              <w:tr2bl w:val="nil"/>
            </w:tcBorders>
            <w:textDirection w:val="lrTb"/>
            <w:vAlign w:val="top"/>
          </w:tcPr>
          <w:p w:rsidR="00B534F8" w:rsidRPr="00280AFE" w:rsidP="00B534F8">
            <w:pPr>
              <w:autoSpaceDE/>
              <w:autoSpaceDN/>
              <w:jc w:val="right"/>
              <w:rPr>
                <w:rFonts w:ascii="Times New Roman" w:hAnsi="Times New Roman" w:cs="Times New Roman"/>
                <w:b/>
                <w:bCs/>
                <w:color w:val="000000"/>
                <w:sz w:val="20"/>
                <w:szCs w:val="20"/>
              </w:rPr>
            </w:pPr>
            <w:r w:rsidRPr="00280AFE">
              <w:rPr>
                <w:rFonts w:ascii="Times New Roman" w:hAnsi="Times New Roman" w:cs="Times New Roman"/>
                <w:b/>
                <w:bCs/>
                <w:color w:val="000000"/>
                <w:sz w:val="20"/>
                <w:szCs w:val="20"/>
              </w:rPr>
              <w:t>10 264,9</w:t>
            </w:r>
          </w:p>
        </w:tc>
        <w:tc>
          <w:tcPr>
            <w:tcW w:w="1080" w:type="dxa"/>
            <w:tcBorders>
              <w:top w:val="single" w:sz="4" w:space="0" w:color="auto"/>
              <w:left w:val="single" w:sz="4" w:space="0" w:color="auto"/>
              <w:bottom w:val="double" w:sz="6" w:space="0" w:color="auto"/>
              <w:right w:val="single" w:sz="8" w:space="0" w:color="auto"/>
              <w:tl2br w:val="nil"/>
              <w:tr2bl w:val="nil"/>
            </w:tcBorders>
            <w:textDirection w:val="lrTb"/>
            <w:vAlign w:val="top"/>
          </w:tcPr>
          <w:p w:rsidR="00B534F8" w:rsidRPr="00280AFE" w:rsidP="00B534F8">
            <w:pPr>
              <w:autoSpaceDE/>
              <w:autoSpaceDN/>
              <w:jc w:val="right"/>
              <w:rPr>
                <w:rFonts w:ascii="Times New Roman" w:hAnsi="Times New Roman" w:cs="Times New Roman"/>
                <w:b/>
                <w:bCs/>
                <w:color w:val="000000"/>
                <w:sz w:val="20"/>
                <w:szCs w:val="20"/>
              </w:rPr>
            </w:pPr>
            <w:r w:rsidRPr="00280AFE">
              <w:rPr>
                <w:rFonts w:ascii="Times New Roman" w:hAnsi="Times New Roman" w:cs="Times New Roman"/>
                <w:b/>
                <w:bCs/>
                <w:color w:val="000000"/>
                <w:sz w:val="20"/>
                <w:szCs w:val="20"/>
              </w:rPr>
              <w:t>-1 998,2</w:t>
            </w:r>
          </w:p>
        </w:tc>
      </w:tr>
    </w:tbl>
    <w:p w:rsidR="00B534F8" w:rsidRPr="00280AFE" w:rsidP="00B534F8">
      <w:pPr>
        <w:spacing w:before="120" w:after="120"/>
        <w:rPr>
          <w:rFonts w:ascii="Times New Roman" w:hAnsi="Times New Roman" w:cs="Times New Roman"/>
          <w:sz w:val="20"/>
          <w:szCs w:val="20"/>
        </w:rPr>
      </w:pPr>
      <w:r w:rsidRPr="00280AFE">
        <w:rPr>
          <w:rFonts w:ascii="Times New Roman" w:hAnsi="Times New Roman" w:cs="Times New Roman"/>
          <w:sz w:val="20"/>
          <w:szCs w:val="20"/>
        </w:rPr>
        <w:t>Zdroj: Ministerstvo financií SR</w:t>
      </w:r>
    </w:p>
    <w:p w:rsidR="00280AFE" w:rsidP="00B534F8">
      <w:pPr>
        <w:spacing w:before="120" w:line="360" w:lineRule="auto"/>
        <w:jc w:val="both"/>
        <w:rPr>
          <w:rFonts w:ascii="Times New Roman" w:hAnsi="Times New Roman" w:cs="Times New Roman"/>
          <w:color w:val="000000"/>
        </w:rPr>
      </w:pPr>
    </w:p>
    <w:p w:rsidR="00B534F8" w:rsidP="00280AFE">
      <w:pPr>
        <w:spacing w:before="120" w:line="360" w:lineRule="auto"/>
        <w:ind w:firstLine="708"/>
        <w:jc w:val="both"/>
        <w:rPr>
          <w:rFonts w:ascii="Times New Roman" w:hAnsi="Times New Roman" w:cs="Times New Roman"/>
          <w:color w:val="000000"/>
        </w:rPr>
      </w:pPr>
      <w:r>
        <w:rPr>
          <w:rFonts w:ascii="Times New Roman" w:hAnsi="Times New Roman" w:cs="Times New Roman"/>
          <w:color w:val="000000"/>
        </w:rPr>
        <w:t xml:space="preserve">Vklady štátu v tuzemských spoločnostiach sa znížili o 1 998,2 mil. Sk. </w:t>
      </w:r>
    </w:p>
    <w:p w:rsidR="00B534F8" w:rsidP="00B534F8">
      <w:pPr>
        <w:spacing w:before="120" w:line="360" w:lineRule="auto"/>
        <w:jc w:val="both"/>
        <w:rPr>
          <w:rFonts w:ascii="Times New Roman" w:hAnsi="Times New Roman" w:cs="Times New Roman"/>
          <w:color w:val="000000"/>
        </w:rPr>
      </w:pPr>
      <w:r>
        <w:rPr>
          <w:rFonts w:ascii="Times New Roman" w:hAnsi="Times New Roman" w:cs="Times New Roman"/>
          <w:color w:val="000000"/>
        </w:rPr>
        <w:t xml:space="preserve">Znížil sa o vklad do základného imania spoločnosti Veriteľ, a.s. Bratislava   v sume  7 401,0 mil. Sk. Valné zhromaždenie rozhodlo o zrušení tejto spoločnosti s likvidáciou ku dňu 1.2.2006 a likvidácia skončila 15.6.2006. Na základe odovzdania akcií MF SR spoločnosti Veriteľ, a.s., zrušenia registrácie akcionárov spoločnosti Centrálnym depozitárom cenných papierov SR, a.s. Bratislava a výmazom spoločnosti z obchodného registra príslušným registrovaným súdom, došlo k odpisu  tohoto majetkového vkladu. </w:t>
      </w:r>
    </w:p>
    <w:p w:rsidR="00B534F8" w:rsidP="00B534F8">
      <w:pPr>
        <w:spacing w:before="120" w:line="360" w:lineRule="auto"/>
        <w:jc w:val="both"/>
        <w:rPr>
          <w:rFonts w:ascii="Times New Roman" w:hAnsi="Times New Roman" w:cs="Times New Roman"/>
          <w:color w:val="000000"/>
        </w:rPr>
      </w:pPr>
      <w:r>
        <w:rPr>
          <w:rFonts w:ascii="Times New Roman" w:hAnsi="Times New Roman" w:cs="Times New Roman"/>
          <w:color w:val="000000"/>
        </w:rPr>
        <w:tab/>
        <w:t>Obdobným spôsobom došlo k zníženiu majetkovej účasti štátu vo výške 0,5 mil. Sk aj v Slovenskej inkasnej spoločnosti, s.r.o. Bratislava ukončením jej činnosti likvidáciou a výmazom z obchodného registra.</w:t>
      </w:r>
    </w:p>
    <w:p w:rsidR="00B534F8" w:rsidP="00B534F8">
      <w:pPr>
        <w:spacing w:before="120" w:line="360" w:lineRule="auto"/>
        <w:jc w:val="both"/>
        <w:rPr>
          <w:rFonts w:ascii="Times New Roman" w:hAnsi="Times New Roman" w:cs="Times New Roman"/>
          <w:color w:val="000000"/>
        </w:rPr>
      </w:pPr>
      <w:r>
        <w:rPr>
          <w:rFonts w:ascii="Times New Roman" w:hAnsi="Times New Roman" w:cs="Times New Roman"/>
          <w:color w:val="000000"/>
        </w:rPr>
        <w:tab/>
        <w:t>Znížila sa majetková účasť  MF SR v Centrálnom depozitári cenných papierov SR, a.s. Bratislava  na základe Uznesenia vlády  SR č. 25 zo dňa 11.1.2006 v sume 316,0 mil. Sk z dôvodu prechodu cenných papierov z MF SR na Fond národného majetku SR.</w:t>
      </w:r>
    </w:p>
    <w:p w:rsidR="00B534F8" w:rsidP="00B534F8">
      <w:pPr>
        <w:spacing w:before="120" w:line="360" w:lineRule="auto"/>
        <w:jc w:val="both"/>
        <w:rPr>
          <w:rFonts w:ascii="Times New Roman" w:hAnsi="Times New Roman" w:cs="Times New Roman"/>
          <w:color w:val="000000"/>
        </w:rPr>
      </w:pPr>
      <w:r>
        <w:rPr>
          <w:rFonts w:ascii="Times New Roman" w:hAnsi="Times New Roman" w:cs="Times New Roman"/>
          <w:color w:val="000000"/>
        </w:rPr>
        <w:tab/>
        <w:t>V priebehu roka sa zvýšil vklad do základného imania Slovenskej konsolidačnej, a.s. Bratislava o 5 719,3 mil. Sk formou nepeňažného vkladu pohľadávky štátu z návratnej finančnej výpomoci  v zmysle Uznesenia vlády SR č. 956 z 11.11.2006.</w:t>
      </w:r>
    </w:p>
    <w:p w:rsidR="00841532" w:rsidRPr="00280AFE" w:rsidP="00280AFE">
      <w:pPr>
        <w:spacing w:before="120" w:line="360" w:lineRule="auto"/>
        <w:ind w:firstLine="708"/>
        <w:jc w:val="both"/>
        <w:rPr>
          <w:rFonts w:ascii="Times New Roman" w:hAnsi="Times New Roman" w:cs="Times New Roman"/>
          <w:color w:val="000000"/>
        </w:rPr>
      </w:pPr>
      <w:r w:rsidR="00B534F8">
        <w:rPr>
          <w:rFonts w:ascii="Times New Roman" w:hAnsi="Times New Roman" w:cs="Times New Roman"/>
          <w:color w:val="000000"/>
        </w:rPr>
        <w:t xml:space="preserve">Okrem majetkovej účasti štátu v kapitole VPS spravovali v rámci dlhodobého finančného majetku ostatné rozpočtové kapitoly majetkové účasti štátu v forme vkladov, podielov, akcií a cenných papierov podľa nasledujúceho prehľadu (v tis. Sk)  </w:t>
      </w:r>
    </w:p>
    <w:tbl>
      <w:tblPr>
        <w:tblW w:w="9555" w:type="dxa"/>
        <w:tblCellMar>
          <w:left w:w="70" w:type="dxa"/>
          <w:right w:w="70" w:type="dxa"/>
        </w:tblCellMar>
      </w:tblPr>
      <w:tblGrid>
        <w:gridCol w:w="4515"/>
        <w:gridCol w:w="1440"/>
        <w:gridCol w:w="1260"/>
        <w:gridCol w:w="1260"/>
        <w:gridCol w:w="1080"/>
      </w:tblGrid>
      <w:tr>
        <w:tblPrEx>
          <w:tblW w:w="9555" w:type="dxa"/>
          <w:tblCellMar>
            <w:left w:w="70" w:type="dxa"/>
            <w:right w:w="70" w:type="dxa"/>
          </w:tblCellMar>
        </w:tblPrEx>
        <w:trPr>
          <w:trHeight w:val="555"/>
        </w:trPr>
        <w:tc>
          <w:tcPr>
            <w:tcW w:w="4515" w:type="dxa"/>
            <w:tcBorders>
              <w:top w:val="single" w:sz="8" w:space="0" w:color="auto"/>
              <w:left w:val="single" w:sz="8" w:space="0" w:color="auto"/>
              <w:bottom w:val="single" w:sz="8" w:space="0" w:color="auto"/>
              <w:right w:val="single" w:sz="4" w:space="0" w:color="auto"/>
              <w:tl2br w:val="nil"/>
              <w:tr2bl w:val="nil"/>
            </w:tcBorders>
            <w:noWrap/>
            <w:textDirection w:val="lrTb"/>
            <w:vAlign w:val="center"/>
          </w:tcPr>
          <w:p w:rsidR="00841532">
            <w:pPr>
              <w:jc w:val="center"/>
              <w:rPr>
                <w:rFonts w:ascii="Times New Roman" w:hAnsi="Times New Roman" w:cs="Times New Roman"/>
                <w:b/>
                <w:bCs/>
                <w:sz w:val="20"/>
                <w:szCs w:val="20"/>
              </w:rPr>
            </w:pPr>
            <w:r>
              <w:rPr>
                <w:rFonts w:ascii="Times New Roman" w:hAnsi="Times New Roman" w:cs="Times New Roman"/>
                <w:b/>
                <w:bCs/>
                <w:sz w:val="20"/>
                <w:szCs w:val="20"/>
              </w:rPr>
              <w:t>Kapitola</w:t>
            </w:r>
          </w:p>
        </w:tc>
        <w:tc>
          <w:tcPr>
            <w:tcW w:w="1440" w:type="dxa"/>
            <w:tcBorders>
              <w:top w:val="single" w:sz="8" w:space="0" w:color="auto"/>
              <w:left w:val="nil"/>
              <w:bottom w:val="single" w:sz="8" w:space="0" w:color="auto"/>
              <w:right w:val="single" w:sz="4" w:space="0" w:color="auto"/>
              <w:tl2br w:val="nil"/>
              <w:tr2bl w:val="nil"/>
            </w:tcBorders>
            <w:noWrap/>
            <w:textDirection w:val="lrTb"/>
            <w:vAlign w:val="center"/>
          </w:tcPr>
          <w:p w:rsidR="00841532">
            <w:pPr>
              <w:jc w:val="center"/>
              <w:rPr>
                <w:rFonts w:ascii="Times New Roman" w:hAnsi="Times New Roman" w:cs="Times New Roman"/>
                <w:b/>
                <w:bCs/>
                <w:sz w:val="20"/>
                <w:szCs w:val="20"/>
              </w:rPr>
            </w:pPr>
            <w:r>
              <w:rPr>
                <w:rFonts w:ascii="Times New Roman" w:hAnsi="Times New Roman" w:cs="Times New Roman"/>
                <w:b/>
                <w:bCs/>
                <w:sz w:val="20"/>
                <w:szCs w:val="20"/>
              </w:rPr>
              <w:t>Forma účasti</w:t>
            </w:r>
          </w:p>
        </w:tc>
        <w:tc>
          <w:tcPr>
            <w:tcW w:w="1260" w:type="dxa"/>
            <w:tcBorders>
              <w:top w:val="single" w:sz="8" w:space="0" w:color="auto"/>
              <w:left w:val="nil"/>
              <w:bottom w:val="single" w:sz="8" w:space="0" w:color="auto"/>
              <w:right w:val="single" w:sz="4" w:space="0" w:color="auto"/>
              <w:tl2br w:val="nil"/>
              <w:tr2bl w:val="nil"/>
            </w:tcBorders>
            <w:textDirection w:val="lrTb"/>
            <w:vAlign w:val="center"/>
          </w:tcPr>
          <w:p w:rsidR="00841532">
            <w:pPr>
              <w:jc w:val="center"/>
              <w:rPr>
                <w:rFonts w:ascii="Times New Roman" w:hAnsi="Times New Roman" w:cs="Times New Roman"/>
                <w:b/>
                <w:bCs/>
                <w:sz w:val="20"/>
                <w:szCs w:val="20"/>
              </w:rPr>
            </w:pPr>
            <w:r>
              <w:rPr>
                <w:rFonts w:ascii="Times New Roman" w:hAnsi="Times New Roman" w:cs="Times New Roman"/>
                <w:b/>
                <w:bCs/>
                <w:sz w:val="20"/>
                <w:szCs w:val="20"/>
              </w:rPr>
              <w:t>Stav k 1.1.2006</w:t>
            </w:r>
          </w:p>
        </w:tc>
        <w:tc>
          <w:tcPr>
            <w:tcW w:w="1260" w:type="dxa"/>
            <w:tcBorders>
              <w:top w:val="single" w:sz="8" w:space="0" w:color="auto"/>
              <w:left w:val="nil"/>
              <w:bottom w:val="single" w:sz="8" w:space="0" w:color="auto"/>
              <w:right w:val="single" w:sz="4" w:space="0" w:color="auto"/>
              <w:tl2br w:val="nil"/>
              <w:tr2bl w:val="nil"/>
            </w:tcBorders>
            <w:textDirection w:val="lrTb"/>
            <w:vAlign w:val="center"/>
          </w:tcPr>
          <w:p w:rsidR="00841532">
            <w:pPr>
              <w:jc w:val="center"/>
              <w:rPr>
                <w:rFonts w:ascii="Times New Roman" w:hAnsi="Times New Roman" w:cs="Times New Roman"/>
                <w:b/>
                <w:bCs/>
                <w:sz w:val="20"/>
                <w:szCs w:val="20"/>
              </w:rPr>
            </w:pPr>
            <w:r>
              <w:rPr>
                <w:rFonts w:ascii="Times New Roman" w:hAnsi="Times New Roman" w:cs="Times New Roman"/>
                <w:b/>
                <w:bCs/>
                <w:sz w:val="20"/>
                <w:szCs w:val="20"/>
              </w:rPr>
              <w:t>Stav k 31.12.2006</w:t>
            </w:r>
          </w:p>
        </w:tc>
        <w:tc>
          <w:tcPr>
            <w:tcW w:w="1080" w:type="dxa"/>
            <w:tcBorders>
              <w:top w:val="single" w:sz="8" w:space="0" w:color="auto"/>
              <w:left w:val="nil"/>
              <w:bottom w:val="single" w:sz="8" w:space="0" w:color="auto"/>
              <w:right w:val="single" w:sz="8" w:space="0" w:color="auto"/>
              <w:tl2br w:val="nil"/>
              <w:tr2bl w:val="nil"/>
            </w:tcBorders>
            <w:textDirection w:val="lrTb"/>
            <w:vAlign w:val="center"/>
          </w:tcPr>
          <w:p w:rsidR="00841532">
            <w:pPr>
              <w:jc w:val="center"/>
              <w:rPr>
                <w:rFonts w:ascii="Times New Roman" w:hAnsi="Times New Roman" w:cs="Times New Roman"/>
                <w:b/>
                <w:bCs/>
                <w:sz w:val="20"/>
                <w:szCs w:val="20"/>
              </w:rPr>
            </w:pPr>
            <w:r>
              <w:rPr>
                <w:rFonts w:ascii="Times New Roman" w:hAnsi="Times New Roman" w:cs="Times New Roman"/>
                <w:b/>
                <w:bCs/>
                <w:sz w:val="20"/>
                <w:szCs w:val="20"/>
              </w:rPr>
              <w:t>Zmena v roku 2006</w:t>
            </w:r>
          </w:p>
        </w:tc>
      </w:tr>
      <w:tr>
        <w:tblPrEx>
          <w:tblW w:w="9555" w:type="dxa"/>
          <w:tblCellMar>
            <w:left w:w="70" w:type="dxa"/>
            <w:right w:w="70" w:type="dxa"/>
          </w:tblCellMar>
        </w:tblPrEx>
        <w:trPr>
          <w:trHeight w:val="300"/>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b/>
                <w:bCs/>
                <w:sz w:val="20"/>
                <w:szCs w:val="20"/>
              </w:rPr>
            </w:pPr>
            <w:r>
              <w:rPr>
                <w:rFonts w:ascii="Times New Roman" w:hAnsi="Times New Roman" w:cs="Times New Roman"/>
                <w:b/>
                <w:bCs/>
                <w:sz w:val="20"/>
                <w:szCs w:val="20"/>
              </w:rPr>
              <w:t>ÚRAD VLÁDY SR</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220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-220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v tom: Sario,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akcie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220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-220</w:t>
            </w:r>
          </w:p>
        </w:tc>
      </w:tr>
      <w:tr>
        <w:tblPrEx>
          <w:tblW w:w="9555" w:type="dxa"/>
          <w:tblCellMar>
            <w:left w:w="70" w:type="dxa"/>
            <w:right w:w="70" w:type="dxa"/>
          </w:tblCellMar>
        </w:tblPrEx>
        <w:trPr>
          <w:trHeight w:val="300"/>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b/>
                <w:bCs/>
                <w:sz w:val="20"/>
                <w:szCs w:val="20"/>
              </w:rPr>
            </w:pPr>
            <w:r>
              <w:rPr>
                <w:rFonts w:ascii="Times New Roman" w:hAnsi="Times New Roman" w:cs="Times New Roman"/>
                <w:b/>
                <w:bCs/>
                <w:sz w:val="20"/>
                <w:szCs w:val="20"/>
              </w:rPr>
              <w:t>MINISTERSTVO ZAHRANIČNÝCH VECÍ SR</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 </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1 570 871</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1 570 871</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v tom: Správa služieb diplomatického zboru,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akcie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1 517 000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1 517 000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Vklad do SSDZ,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 </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53 871</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53 871</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r>
      <w:tr>
        <w:tblPrEx>
          <w:tblW w:w="9555" w:type="dxa"/>
          <w:tblCellMar>
            <w:left w:w="70" w:type="dxa"/>
            <w:right w:w="70" w:type="dxa"/>
          </w:tblCellMar>
        </w:tblPrEx>
        <w:trPr>
          <w:trHeight w:val="300"/>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b/>
                <w:bCs/>
                <w:sz w:val="20"/>
                <w:szCs w:val="20"/>
              </w:rPr>
            </w:pPr>
            <w:r>
              <w:rPr>
                <w:rFonts w:ascii="Times New Roman" w:hAnsi="Times New Roman" w:cs="Times New Roman"/>
                <w:b/>
                <w:bCs/>
                <w:sz w:val="20"/>
                <w:szCs w:val="20"/>
              </w:rPr>
              <w:t>MINISTERSTVO FINANCIÍ SR</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1 795 474</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-1 795 474</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v tom: Veriteľ,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akcie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1 718 050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-1 718 050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Medzinárodné združenie pre rozvoj -  IDA</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kapitálová účasť</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32 007</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-32 007</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Európska banka pre obnovu a rozvoj</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kapitálová účasť</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45 417</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-45 417</w:t>
            </w:r>
          </w:p>
        </w:tc>
      </w:tr>
      <w:tr>
        <w:tblPrEx>
          <w:tblW w:w="9555" w:type="dxa"/>
          <w:tblCellMar>
            <w:left w:w="70" w:type="dxa"/>
            <w:right w:w="70" w:type="dxa"/>
          </w:tblCellMar>
        </w:tblPrEx>
        <w:trPr>
          <w:trHeight w:val="300"/>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b/>
                <w:bCs/>
                <w:sz w:val="20"/>
                <w:szCs w:val="20"/>
              </w:rPr>
            </w:pPr>
            <w:r>
              <w:rPr>
                <w:rFonts w:ascii="Times New Roman" w:hAnsi="Times New Roman" w:cs="Times New Roman"/>
                <w:b/>
                <w:bCs/>
                <w:sz w:val="20"/>
                <w:szCs w:val="20"/>
              </w:rPr>
              <w:t>MINISTERSTVO ZDRAVOTNÍCTVA SR</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1 730 370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12320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-1 718 050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v tom: Veriteľ ,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cenné papiere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1 718 050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-1 718 050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Biont,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cenné papiere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12 320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12 320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r>
      <w:tr>
        <w:tblPrEx>
          <w:tblW w:w="9555" w:type="dxa"/>
          <w:tblCellMar>
            <w:left w:w="70" w:type="dxa"/>
            <w:right w:w="70" w:type="dxa"/>
          </w:tblCellMar>
        </w:tblPrEx>
        <w:trPr>
          <w:trHeight w:val="300"/>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b/>
                <w:bCs/>
                <w:sz w:val="20"/>
                <w:szCs w:val="20"/>
              </w:rPr>
            </w:pPr>
            <w:r>
              <w:rPr>
                <w:rFonts w:ascii="Times New Roman" w:hAnsi="Times New Roman" w:cs="Times New Roman"/>
                <w:b/>
                <w:bCs/>
                <w:sz w:val="20"/>
                <w:szCs w:val="20"/>
              </w:rPr>
              <w:t>MINISTERSTVO ŠKOLSTVA SR</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8 400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8 400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v tom: Biont, a.s. </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akcie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8 400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8 400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r>
      <w:tr>
        <w:tblPrEx>
          <w:tblW w:w="9555" w:type="dxa"/>
          <w:tblCellMar>
            <w:left w:w="70" w:type="dxa"/>
            <w:right w:w="70" w:type="dxa"/>
          </w:tblCellMar>
        </w:tblPrEx>
        <w:trPr>
          <w:trHeight w:val="300"/>
        </w:trPr>
        <w:tc>
          <w:tcPr>
            <w:tcW w:w="451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b/>
                <w:bCs/>
                <w:sz w:val="20"/>
                <w:szCs w:val="20"/>
              </w:rPr>
            </w:pPr>
            <w:r>
              <w:rPr>
                <w:rFonts w:ascii="Times New Roman" w:hAnsi="Times New Roman" w:cs="Times New Roman"/>
                <w:b/>
                <w:bCs/>
                <w:sz w:val="20"/>
                <w:szCs w:val="20"/>
              </w:rPr>
              <w:t>MINISTERSTVO HOSPODÁRSTVA SR</w:t>
            </w:r>
          </w:p>
        </w:tc>
        <w:tc>
          <w:tcPr>
            <w:tcW w:w="1440" w:type="dxa"/>
            <w:tcBorders>
              <w:top w:val="single" w:sz="4" w:space="0" w:color="auto"/>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260" w:type="dxa"/>
            <w:tcBorders>
              <w:top w:val="single" w:sz="4" w:space="0" w:color="auto"/>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2 703 832</w:t>
            </w:r>
          </w:p>
        </w:tc>
        <w:tc>
          <w:tcPr>
            <w:tcW w:w="1260" w:type="dxa"/>
            <w:tcBorders>
              <w:top w:val="single" w:sz="4" w:space="0" w:color="auto"/>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3 893 897</w:t>
            </w:r>
          </w:p>
        </w:tc>
        <w:tc>
          <w:tcPr>
            <w:tcW w:w="1080" w:type="dxa"/>
            <w:tcBorders>
              <w:top w:val="single" w:sz="4" w:space="0" w:color="auto"/>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1</w:t>
            </w:r>
            <w:r w:rsidR="006112D2">
              <w:rPr>
                <w:rFonts w:ascii="Times New Roman" w:hAnsi="Times New Roman" w:cs="Times New Roman"/>
                <w:b/>
                <w:bCs/>
                <w:sz w:val="20"/>
                <w:szCs w:val="20"/>
              </w:rPr>
              <w:t xml:space="preserve"> </w:t>
            </w:r>
            <w:r>
              <w:rPr>
                <w:rFonts w:ascii="Times New Roman" w:hAnsi="Times New Roman" w:cs="Times New Roman"/>
                <w:b/>
                <w:bCs/>
                <w:sz w:val="20"/>
                <w:szCs w:val="20"/>
              </w:rPr>
              <w:t>190</w:t>
            </w:r>
            <w:r w:rsidR="006112D2">
              <w:rPr>
                <w:rFonts w:ascii="Times New Roman" w:hAnsi="Times New Roman" w:cs="Times New Roman"/>
                <w:b/>
                <w:bCs/>
                <w:sz w:val="20"/>
                <w:szCs w:val="20"/>
              </w:rPr>
              <w:t xml:space="preserve"> </w:t>
            </w:r>
            <w:r>
              <w:rPr>
                <w:rFonts w:ascii="Times New Roman" w:hAnsi="Times New Roman" w:cs="Times New Roman"/>
                <w:b/>
                <w:bCs/>
                <w:sz w:val="20"/>
                <w:szCs w:val="20"/>
              </w:rPr>
              <w:t>065</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rsidP="00401321">
            <w:pPr>
              <w:ind w:left="485" w:hanging="485"/>
              <w:rPr>
                <w:rFonts w:ascii="Times New Roman" w:hAnsi="Times New Roman" w:cs="Times New Roman"/>
                <w:sz w:val="20"/>
                <w:szCs w:val="20"/>
              </w:rPr>
            </w:pPr>
            <w:r>
              <w:rPr>
                <w:rFonts w:ascii="Times New Roman" w:hAnsi="Times New Roman" w:cs="Times New Roman"/>
                <w:sz w:val="20"/>
                <w:szCs w:val="20"/>
              </w:rPr>
              <w:t>v tom: ZŤS Výskumno - vývojový ústav Martin, a.s. v</w:t>
            </w:r>
            <w:r w:rsidR="00AD263C">
              <w:rPr>
                <w:rFonts w:ascii="Times New Roman" w:hAnsi="Times New Roman" w:cs="Times New Roman"/>
                <w:sz w:val="20"/>
                <w:szCs w:val="20"/>
              </w:rPr>
              <w:t> </w:t>
            </w:r>
            <w:r>
              <w:rPr>
                <w:rFonts w:ascii="Times New Roman" w:hAnsi="Times New Roman" w:cs="Times New Roman"/>
                <w:sz w:val="20"/>
                <w:szCs w:val="20"/>
              </w:rPr>
              <w:t>konkurze</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akcie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80 493</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80 493</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ZŤS Dubnica nad Váhom, a.s. v konkurze</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akcie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901 564</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901 564</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ZŤS TEES , a.s., Martin, v konkurze</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akcie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742 080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742 080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Transpetrol,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akcie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969 000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969 000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Javys,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akcie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6 000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6 000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Biont,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akcie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28 560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28560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MH Development, s.r.o.</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obch. podiel</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1 166 000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1 166 000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MH Invest, s.r.o.</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obch. podiel</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200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200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Sario,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akcie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1 095</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-1095</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ARMEX,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akcie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3 600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-3600</w:t>
            </w:r>
          </w:p>
        </w:tc>
      </w:tr>
      <w:tr>
        <w:tblPrEx>
          <w:tblW w:w="9555" w:type="dxa"/>
          <w:tblCellMar>
            <w:left w:w="70" w:type="dxa"/>
            <w:right w:w="70" w:type="dxa"/>
          </w:tblCellMar>
        </w:tblPrEx>
        <w:trPr>
          <w:trHeight w:val="300"/>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b/>
                <w:bCs/>
                <w:sz w:val="20"/>
                <w:szCs w:val="20"/>
              </w:rPr>
            </w:pPr>
            <w:r>
              <w:rPr>
                <w:rFonts w:ascii="Times New Roman" w:hAnsi="Times New Roman" w:cs="Times New Roman"/>
                <w:b/>
                <w:bCs/>
                <w:sz w:val="20"/>
                <w:szCs w:val="20"/>
              </w:rPr>
              <w:t>MINISTERSTVO PôDOHOSPODÁRSTVA SR</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198 794</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196 061</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-2733</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v tom: UniBanka,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akcie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25 901</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25 901</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Dlhodobé pôžičky</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 </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172 893</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170 160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-2733</w:t>
            </w:r>
          </w:p>
        </w:tc>
      </w:tr>
      <w:tr>
        <w:tblPrEx>
          <w:tblW w:w="9555" w:type="dxa"/>
          <w:tblCellMar>
            <w:left w:w="70" w:type="dxa"/>
            <w:right w:w="70" w:type="dxa"/>
          </w:tblCellMar>
        </w:tblPrEx>
        <w:trPr>
          <w:trHeight w:val="300"/>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b/>
                <w:bCs/>
                <w:sz w:val="20"/>
                <w:szCs w:val="20"/>
              </w:rPr>
            </w:pPr>
            <w:r w:rsidR="006766F0">
              <w:rPr>
                <w:rFonts w:ascii="Times New Roman" w:hAnsi="Times New Roman" w:cs="Times New Roman"/>
                <w:b/>
                <w:bCs/>
                <w:sz w:val="20"/>
                <w:szCs w:val="20"/>
              </w:rPr>
              <w:t>MINISTERSTVO DOPRAVY, PôŠT a TEL</w:t>
            </w:r>
            <w:r>
              <w:rPr>
                <w:rFonts w:ascii="Times New Roman" w:hAnsi="Times New Roman" w:cs="Times New Roman"/>
                <w:b/>
                <w:bCs/>
                <w:sz w:val="20"/>
                <w:szCs w:val="20"/>
              </w:rPr>
              <w:t>. SR</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134 294 431</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127 797 070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-6 497 361</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v tom: Slovenské aerolínie,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cenné papiere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62 872</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62 872</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METRO Bratislava,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cenné papiere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156 133</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156 133</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Slovak Telecom,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cenné pa</w:t>
            </w:r>
            <w:r w:rsidR="006766F0">
              <w:rPr>
                <w:rFonts w:ascii="Times New Roman" w:hAnsi="Times New Roman" w:cs="Times New Roman"/>
                <w:sz w:val="20"/>
                <w:szCs w:val="20"/>
              </w:rPr>
              <w:t>p</w:t>
            </w:r>
            <w:r>
              <w:rPr>
                <w:rFonts w:ascii="Times New Roman" w:hAnsi="Times New Roman" w:cs="Times New Roman"/>
                <w:sz w:val="20"/>
                <w:szCs w:val="20"/>
              </w:rPr>
              <w:t>iere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8 849 350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8 849 350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Poštová banka,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cenné papiere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2 532</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2 532</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Dopravná banka,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cenné papiere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20 000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20 000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r>
      <w:tr>
        <w:tblPrEx>
          <w:tblW w:w="9555" w:type="dxa"/>
          <w:tblCellMar>
            <w:left w:w="70" w:type="dxa"/>
            <w:right w:w="70" w:type="dxa"/>
          </w:tblCellMar>
        </w:tblPrEx>
        <w:trPr>
          <w:trHeight w:val="255"/>
        </w:trPr>
        <w:tc>
          <w:tcPr>
            <w:tcW w:w="451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Železničná spoločnosť, a.s.</w:t>
            </w:r>
          </w:p>
        </w:tc>
        <w:tc>
          <w:tcPr>
            <w:tcW w:w="1440" w:type="dxa"/>
            <w:tcBorders>
              <w:top w:val="single" w:sz="4" w:space="0" w:color="auto"/>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cenné papiere</w:t>
            </w:r>
          </w:p>
        </w:tc>
        <w:tc>
          <w:tcPr>
            <w:tcW w:w="1260" w:type="dxa"/>
            <w:tcBorders>
              <w:top w:val="single" w:sz="4" w:space="0" w:color="auto"/>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6 400 000</w:t>
            </w:r>
          </w:p>
        </w:tc>
        <w:tc>
          <w:tcPr>
            <w:tcW w:w="1260" w:type="dxa"/>
            <w:tcBorders>
              <w:top w:val="single" w:sz="4" w:space="0" w:color="auto"/>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6 400 000</w:t>
            </w:r>
          </w:p>
        </w:tc>
        <w:tc>
          <w:tcPr>
            <w:tcW w:w="1080" w:type="dxa"/>
            <w:tcBorders>
              <w:top w:val="single" w:sz="4" w:space="0" w:color="auto"/>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r>
      <w:tr>
        <w:tblPrEx>
          <w:tblW w:w="9555" w:type="dxa"/>
          <w:tblCellMar>
            <w:left w:w="70" w:type="dxa"/>
            <w:right w:w="70" w:type="dxa"/>
          </w:tblCellMar>
        </w:tblPrEx>
        <w:trPr>
          <w:trHeight w:val="255"/>
        </w:trPr>
        <w:tc>
          <w:tcPr>
            <w:tcW w:w="451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Železničná spoločnosť Cargo, a.s.</w:t>
            </w:r>
          </w:p>
        </w:tc>
        <w:tc>
          <w:tcPr>
            <w:tcW w:w="1440" w:type="dxa"/>
            <w:tcBorders>
              <w:top w:val="single" w:sz="4" w:space="0" w:color="auto"/>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cenné papiere</w:t>
            </w:r>
          </w:p>
        </w:tc>
        <w:tc>
          <w:tcPr>
            <w:tcW w:w="1260" w:type="dxa"/>
            <w:tcBorders>
              <w:top w:val="single" w:sz="4" w:space="0" w:color="auto"/>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12 100 000</w:t>
            </w:r>
          </w:p>
        </w:tc>
        <w:tc>
          <w:tcPr>
            <w:tcW w:w="1260" w:type="dxa"/>
            <w:tcBorders>
              <w:top w:val="single" w:sz="4" w:space="0" w:color="auto"/>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12 100 000</w:t>
            </w:r>
          </w:p>
        </w:tc>
        <w:tc>
          <w:tcPr>
            <w:tcW w:w="1080" w:type="dxa"/>
            <w:tcBorders>
              <w:top w:val="single" w:sz="4" w:space="0" w:color="auto"/>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Slovenská pošta,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cenné papiere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6 456 000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6 456 000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sidR="006766F0">
              <w:rPr>
                <w:rFonts w:ascii="Times New Roman" w:hAnsi="Times New Roman" w:cs="Times New Roman"/>
                <w:sz w:val="20"/>
                <w:szCs w:val="20"/>
              </w:rPr>
              <w:t xml:space="preserve">           Letisko M.R.</w:t>
            </w:r>
            <w:r>
              <w:rPr>
                <w:rFonts w:ascii="Times New Roman" w:hAnsi="Times New Roman" w:cs="Times New Roman"/>
                <w:sz w:val="20"/>
                <w:szCs w:val="20"/>
              </w:rPr>
              <w:t xml:space="preserve">Štefánika - Airport Bratislava, a.s. </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cenné papiere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6 709 643</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2 281 278</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-4 428 365</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Letisko Košice - Airport Košice,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cenné papiere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2 283 460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776 376</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-1 507 084</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Národná diaľničná spoločnosť,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cenné papiere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90 025 830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90 025 830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Letisková spoločnosť Žilina,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cenné papiere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1 260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430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-830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Letisko Poprad - Tatry,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cenné papiere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597 411</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203 120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-394 291</w:t>
            </w:r>
          </w:p>
        </w:tc>
      </w:tr>
      <w:tr>
        <w:tblPrEx>
          <w:tblW w:w="9555" w:type="dxa"/>
          <w:tblCellMar>
            <w:left w:w="70" w:type="dxa"/>
            <w:right w:w="70" w:type="dxa"/>
          </w:tblCellMar>
        </w:tblPrEx>
        <w:trPr>
          <w:trHeight w:val="255"/>
        </w:trPr>
        <w:tc>
          <w:tcPr>
            <w:tcW w:w="451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Letisko - Piešťany, a.s. </w:t>
            </w:r>
          </w:p>
        </w:tc>
        <w:tc>
          <w:tcPr>
            <w:tcW w:w="1440" w:type="dxa"/>
            <w:tcBorders>
              <w:top w:val="single" w:sz="4" w:space="0" w:color="auto"/>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cenné papiere</w:t>
            </w:r>
          </w:p>
        </w:tc>
        <w:tc>
          <w:tcPr>
            <w:tcW w:w="1260" w:type="dxa"/>
            <w:tcBorders>
              <w:top w:val="single" w:sz="4" w:space="0" w:color="auto"/>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446 118</w:t>
            </w:r>
          </w:p>
        </w:tc>
        <w:tc>
          <w:tcPr>
            <w:tcW w:w="1260" w:type="dxa"/>
            <w:tcBorders>
              <w:top w:val="single" w:sz="4" w:space="0" w:color="auto"/>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151 680</w:t>
            </w:r>
          </w:p>
        </w:tc>
        <w:tc>
          <w:tcPr>
            <w:tcW w:w="1080" w:type="dxa"/>
            <w:tcBorders>
              <w:top w:val="single" w:sz="4" w:space="0" w:color="auto"/>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-294 438</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Letisko Sliač, a.s. </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cenné papiere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25 353</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-25 353</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Spoločná zdravotná poisťovňa, a.s. </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cenné papiere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157 930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310 930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153 000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Dlhodobé pôžičky</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 </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539</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539</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r>
      <w:tr>
        <w:tblPrEx>
          <w:tblW w:w="9555" w:type="dxa"/>
          <w:tblCellMar>
            <w:left w:w="70" w:type="dxa"/>
            <w:right w:w="70" w:type="dxa"/>
          </w:tblCellMar>
        </w:tblPrEx>
        <w:trPr>
          <w:trHeight w:val="300"/>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b/>
                <w:bCs/>
                <w:sz w:val="20"/>
                <w:szCs w:val="20"/>
              </w:rPr>
            </w:pPr>
            <w:r>
              <w:rPr>
                <w:rFonts w:ascii="Times New Roman" w:hAnsi="Times New Roman" w:cs="Times New Roman"/>
                <w:b/>
                <w:bCs/>
                <w:sz w:val="20"/>
                <w:szCs w:val="20"/>
              </w:rPr>
              <w:t>MINISTERSTVO OBRANY SR</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160 005</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2 405 435</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2 245 430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v tom: Spoločná zdravotná poisťovňa,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rsidP="00401321">
            <w:pPr>
              <w:rPr>
                <w:rFonts w:ascii="Times New Roman" w:hAnsi="Times New Roman" w:cs="Times New Roman"/>
                <w:sz w:val="20"/>
                <w:szCs w:val="20"/>
              </w:rPr>
            </w:pPr>
            <w:r>
              <w:rPr>
                <w:rFonts w:ascii="Times New Roman" w:hAnsi="Times New Roman" w:cs="Times New Roman"/>
                <w:sz w:val="20"/>
                <w:szCs w:val="20"/>
              </w:rPr>
              <w:t>kmeňové akcie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153 285</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301 785</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148 500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Biont,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kmeňové akcie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6 720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6 720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r>
      <w:tr>
        <w:tblPrEx>
          <w:tblW w:w="9555" w:type="dxa"/>
          <w:tblCellMar>
            <w:left w:w="70" w:type="dxa"/>
            <w:right w:w="70" w:type="dxa"/>
          </w:tblCellMar>
        </w:tblPrEx>
        <w:trPr>
          <w:trHeight w:val="70"/>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Letisko Sliač, Sliač</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kmeňové akcie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17 000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17 000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Nemocnica MO SR, a.s., Bratislava</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kmeňové akcie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438 900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438 900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Letecká vojenská nemocnica, Košice</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kmeňové akcie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154 945</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154 945</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Letecké opravovne Trenčín</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kmeňové akcie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737 120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737 120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Vojenský opravárenský podnik, Trenčín</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kmeňové akcie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257 720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257 720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Vojenské zdravotnícke zariadenia, Piešťany</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kmeňové akcie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491 245</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491 245</w:t>
            </w:r>
          </w:p>
        </w:tc>
      </w:tr>
      <w:tr>
        <w:tblPrEx>
          <w:tblW w:w="9555" w:type="dxa"/>
          <w:tblCellMar>
            <w:left w:w="70" w:type="dxa"/>
            <w:right w:w="70" w:type="dxa"/>
          </w:tblCellMar>
        </w:tblPrEx>
        <w:trPr>
          <w:trHeight w:val="300"/>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b/>
                <w:bCs/>
                <w:sz w:val="20"/>
                <w:szCs w:val="20"/>
              </w:rPr>
            </w:pPr>
            <w:r>
              <w:rPr>
                <w:rFonts w:ascii="Times New Roman" w:hAnsi="Times New Roman" w:cs="Times New Roman"/>
                <w:b/>
                <w:bCs/>
                <w:sz w:val="20"/>
                <w:szCs w:val="20"/>
              </w:rPr>
              <w:t>MINISTERSTVO VNÚTRA SR</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302 702</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302 682</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-20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v tom:  Spoločná zdravotná poisťovňa, a.s.</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cenné papiere</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153 285</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301 785</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148 500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Podielové cenné pa</w:t>
            </w:r>
            <w:r w:rsidR="00401321">
              <w:rPr>
                <w:rFonts w:ascii="Times New Roman" w:hAnsi="Times New Roman" w:cs="Times New Roman"/>
                <w:sz w:val="20"/>
                <w:szCs w:val="20"/>
              </w:rPr>
              <w:t>p</w:t>
            </w:r>
            <w:r>
              <w:rPr>
                <w:rFonts w:ascii="Times New Roman" w:hAnsi="Times New Roman" w:cs="Times New Roman"/>
                <w:sz w:val="20"/>
                <w:szCs w:val="20"/>
              </w:rPr>
              <w:t>iere držané do splatnosti</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 xml:space="preserve">cenné papiere </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917</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897</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-20</w:t>
            </w:r>
          </w:p>
        </w:tc>
      </w:tr>
      <w:tr>
        <w:tblPrEx>
          <w:tblW w:w="9555" w:type="dxa"/>
          <w:tblCellMar>
            <w:left w:w="70" w:type="dxa"/>
            <w:right w:w="70" w:type="dxa"/>
          </w:tblCellMar>
        </w:tblPrEx>
        <w:trPr>
          <w:trHeight w:val="25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Obstaranie dlhodobého finančného majetku</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 </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148 500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-148 500</w:t>
            </w:r>
          </w:p>
        </w:tc>
      </w:tr>
      <w:tr>
        <w:tblPrEx>
          <w:tblW w:w="9555" w:type="dxa"/>
          <w:tblCellMar>
            <w:left w:w="70" w:type="dxa"/>
            <w:right w:w="70" w:type="dxa"/>
          </w:tblCellMar>
        </w:tblPrEx>
        <w:trPr>
          <w:trHeight w:val="315"/>
        </w:trPr>
        <w:tc>
          <w:tcPr>
            <w:tcW w:w="4515" w:type="dxa"/>
            <w:tcBorders>
              <w:top w:val="nil"/>
              <w:left w:val="single" w:sz="8" w:space="0" w:color="auto"/>
              <w:bottom w:val="single" w:sz="4" w:space="0" w:color="auto"/>
              <w:right w:val="single" w:sz="4" w:space="0" w:color="auto"/>
              <w:tl2br w:val="nil"/>
              <w:tr2bl w:val="nil"/>
            </w:tcBorders>
            <w:noWrap/>
            <w:textDirection w:val="lrTb"/>
            <w:vAlign w:val="bottom"/>
          </w:tcPr>
          <w:p w:rsidR="00841532">
            <w:pPr>
              <w:rPr>
                <w:rFonts w:ascii="Times New Roman" w:hAnsi="Times New Roman" w:cs="Times New Roman"/>
                <w:b/>
                <w:bCs/>
                <w:sz w:val="20"/>
                <w:szCs w:val="20"/>
              </w:rPr>
            </w:pPr>
            <w:r>
              <w:rPr>
                <w:rFonts w:ascii="Times New Roman" w:hAnsi="Times New Roman" w:cs="Times New Roman"/>
                <w:b/>
                <w:bCs/>
                <w:sz w:val="20"/>
                <w:szCs w:val="20"/>
              </w:rPr>
              <w:t>ÚRAD PRE MORMALIZÁCIU, METROL., A SKÚŠOBNÍCTVO SR</w:t>
            </w:r>
          </w:p>
        </w:tc>
        <w:tc>
          <w:tcPr>
            <w:tcW w:w="1440" w:type="dxa"/>
            <w:tcBorders>
              <w:top w:val="nil"/>
              <w:left w:val="nil"/>
              <w:bottom w:val="single" w:sz="4" w:space="0" w:color="auto"/>
              <w:right w:val="single" w:sz="4" w:space="0" w:color="auto"/>
              <w:tl2br w:val="nil"/>
              <w:tr2bl w:val="nil"/>
            </w:tcBorders>
            <w:noWrap/>
            <w:textDirection w:val="lrTb"/>
            <w:vAlign w:val="bottom"/>
          </w:tcPr>
          <w:p w:rsidR="00841532">
            <w:pPr>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1 138 520</w:t>
            </w:r>
          </w:p>
        </w:tc>
        <w:tc>
          <w:tcPr>
            <w:tcW w:w="1260" w:type="dxa"/>
            <w:tcBorders>
              <w:top w:val="nil"/>
              <w:left w:val="nil"/>
              <w:bottom w:val="single" w:sz="4"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1 138 520</w:t>
            </w:r>
          </w:p>
        </w:tc>
        <w:tc>
          <w:tcPr>
            <w:tcW w:w="1080" w:type="dxa"/>
            <w:tcBorders>
              <w:top w:val="nil"/>
              <w:left w:val="nil"/>
              <w:bottom w:val="single" w:sz="4" w:space="0" w:color="auto"/>
              <w:right w:val="single" w:sz="8"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0</w:t>
            </w:r>
          </w:p>
        </w:tc>
      </w:tr>
      <w:tr>
        <w:tblPrEx>
          <w:tblW w:w="9555" w:type="dxa"/>
          <w:tblCellMar>
            <w:left w:w="70" w:type="dxa"/>
            <w:right w:w="70" w:type="dxa"/>
          </w:tblCellMar>
        </w:tblPrEx>
        <w:trPr>
          <w:trHeight w:val="255"/>
        </w:trPr>
        <w:tc>
          <w:tcPr>
            <w:tcW w:w="4515" w:type="dxa"/>
            <w:tcBorders>
              <w:top w:val="nil"/>
              <w:left w:val="single" w:sz="8" w:space="0" w:color="auto"/>
              <w:bottom w:val="nil"/>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v tom :  Biont, a.s.</w:t>
            </w:r>
          </w:p>
        </w:tc>
        <w:tc>
          <w:tcPr>
            <w:tcW w:w="1440" w:type="dxa"/>
            <w:tcBorders>
              <w:top w:val="nil"/>
              <w:left w:val="nil"/>
              <w:bottom w:val="nil"/>
              <w:right w:val="single" w:sz="4" w:space="0" w:color="auto"/>
              <w:tl2br w:val="nil"/>
              <w:tr2bl w:val="nil"/>
            </w:tcBorders>
            <w:noWrap/>
            <w:textDirection w:val="lrTb"/>
            <w:vAlign w:val="bottom"/>
          </w:tcPr>
          <w:p w:rsidR="00841532">
            <w:pPr>
              <w:jc w:val="center"/>
              <w:rPr>
                <w:rFonts w:ascii="Times New Roman" w:hAnsi="Times New Roman" w:cs="Times New Roman"/>
                <w:sz w:val="20"/>
                <w:szCs w:val="20"/>
              </w:rPr>
            </w:pPr>
            <w:r>
              <w:rPr>
                <w:rFonts w:ascii="Times New Roman" w:hAnsi="Times New Roman" w:cs="Times New Roman"/>
                <w:sz w:val="20"/>
                <w:szCs w:val="20"/>
              </w:rPr>
              <w:t>kmeňové akcie</w:t>
            </w:r>
          </w:p>
        </w:tc>
        <w:tc>
          <w:tcPr>
            <w:tcW w:w="1260" w:type="dxa"/>
            <w:tcBorders>
              <w:top w:val="nil"/>
              <w:left w:val="nil"/>
              <w:bottom w:val="nil"/>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nil"/>
              <w:left w:val="nil"/>
              <w:bottom w:val="nil"/>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1 000 000</w:t>
            </w:r>
          </w:p>
        </w:tc>
        <w:tc>
          <w:tcPr>
            <w:tcW w:w="1080" w:type="dxa"/>
            <w:tcBorders>
              <w:top w:val="nil"/>
              <w:left w:val="nil"/>
              <w:bottom w:val="nil"/>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w:t>
            </w:r>
            <w:r w:rsidR="006112D2">
              <w:rPr>
                <w:rFonts w:ascii="Times New Roman" w:hAnsi="Times New Roman" w:cs="Times New Roman"/>
                <w:sz w:val="20"/>
                <w:szCs w:val="20"/>
              </w:rPr>
              <w:t xml:space="preserve"> </w:t>
            </w:r>
            <w:r>
              <w:rPr>
                <w:rFonts w:ascii="Times New Roman" w:hAnsi="Times New Roman" w:cs="Times New Roman"/>
                <w:sz w:val="20"/>
                <w:szCs w:val="20"/>
              </w:rPr>
              <w:t>000</w:t>
            </w:r>
            <w:r w:rsidR="006112D2">
              <w:rPr>
                <w:rFonts w:ascii="Times New Roman" w:hAnsi="Times New Roman" w:cs="Times New Roman"/>
                <w:sz w:val="20"/>
                <w:szCs w:val="20"/>
              </w:rPr>
              <w:t xml:space="preserve"> </w:t>
            </w:r>
            <w:r>
              <w:rPr>
                <w:rFonts w:ascii="Times New Roman" w:hAnsi="Times New Roman" w:cs="Times New Roman"/>
                <w:sz w:val="20"/>
                <w:szCs w:val="20"/>
              </w:rPr>
              <w:t>000</w:t>
            </w:r>
          </w:p>
        </w:tc>
      </w:tr>
      <w:tr>
        <w:tblPrEx>
          <w:tblW w:w="9555" w:type="dxa"/>
          <w:tblCellMar>
            <w:left w:w="70" w:type="dxa"/>
            <w:right w:w="70" w:type="dxa"/>
          </w:tblCellMar>
        </w:tblPrEx>
        <w:trPr>
          <w:trHeight w:val="270"/>
        </w:trPr>
        <w:tc>
          <w:tcPr>
            <w:tcW w:w="4515" w:type="dxa"/>
            <w:tcBorders>
              <w:top w:val="single" w:sz="4" w:space="0" w:color="auto"/>
              <w:left w:val="single" w:sz="8" w:space="0" w:color="auto"/>
              <w:bottom w:val="single" w:sz="8"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xml:space="preserve">            Obstaranie dlhodobého finančného majetku </w:t>
            </w:r>
          </w:p>
        </w:tc>
        <w:tc>
          <w:tcPr>
            <w:tcW w:w="1440" w:type="dxa"/>
            <w:tcBorders>
              <w:top w:val="single" w:sz="4" w:space="0" w:color="auto"/>
              <w:left w:val="nil"/>
              <w:bottom w:val="single" w:sz="8"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w:t>
            </w:r>
          </w:p>
        </w:tc>
        <w:tc>
          <w:tcPr>
            <w:tcW w:w="1260" w:type="dxa"/>
            <w:tcBorders>
              <w:top w:val="single" w:sz="4" w:space="0" w:color="auto"/>
              <w:left w:val="nil"/>
              <w:bottom w:val="single" w:sz="8"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1 138 520</w:t>
            </w:r>
          </w:p>
        </w:tc>
        <w:tc>
          <w:tcPr>
            <w:tcW w:w="1260" w:type="dxa"/>
            <w:tcBorders>
              <w:top w:val="single" w:sz="4" w:space="0" w:color="auto"/>
              <w:left w:val="nil"/>
              <w:bottom w:val="single" w:sz="8" w:space="0" w:color="auto"/>
              <w:right w:val="single" w:sz="4"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138 520</w:t>
            </w:r>
          </w:p>
        </w:tc>
        <w:tc>
          <w:tcPr>
            <w:tcW w:w="1080" w:type="dxa"/>
            <w:tcBorders>
              <w:top w:val="single" w:sz="4" w:space="0" w:color="auto"/>
              <w:left w:val="nil"/>
              <w:bottom w:val="single" w:sz="8" w:space="0" w:color="auto"/>
              <w:right w:val="single" w:sz="8" w:space="0" w:color="auto"/>
              <w:tl2br w:val="nil"/>
              <w:tr2bl w:val="nil"/>
            </w:tcBorders>
            <w:noWrap/>
            <w:textDirection w:val="lrTb"/>
            <w:vAlign w:val="bottom"/>
          </w:tcPr>
          <w:p w:rsidR="00841532">
            <w:pPr>
              <w:jc w:val="right"/>
              <w:rPr>
                <w:rFonts w:ascii="Times New Roman" w:hAnsi="Times New Roman" w:cs="Times New Roman"/>
                <w:sz w:val="20"/>
                <w:szCs w:val="20"/>
              </w:rPr>
            </w:pPr>
            <w:r>
              <w:rPr>
                <w:rFonts w:ascii="Times New Roman" w:hAnsi="Times New Roman" w:cs="Times New Roman"/>
                <w:sz w:val="20"/>
                <w:szCs w:val="20"/>
              </w:rPr>
              <w:t>-1</w:t>
            </w:r>
            <w:r w:rsidR="006112D2">
              <w:rPr>
                <w:rFonts w:ascii="Times New Roman" w:hAnsi="Times New Roman" w:cs="Times New Roman"/>
                <w:sz w:val="20"/>
                <w:szCs w:val="20"/>
              </w:rPr>
              <w:t xml:space="preserve"> </w:t>
            </w:r>
            <w:r>
              <w:rPr>
                <w:rFonts w:ascii="Times New Roman" w:hAnsi="Times New Roman" w:cs="Times New Roman"/>
                <w:sz w:val="20"/>
                <w:szCs w:val="20"/>
              </w:rPr>
              <w:t>000</w:t>
            </w:r>
            <w:r w:rsidR="006112D2">
              <w:rPr>
                <w:rFonts w:ascii="Times New Roman" w:hAnsi="Times New Roman" w:cs="Times New Roman"/>
                <w:sz w:val="20"/>
                <w:szCs w:val="20"/>
              </w:rPr>
              <w:t xml:space="preserve"> </w:t>
            </w:r>
            <w:r>
              <w:rPr>
                <w:rFonts w:ascii="Times New Roman" w:hAnsi="Times New Roman" w:cs="Times New Roman"/>
                <w:sz w:val="20"/>
                <w:szCs w:val="20"/>
              </w:rPr>
              <w:t>000</w:t>
            </w:r>
          </w:p>
        </w:tc>
      </w:tr>
      <w:tr>
        <w:tblPrEx>
          <w:tblW w:w="9555" w:type="dxa"/>
          <w:tblCellMar>
            <w:left w:w="70" w:type="dxa"/>
            <w:right w:w="70" w:type="dxa"/>
          </w:tblCellMar>
        </w:tblPrEx>
        <w:trPr>
          <w:trHeight w:val="180"/>
        </w:trPr>
        <w:tc>
          <w:tcPr>
            <w:tcW w:w="4515" w:type="dxa"/>
            <w:tcBorders>
              <w:top w:val="single" w:sz="4" w:space="0" w:color="auto"/>
              <w:left w:val="single" w:sz="8" w:space="0" w:color="auto"/>
              <w:bottom w:val="double" w:sz="6" w:space="0" w:color="auto"/>
              <w:right w:val="single" w:sz="4" w:space="0" w:color="auto"/>
              <w:tl2br w:val="nil"/>
              <w:tr2bl w:val="nil"/>
            </w:tcBorders>
            <w:noWrap/>
            <w:textDirection w:val="lrTb"/>
            <w:vAlign w:val="bottom"/>
          </w:tcPr>
          <w:p w:rsidR="00841532">
            <w:pPr>
              <w:rPr>
                <w:rFonts w:ascii="Times New Roman" w:hAnsi="Times New Roman" w:cs="Times New Roman"/>
                <w:b/>
                <w:bCs/>
                <w:sz w:val="20"/>
                <w:szCs w:val="20"/>
              </w:rPr>
            </w:pPr>
            <w:r>
              <w:rPr>
                <w:rFonts w:ascii="Times New Roman" w:hAnsi="Times New Roman" w:cs="Times New Roman"/>
                <w:b/>
                <w:bCs/>
                <w:sz w:val="20"/>
                <w:szCs w:val="20"/>
              </w:rPr>
              <w:t>SPOLU</w:t>
            </w:r>
          </w:p>
        </w:tc>
        <w:tc>
          <w:tcPr>
            <w:tcW w:w="1440" w:type="dxa"/>
            <w:tcBorders>
              <w:top w:val="single" w:sz="4" w:space="0" w:color="auto"/>
              <w:left w:val="nil"/>
              <w:bottom w:val="double" w:sz="6" w:space="0" w:color="auto"/>
              <w:right w:val="single" w:sz="4" w:space="0" w:color="auto"/>
              <w:tl2br w:val="nil"/>
              <w:tr2bl w:val="nil"/>
            </w:tcBorders>
            <w:noWrap/>
            <w:textDirection w:val="lrTb"/>
            <w:vAlign w:val="bottom"/>
          </w:tcPr>
          <w:p w:rsidR="00841532">
            <w:pPr>
              <w:rPr>
                <w:rFonts w:ascii="Times New Roman" w:hAnsi="Times New Roman" w:cs="Times New Roman"/>
                <w:sz w:val="20"/>
                <w:szCs w:val="20"/>
              </w:rPr>
            </w:pPr>
            <w:r>
              <w:rPr>
                <w:rFonts w:ascii="Times New Roman" w:hAnsi="Times New Roman" w:cs="Times New Roman"/>
                <w:sz w:val="20"/>
                <w:szCs w:val="20"/>
              </w:rPr>
              <w:t> </w:t>
            </w:r>
          </w:p>
        </w:tc>
        <w:tc>
          <w:tcPr>
            <w:tcW w:w="1260" w:type="dxa"/>
            <w:tcBorders>
              <w:top w:val="single" w:sz="4" w:space="0" w:color="auto"/>
              <w:left w:val="nil"/>
              <w:bottom w:val="double" w:sz="6"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143 903 619</w:t>
            </w:r>
          </w:p>
        </w:tc>
        <w:tc>
          <w:tcPr>
            <w:tcW w:w="1260" w:type="dxa"/>
            <w:tcBorders>
              <w:top w:val="single" w:sz="4" w:space="0" w:color="auto"/>
              <w:left w:val="nil"/>
              <w:bottom w:val="double" w:sz="6" w:space="0" w:color="auto"/>
              <w:right w:val="single" w:sz="4"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137 325 256</w:t>
            </w:r>
          </w:p>
        </w:tc>
        <w:tc>
          <w:tcPr>
            <w:tcW w:w="1080" w:type="dxa"/>
            <w:tcBorders>
              <w:top w:val="single" w:sz="4" w:space="0" w:color="auto"/>
              <w:left w:val="nil"/>
              <w:bottom w:val="double" w:sz="6" w:space="0" w:color="auto"/>
              <w:right w:val="single" w:sz="8" w:space="0" w:color="auto"/>
              <w:tl2br w:val="nil"/>
              <w:tr2bl w:val="nil"/>
            </w:tcBorders>
            <w:noWrap/>
            <w:textDirection w:val="lrTb"/>
            <w:vAlign w:val="bottom"/>
          </w:tcPr>
          <w:p w:rsidR="00841532">
            <w:pPr>
              <w:jc w:val="right"/>
              <w:rPr>
                <w:rFonts w:ascii="Times New Roman" w:hAnsi="Times New Roman" w:cs="Times New Roman"/>
                <w:b/>
                <w:bCs/>
                <w:sz w:val="20"/>
                <w:szCs w:val="20"/>
              </w:rPr>
            </w:pPr>
            <w:r>
              <w:rPr>
                <w:rFonts w:ascii="Times New Roman" w:hAnsi="Times New Roman" w:cs="Times New Roman"/>
                <w:b/>
                <w:bCs/>
                <w:sz w:val="20"/>
                <w:szCs w:val="20"/>
              </w:rPr>
              <w:t>-6 578 363</w:t>
            </w:r>
          </w:p>
        </w:tc>
      </w:tr>
    </w:tbl>
    <w:p w:rsidR="00B534F8" w:rsidP="00B534F8">
      <w:pPr>
        <w:spacing w:before="12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Zdroj: Ministerstvo financií SR</w:t>
      </w:r>
    </w:p>
    <w:p w:rsidR="00B534F8" w:rsidP="00B534F8">
      <w:pPr>
        <w:spacing w:line="360" w:lineRule="auto"/>
        <w:jc w:val="both"/>
        <w:rPr>
          <w:rFonts w:ascii="Times New Roman" w:hAnsi="Times New Roman" w:cs="Times New Roman"/>
        </w:rPr>
      </w:pPr>
      <w:r>
        <w:rPr>
          <w:rFonts w:ascii="Times New Roman" w:hAnsi="Times New Roman" w:cs="Times New Roman"/>
        </w:rPr>
        <w:t>Rozhodujúca zmena v majetkových podieloch štátu v priebehu roka 2006 bola zaznamenaná v majetkových podieloch MF SR a MZ SR v spoločnosti Veriteľ, a.s., Bratislava v dôsledku ukončenia likvidácie tejto spoločnosti v celkovej sume 3 436,1 mil. Sk. V  procese privatizácie bol v rámci priameho predaja vopred určenému záujemcovi odpredaný majetok v sume 5 935,4 mil. Sk, týkajúci sa Letiska M.R. Štefánika – Airport Bratislava, a.s., (BTS) a Letiska Košice – Airport Košice, a.s.. Vyššie uvedený úbytok majetku bol čiastočne  kompenzovaný  vznikom obchodného podielu v kapitole Ministerstva hospodárstva SR vlastníctvom obchodných podielov v spoločnostiach MH Development, s.r.o. a MH Invest, s.r.o. v sume 1 166,2 mil. Sk.</w:t>
      </w:r>
    </w:p>
    <w:p w:rsidR="00B534F8" w:rsidRPr="00A522AA" w:rsidP="00B534F8">
      <w:pPr>
        <w:spacing w:line="360" w:lineRule="auto"/>
        <w:jc w:val="both"/>
        <w:rPr>
          <w:rFonts w:ascii="Times New Roman" w:hAnsi="Times New Roman" w:cs="Times New Roman"/>
        </w:rPr>
      </w:pPr>
    </w:p>
    <w:p w:rsidR="00B534F8" w:rsidRPr="00863DCF" w:rsidP="00B534F8">
      <w:pPr>
        <w:jc w:val="center"/>
        <w:rPr>
          <w:rFonts w:ascii="Times New Roman" w:hAnsi="Times New Roman" w:cs="Times New Roman"/>
          <w:u w:val="single"/>
        </w:rPr>
      </w:pPr>
      <w:r w:rsidRPr="00863DCF">
        <w:rPr>
          <w:rFonts w:ascii="Times New Roman" w:hAnsi="Times New Roman" w:cs="Times New Roman"/>
          <w:u w:val="single"/>
        </w:rPr>
        <w:t>b) Pohľadávky z návratných finančných výpomocí</w:t>
      </w:r>
    </w:p>
    <w:p w:rsidR="00B534F8" w:rsidRPr="00863DCF" w:rsidP="00B534F8">
      <w:pPr>
        <w:rPr>
          <w:rFonts w:ascii="Times New Roman" w:hAnsi="Times New Roman" w:cs="Times New Roman"/>
        </w:rPr>
      </w:pPr>
    </w:p>
    <w:p w:rsidR="00B534F8" w:rsidRPr="00280AFE" w:rsidP="00280AFE">
      <w:pPr>
        <w:spacing w:line="360" w:lineRule="auto"/>
        <w:ind w:firstLine="709"/>
        <w:jc w:val="both"/>
        <w:rPr>
          <w:rFonts w:ascii="Times New Roman" w:hAnsi="Times New Roman" w:cs="Times New Roman"/>
        </w:rPr>
      </w:pPr>
      <w:r w:rsidRPr="00863DCF">
        <w:rPr>
          <w:rFonts w:ascii="Times New Roman" w:hAnsi="Times New Roman" w:cs="Times New Roman"/>
        </w:rPr>
        <w:t>Vývoj stavu pohľadávok z poskytnutých návratných finančných výpomocí a zrealizovaných záruk poskytuje nasledovný prehľad (v mil. Sk):</w:t>
      </w:r>
    </w:p>
    <w:p w:rsidR="00B534F8" w:rsidP="00B534F8">
      <w:pPr>
        <w:pStyle w:val="Zkladntext"/>
        <w:spacing w:line="360" w:lineRule="atLeast"/>
        <w:jc w:val="both"/>
        <w:rPr>
          <w:rFonts w:ascii="Arial Narrow" w:hAnsi="Arial Narrow" w:cs="Times New Roman"/>
          <w:sz w:val="22"/>
          <w:szCs w:val="22"/>
        </w:rPr>
      </w:pPr>
    </w:p>
    <w:tbl>
      <w:tblPr>
        <w:tblW w:w="9015" w:type="dxa"/>
        <w:tblInd w:w="55"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CellMar>
          <w:left w:w="70" w:type="dxa"/>
          <w:right w:w="70" w:type="dxa"/>
        </w:tblCellMar>
      </w:tblPr>
      <w:tblGrid>
        <w:gridCol w:w="4840"/>
        <w:gridCol w:w="1412"/>
        <w:gridCol w:w="1418"/>
        <w:gridCol w:w="1345"/>
      </w:tblGrid>
      <w:tr>
        <w:tblPrEx>
          <w:tblW w:w="9015" w:type="dxa"/>
          <w:tblInd w:w="55"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CellMar>
            <w:left w:w="70" w:type="dxa"/>
            <w:right w:w="70" w:type="dxa"/>
          </w:tblCellMar>
        </w:tblPrEx>
        <w:trPr>
          <w:trHeight w:val="530"/>
        </w:trPr>
        <w:tc>
          <w:tcPr>
            <w:tcW w:w="4840"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B534F8" w:rsidRPr="00280AFE" w:rsidP="00280AFE">
            <w:pPr>
              <w:jc w:val="center"/>
              <w:rPr>
                <w:rFonts w:ascii="Times New Roman" w:hAnsi="Times New Roman" w:cs="Times New Roman"/>
                <w:b/>
                <w:bCs/>
                <w:color w:val="000000"/>
                <w:sz w:val="20"/>
                <w:szCs w:val="20"/>
              </w:rPr>
            </w:pPr>
            <w:r w:rsidRPr="00280AFE">
              <w:rPr>
                <w:rFonts w:ascii="Times New Roman" w:hAnsi="Times New Roman" w:cs="Times New Roman"/>
                <w:b/>
                <w:bCs/>
                <w:color w:val="000000"/>
                <w:sz w:val="20"/>
                <w:szCs w:val="20"/>
              </w:rPr>
              <w:t>Položka aktív</w:t>
            </w:r>
          </w:p>
        </w:tc>
        <w:tc>
          <w:tcPr>
            <w:tcW w:w="1412"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B534F8" w:rsidRPr="00280AFE" w:rsidP="00280AFE">
            <w:pPr>
              <w:jc w:val="center"/>
              <w:rPr>
                <w:rFonts w:ascii="Times New Roman" w:hAnsi="Times New Roman" w:cs="Times New Roman"/>
                <w:b/>
                <w:bCs/>
                <w:color w:val="000000"/>
                <w:sz w:val="20"/>
                <w:szCs w:val="20"/>
              </w:rPr>
            </w:pPr>
            <w:r w:rsidRPr="00280AFE">
              <w:rPr>
                <w:rFonts w:ascii="Times New Roman" w:hAnsi="Times New Roman" w:cs="Times New Roman"/>
                <w:b/>
                <w:bCs/>
                <w:color w:val="000000"/>
                <w:sz w:val="20"/>
                <w:szCs w:val="20"/>
              </w:rPr>
              <w:t>Stav</w:t>
            </w:r>
          </w:p>
          <w:p w:rsidR="00B534F8" w:rsidRPr="00280AFE" w:rsidP="00280AFE">
            <w:pPr>
              <w:jc w:val="center"/>
              <w:rPr>
                <w:rFonts w:ascii="Times New Roman" w:hAnsi="Times New Roman" w:cs="Times New Roman"/>
                <w:b/>
                <w:bCs/>
                <w:color w:val="000000"/>
                <w:sz w:val="20"/>
                <w:szCs w:val="20"/>
              </w:rPr>
            </w:pPr>
            <w:r w:rsidRPr="00280AFE">
              <w:rPr>
                <w:rFonts w:ascii="Times New Roman" w:hAnsi="Times New Roman" w:cs="Times New Roman"/>
                <w:b/>
                <w:bCs/>
                <w:color w:val="000000"/>
                <w:sz w:val="20"/>
                <w:szCs w:val="20"/>
              </w:rPr>
              <w:t>k 31.12.2005</w:t>
            </w:r>
          </w:p>
        </w:tc>
        <w:tc>
          <w:tcPr>
            <w:tcW w:w="1418"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B534F8" w:rsidRPr="00280AFE" w:rsidP="00280AFE">
            <w:pPr>
              <w:jc w:val="center"/>
              <w:rPr>
                <w:rFonts w:ascii="Times New Roman" w:hAnsi="Times New Roman" w:cs="Times New Roman"/>
                <w:b/>
                <w:bCs/>
                <w:color w:val="000000"/>
                <w:sz w:val="20"/>
                <w:szCs w:val="20"/>
              </w:rPr>
            </w:pPr>
            <w:r w:rsidRPr="00280AFE">
              <w:rPr>
                <w:rFonts w:ascii="Times New Roman" w:hAnsi="Times New Roman" w:cs="Times New Roman"/>
                <w:b/>
                <w:bCs/>
                <w:color w:val="000000"/>
                <w:sz w:val="20"/>
                <w:szCs w:val="20"/>
              </w:rPr>
              <w:t>Stav</w:t>
            </w:r>
          </w:p>
          <w:p w:rsidR="00B534F8" w:rsidRPr="00280AFE" w:rsidP="00280AFE">
            <w:pPr>
              <w:jc w:val="center"/>
              <w:rPr>
                <w:rFonts w:ascii="Times New Roman" w:hAnsi="Times New Roman" w:cs="Times New Roman"/>
                <w:b/>
                <w:bCs/>
                <w:color w:val="000000"/>
                <w:sz w:val="20"/>
                <w:szCs w:val="20"/>
              </w:rPr>
            </w:pPr>
            <w:r w:rsidRPr="00280AFE">
              <w:rPr>
                <w:rFonts w:ascii="Times New Roman" w:hAnsi="Times New Roman" w:cs="Times New Roman"/>
                <w:b/>
                <w:bCs/>
                <w:color w:val="000000"/>
                <w:sz w:val="20"/>
                <w:szCs w:val="20"/>
              </w:rPr>
              <w:t>k 31.12.2006</w:t>
            </w:r>
          </w:p>
        </w:tc>
        <w:tc>
          <w:tcPr>
            <w:tcW w:w="1345"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B534F8" w:rsidRPr="00280AFE" w:rsidP="00280AFE">
            <w:pPr>
              <w:jc w:val="center"/>
              <w:rPr>
                <w:rFonts w:ascii="Times New Roman" w:hAnsi="Times New Roman" w:cs="Times New Roman"/>
                <w:b/>
                <w:bCs/>
                <w:color w:val="000000"/>
                <w:sz w:val="20"/>
                <w:szCs w:val="20"/>
              </w:rPr>
            </w:pPr>
            <w:r w:rsidRPr="00280AFE">
              <w:rPr>
                <w:rFonts w:ascii="Times New Roman" w:hAnsi="Times New Roman" w:cs="Times New Roman"/>
                <w:b/>
                <w:bCs/>
                <w:color w:val="000000"/>
                <w:sz w:val="20"/>
                <w:szCs w:val="20"/>
              </w:rPr>
              <w:t>Zmena</w:t>
            </w:r>
          </w:p>
        </w:tc>
      </w:tr>
      <w:tr>
        <w:tblPrEx>
          <w:tblW w:w="9015" w:type="dxa"/>
          <w:tblInd w:w="55" w:type="dxa"/>
          <w:tblLayout w:type="fixed"/>
          <w:tblCellMar>
            <w:left w:w="70" w:type="dxa"/>
            <w:right w:w="70" w:type="dxa"/>
          </w:tblCellMar>
        </w:tblPrEx>
        <w:trPr>
          <w:trHeight w:val="270"/>
        </w:trPr>
        <w:tc>
          <w:tcPr>
            <w:tcW w:w="484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280AFE" w:rsidP="00B534F8">
            <w:pPr>
              <w:rPr>
                <w:rFonts w:ascii="Times New Roman" w:hAnsi="Times New Roman" w:cs="Times New Roman"/>
                <w:sz w:val="20"/>
                <w:szCs w:val="20"/>
              </w:rPr>
            </w:pPr>
            <w:r w:rsidRPr="00280AFE">
              <w:rPr>
                <w:rFonts w:ascii="Times New Roman" w:hAnsi="Times New Roman" w:cs="Times New Roman"/>
                <w:sz w:val="20"/>
                <w:szCs w:val="20"/>
              </w:rPr>
              <w:t xml:space="preserve">Návratné finančné výpomoci </w:t>
            </w:r>
          </w:p>
        </w:tc>
        <w:tc>
          <w:tcPr>
            <w:tcW w:w="14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280AFE" w:rsidP="00B534F8">
            <w:pPr>
              <w:jc w:val="right"/>
              <w:rPr>
                <w:rFonts w:ascii="Times New Roman" w:hAnsi="Times New Roman" w:cs="Times New Roman"/>
                <w:sz w:val="20"/>
                <w:szCs w:val="20"/>
              </w:rPr>
            </w:pPr>
            <w:r w:rsidRPr="00280AFE">
              <w:rPr>
                <w:rFonts w:ascii="Times New Roman" w:hAnsi="Times New Roman" w:cs="Times New Roman"/>
                <w:sz w:val="20"/>
                <w:szCs w:val="20"/>
              </w:rPr>
              <w:t>29 939,1</w:t>
            </w: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280AFE" w:rsidP="00B534F8">
            <w:pPr>
              <w:jc w:val="right"/>
              <w:rPr>
                <w:rFonts w:ascii="Times New Roman" w:hAnsi="Times New Roman" w:cs="Times New Roman"/>
                <w:sz w:val="20"/>
                <w:szCs w:val="20"/>
              </w:rPr>
            </w:pPr>
            <w:r w:rsidRPr="00280AFE">
              <w:rPr>
                <w:rFonts w:ascii="Times New Roman" w:hAnsi="Times New Roman" w:cs="Times New Roman"/>
                <w:sz w:val="20"/>
                <w:szCs w:val="20"/>
              </w:rPr>
              <w:t>2 372,8</w:t>
            </w:r>
          </w:p>
        </w:tc>
        <w:tc>
          <w:tcPr>
            <w:tcW w:w="13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280AFE" w:rsidP="00B534F8">
            <w:pPr>
              <w:jc w:val="right"/>
              <w:rPr>
                <w:rFonts w:ascii="Times New Roman" w:hAnsi="Times New Roman" w:cs="Times New Roman"/>
                <w:sz w:val="20"/>
                <w:szCs w:val="20"/>
              </w:rPr>
            </w:pPr>
            <w:r w:rsidRPr="00280AFE">
              <w:rPr>
                <w:rFonts w:ascii="Times New Roman" w:hAnsi="Times New Roman" w:cs="Times New Roman"/>
                <w:sz w:val="20"/>
                <w:szCs w:val="20"/>
              </w:rPr>
              <w:t>-27 566,3</w:t>
            </w:r>
          </w:p>
        </w:tc>
      </w:tr>
      <w:tr>
        <w:tblPrEx>
          <w:tblW w:w="9015" w:type="dxa"/>
          <w:tblInd w:w="55" w:type="dxa"/>
          <w:tblLayout w:type="fixed"/>
          <w:tblCellMar>
            <w:left w:w="70" w:type="dxa"/>
            <w:right w:w="70" w:type="dxa"/>
          </w:tblCellMar>
        </w:tblPrEx>
        <w:trPr>
          <w:trHeight w:val="270"/>
        </w:trPr>
        <w:tc>
          <w:tcPr>
            <w:tcW w:w="484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280AFE" w:rsidP="00B534F8">
            <w:pPr>
              <w:rPr>
                <w:rFonts w:ascii="Times New Roman" w:hAnsi="Times New Roman" w:cs="Times New Roman"/>
                <w:sz w:val="20"/>
                <w:szCs w:val="20"/>
              </w:rPr>
            </w:pPr>
            <w:r w:rsidRPr="00280AFE">
              <w:rPr>
                <w:rFonts w:ascii="Times New Roman" w:hAnsi="Times New Roman" w:cs="Times New Roman"/>
                <w:sz w:val="20"/>
                <w:szCs w:val="20"/>
              </w:rPr>
              <w:t>Zrealizované štátne záruky</w:t>
            </w:r>
          </w:p>
        </w:tc>
        <w:tc>
          <w:tcPr>
            <w:tcW w:w="14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280AFE" w:rsidP="00B534F8">
            <w:pPr>
              <w:jc w:val="right"/>
              <w:rPr>
                <w:rFonts w:ascii="Times New Roman" w:hAnsi="Times New Roman" w:cs="Times New Roman"/>
                <w:sz w:val="20"/>
                <w:szCs w:val="20"/>
              </w:rPr>
            </w:pPr>
            <w:r w:rsidRPr="00280AFE">
              <w:rPr>
                <w:rFonts w:ascii="Times New Roman" w:hAnsi="Times New Roman" w:cs="Times New Roman"/>
                <w:sz w:val="20"/>
                <w:szCs w:val="20"/>
              </w:rPr>
              <w:t>14 620,5</w:t>
            </w: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280AFE" w:rsidP="00B534F8">
            <w:pPr>
              <w:jc w:val="right"/>
              <w:rPr>
                <w:rFonts w:ascii="Times New Roman" w:hAnsi="Times New Roman" w:cs="Times New Roman"/>
                <w:sz w:val="20"/>
                <w:szCs w:val="20"/>
              </w:rPr>
            </w:pPr>
            <w:r w:rsidRPr="00280AFE">
              <w:rPr>
                <w:rFonts w:ascii="Times New Roman" w:hAnsi="Times New Roman" w:cs="Times New Roman"/>
                <w:sz w:val="20"/>
                <w:szCs w:val="20"/>
              </w:rPr>
              <w:t>14 170,3</w:t>
            </w:r>
          </w:p>
        </w:tc>
        <w:tc>
          <w:tcPr>
            <w:tcW w:w="13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280AFE" w:rsidP="00B534F8">
            <w:pPr>
              <w:jc w:val="right"/>
              <w:rPr>
                <w:rFonts w:ascii="Times New Roman" w:hAnsi="Times New Roman" w:cs="Times New Roman"/>
                <w:sz w:val="20"/>
                <w:szCs w:val="20"/>
              </w:rPr>
            </w:pPr>
            <w:r w:rsidRPr="00280AFE">
              <w:rPr>
                <w:rFonts w:ascii="Times New Roman" w:hAnsi="Times New Roman" w:cs="Times New Roman"/>
                <w:sz w:val="20"/>
                <w:szCs w:val="20"/>
              </w:rPr>
              <w:t>-450,2</w:t>
            </w:r>
          </w:p>
        </w:tc>
      </w:tr>
      <w:tr>
        <w:tblPrEx>
          <w:tblW w:w="9015" w:type="dxa"/>
          <w:tblInd w:w="55" w:type="dxa"/>
          <w:tblLayout w:type="fixed"/>
          <w:tblCellMar>
            <w:left w:w="70" w:type="dxa"/>
            <w:right w:w="70" w:type="dxa"/>
          </w:tblCellMar>
        </w:tblPrEx>
        <w:trPr>
          <w:trHeight w:val="270"/>
        </w:trPr>
        <w:tc>
          <w:tcPr>
            <w:tcW w:w="4840"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280AFE" w:rsidP="00B534F8">
            <w:pPr>
              <w:rPr>
                <w:rFonts w:ascii="Times New Roman" w:hAnsi="Times New Roman" w:cs="Times New Roman"/>
                <w:sz w:val="20"/>
                <w:szCs w:val="20"/>
              </w:rPr>
            </w:pPr>
            <w:r w:rsidRPr="00280AFE">
              <w:rPr>
                <w:rFonts w:ascii="Times New Roman" w:hAnsi="Times New Roman" w:cs="Times New Roman"/>
                <w:sz w:val="20"/>
                <w:szCs w:val="20"/>
              </w:rPr>
              <w:t>Osobitná záruka vlády SR</w:t>
            </w:r>
          </w:p>
        </w:tc>
        <w:tc>
          <w:tcPr>
            <w:tcW w:w="14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280AFE" w:rsidP="00B534F8">
            <w:pPr>
              <w:jc w:val="right"/>
              <w:rPr>
                <w:rFonts w:ascii="Times New Roman" w:hAnsi="Times New Roman" w:cs="Times New Roman"/>
                <w:sz w:val="20"/>
                <w:szCs w:val="20"/>
              </w:rPr>
            </w:pPr>
            <w:r w:rsidRPr="00280AFE">
              <w:rPr>
                <w:rFonts w:ascii="Times New Roman" w:hAnsi="Times New Roman" w:cs="Times New Roman"/>
                <w:sz w:val="20"/>
                <w:szCs w:val="20"/>
              </w:rPr>
              <w:t>5 719,4</w:t>
            </w: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280AFE" w:rsidP="00B534F8">
            <w:pPr>
              <w:jc w:val="right"/>
              <w:rPr>
                <w:rFonts w:ascii="Times New Roman" w:hAnsi="Times New Roman" w:cs="Times New Roman"/>
                <w:sz w:val="20"/>
                <w:szCs w:val="20"/>
              </w:rPr>
            </w:pPr>
            <w:r w:rsidRPr="00280AFE">
              <w:rPr>
                <w:rFonts w:ascii="Times New Roman" w:hAnsi="Times New Roman" w:cs="Times New Roman"/>
                <w:sz w:val="20"/>
                <w:szCs w:val="20"/>
              </w:rPr>
              <w:t>0,0</w:t>
            </w:r>
          </w:p>
        </w:tc>
        <w:tc>
          <w:tcPr>
            <w:tcW w:w="134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280AFE" w:rsidP="00B534F8">
            <w:pPr>
              <w:jc w:val="right"/>
              <w:rPr>
                <w:rFonts w:ascii="Times New Roman" w:hAnsi="Times New Roman" w:cs="Times New Roman"/>
                <w:sz w:val="20"/>
                <w:szCs w:val="20"/>
              </w:rPr>
            </w:pPr>
            <w:r w:rsidRPr="00280AFE">
              <w:rPr>
                <w:rFonts w:ascii="Times New Roman" w:hAnsi="Times New Roman" w:cs="Times New Roman"/>
                <w:sz w:val="20"/>
                <w:szCs w:val="20"/>
              </w:rPr>
              <w:t>-5 719,4</w:t>
            </w:r>
          </w:p>
        </w:tc>
      </w:tr>
      <w:tr>
        <w:tblPrEx>
          <w:tblW w:w="9015" w:type="dxa"/>
          <w:tblInd w:w="55" w:type="dxa"/>
          <w:tblLayout w:type="fixed"/>
          <w:tblCellMar>
            <w:left w:w="70" w:type="dxa"/>
            <w:right w:w="70" w:type="dxa"/>
          </w:tblCellMar>
        </w:tblPrEx>
        <w:trPr>
          <w:trHeight w:val="124"/>
        </w:trPr>
        <w:tc>
          <w:tcPr>
            <w:tcW w:w="4840" w:type="dxa"/>
            <w:tcBorders>
              <w:top w:val="single" w:sz="4" w:space="0" w:color="auto"/>
              <w:left w:val="single" w:sz="8" w:space="0" w:color="auto"/>
              <w:bottom w:val="double" w:sz="6" w:space="0" w:color="auto"/>
              <w:right w:val="single" w:sz="4" w:space="0" w:color="auto"/>
              <w:tl2br w:val="nil"/>
              <w:tr2bl w:val="nil"/>
            </w:tcBorders>
            <w:textDirection w:val="lrTb"/>
            <w:vAlign w:val="center"/>
          </w:tcPr>
          <w:p w:rsidR="00B534F8" w:rsidRPr="00280AFE" w:rsidP="00B534F8">
            <w:pPr>
              <w:rPr>
                <w:rFonts w:ascii="Times New Roman" w:hAnsi="Times New Roman" w:cs="Times New Roman"/>
                <w:b/>
                <w:bCs/>
                <w:sz w:val="20"/>
                <w:szCs w:val="20"/>
              </w:rPr>
            </w:pPr>
            <w:r w:rsidRPr="00280AFE" w:rsidR="00280AFE">
              <w:rPr>
                <w:rFonts w:ascii="Times New Roman" w:hAnsi="Times New Roman" w:cs="Times New Roman"/>
                <w:b/>
                <w:bCs/>
                <w:sz w:val="20"/>
                <w:szCs w:val="20"/>
              </w:rPr>
              <w:t>SPOLU</w:t>
            </w:r>
          </w:p>
        </w:tc>
        <w:tc>
          <w:tcPr>
            <w:tcW w:w="1412"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B534F8" w:rsidRPr="00280AFE" w:rsidP="00B534F8">
            <w:pPr>
              <w:jc w:val="right"/>
              <w:rPr>
                <w:rFonts w:ascii="Times New Roman" w:hAnsi="Times New Roman" w:cs="Times New Roman"/>
                <w:b/>
                <w:bCs/>
                <w:sz w:val="20"/>
                <w:szCs w:val="20"/>
              </w:rPr>
            </w:pPr>
            <w:r w:rsidRPr="00280AFE">
              <w:rPr>
                <w:rFonts w:ascii="Times New Roman" w:hAnsi="Times New Roman" w:cs="Times New Roman"/>
                <w:b/>
                <w:bCs/>
                <w:sz w:val="20"/>
                <w:szCs w:val="20"/>
              </w:rPr>
              <w:t>50 279,0</w:t>
            </w:r>
          </w:p>
        </w:tc>
        <w:tc>
          <w:tcPr>
            <w:tcW w:w="1418"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B534F8" w:rsidRPr="00280AFE" w:rsidP="00B534F8">
            <w:pPr>
              <w:jc w:val="right"/>
              <w:rPr>
                <w:rFonts w:ascii="Times New Roman" w:hAnsi="Times New Roman" w:cs="Times New Roman"/>
                <w:b/>
                <w:bCs/>
                <w:sz w:val="20"/>
                <w:szCs w:val="20"/>
              </w:rPr>
            </w:pPr>
            <w:r w:rsidRPr="00280AFE">
              <w:rPr>
                <w:rFonts w:ascii="Times New Roman" w:hAnsi="Times New Roman" w:cs="Times New Roman"/>
                <w:b/>
                <w:bCs/>
                <w:sz w:val="20"/>
                <w:szCs w:val="20"/>
              </w:rPr>
              <w:t>16 543,1</w:t>
            </w:r>
          </w:p>
        </w:tc>
        <w:tc>
          <w:tcPr>
            <w:tcW w:w="1345" w:type="dxa"/>
            <w:tcBorders>
              <w:top w:val="single" w:sz="4" w:space="0" w:color="auto"/>
              <w:left w:val="single" w:sz="4" w:space="0" w:color="auto"/>
              <w:bottom w:val="double" w:sz="6" w:space="0" w:color="auto"/>
              <w:right w:val="single" w:sz="8" w:space="0" w:color="auto"/>
              <w:tl2br w:val="nil"/>
              <w:tr2bl w:val="nil"/>
            </w:tcBorders>
            <w:textDirection w:val="lrTb"/>
            <w:vAlign w:val="center"/>
          </w:tcPr>
          <w:p w:rsidR="00B534F8" w:rsidRPr="00280AFE" w:rsidP="00B534F8">
            <w:pPr>
              <w:jc w:val="right"/>
              <w:rPr>
                <w:rFonts w:ascii="Times New Roman" w:hAnsi="Times New Roman" w:cs="Times New Roman"/>
                <w:b/>
                <w:bCs/>
                <w:sz w:val="20"/>
                <w:szCs w:val="20"/>
              </w:rPr>
            </w:pPr>
            <w:r w:rsidRPr="00280AFE">
              <w:rPr>
                <w:rFonts w:ascii="Times New Roman" w:hAnsi="Times New Roman" w:cs="Times New Roman"/>
                <w:b/>
                <w:bCs/>
                <w:sz w:val="20"/>
                <w:szCs w:val="20"/>
              </w:rPr>
              <w:t>-33 735,9</w:t>
            </w:r>
          </w:p>
        </w:tc>
      </w:tr>
    </w:tbl>
    <w:p w:rsidR="00B534F8" w:rsidP="00B534F8">
      <w:pPr>
        <w:spacing w:line="360" w:lineRule="auto"/>
        <w:jc w:val="both"/>
        <w:rPr>
          <w:rFonts w:ascii="Times New Roman" w:hAnsi="Times New Roman" w:cs="Times New Roman"/>
        </w:rPr>
      </w:pPr>
    </w:p>
    <w:p w:rsidR="00B534F8" w:rsidRPr="00A522AA" w:rsidP="00B534F8">
      <w:pPr>
        <w:spacing w:line="360" w:lineRule="auto"/>
        <w:jc w:val="both"/>
        <w:rPr>
          <w:rFonts w:ascii="Times New Roman" w:hAnsi="Times New Roman" w:cs="Times New Roman"/>
        </w:rPr>
      </w:pPr>
      <w:r w:rsidRPr="00A522AA">
        <w:rPr>
          <w:rFonts w:ascii="Times New Roman" w:hAnsi="Times New Roman" w:cs="Times New Roman"/>
        </w:rPr>
        <w:t>V roku 2006 sa znížili návratné finančné výpomoci o sumu 33 735,9 mil. Sk</w:t>
      </w:r>
      <w:r>
        <w:rPr>
          <w:rFonts w:ascii="Times New Roman" w:hAnsi="Times New Roman" w:cs="Times New Roman"/>
        </w:rPr>
        <w:t xml:space="preserve">. </w:t>
      </w:r>
      <w:r w:rsidRPr="00A522AA">
        <w:rPr>
          <w:rFonts w:ascii="Times New Roman" w:hAnsi="Times New Roman" w:cs="Times New Roman"/>
        </w:rPr>
        <w:t>Zníženie  návratnej finančnej výpomoci v sume 25 278,7 mil. Sk predstavuje výmaz spoločnosti Slovenská inkasná, s.r.o. z obchodného registra. Mesto Košice splatilo z návratnej finančnej výpomoci 41,7 mil. Sk a z  programu znižovania  palív a energie boli splatené návratné výpomoci v sume 3,6 mil. Sk.  V prípade OÚ Kechnec  sa znížila  návratná finančná výpomoc v sume 104,4 mil. Sk.  Znížila sa  návratná  finančná výpomoc  pohľadávky voči Železniciam  SR v sume 2 137,7 mil. Sk na základe zmluvy č. 783/280/2006 o prevode správy pohľadávok SR voči  ŽSR medzi MF SR a MDPT SR z 9.10.2006.</w:t>
      </w:r>
    </w:p>
    <w:p w:rsidR="00B534F8" w:rsidP="00B534F8">
      <w:pPr>
        <w:spacing w:line="360" w:lineRule="auto"/>
        <w:rPr>
          <w:rFonts w:ascii="Times New Roman" w:hAnsi="Times New Roman" w:cs="Times New Roman"/>
        </w:rPr>
      </w:pPr>
      <w:r>
        <w:rPr>
          <w:rFonts w:ascii="Times New Roman" w:hAnsi="Times New Roman" w:cs="Times New Roman"/>
        </w:rPr>
        <w:tab/>
        <w:t>Návratné finančné výpomoci zo zrealizovaných záruk sa v  roku 2006 znížili o 450,2 mil. Sk splatením záruky  štátneho podniku Vodohospodárska výstavba v sume 450,0 mil. Sk a OTF Nižná, a.s. v konkurze v sume 0,2 mil. Sk.</w:t>
      </w:r>
    </w:p>
    <w:p w:rsidR="00CD4423" w:rsidP="00E87715">
      <w:pPr>
        <w:spacing w:line="360" w:lineRule="auto"/>
        <w:jc w:val="both"/>
        <w:rPr>
          <w:rFonts w:ascii="Times New Roman" w:hAnsi="Times New Roman" w:cs="Times New Roman"/>
        </w:rPr>
      </w:pPr>
      <w:r w:rsidR="00B534F8">
        <w:rPr>
          <w:rFonts w:ascii="Times New Roman" w:hAnsi="Times New Roman" w:cs="Times New Roman"/>
        </w:rPr>
        <w:tab/>
        <w:t>Pohľadávky Slovenskej  konsolidačnej, a.s. sa kapitalizovali do  jej  základného</w:t>
      </w:r>
      <w:r w:rsidR="00C6741A">
        <w:rPr>
          <w:rFonts w:ascii="Times New Roman" w:hAnsi="Times New Roman" w:cs="Times New Roman"/>
        </w:rPr>
        <w:t xml:space="preserve"> </w:t>
      </w:r>
      <w:r w:rsidR="00B534F8">
        <w:rPr>
          <w:rFonts w:ascii="Times New Roman" w:hAnsi="Times New Roman" w:cs="Times New Roman"/>
        </w:rPr>
        <w:t xml:space="preserve">imania v súvislosti s osobitnou zárukou vlády  v sume 5 719,4 mil. Sk </w:t>
      </w:r>
    </w:p>
    <w:p w:rsidR="00E87715" w:rsidP="00E87715">
      <w:pPr>
        <w:spacing w:line="360" w:lineRule="auto"/>
        <w:ind w:firstLine="708"/>
        <w:jc w:val="both"/>
        <w:rPr>
          <w:rFonts w:ascii="Times New Roman" w:hAnsi="Times New Roman" w:cs="Times New Roman"/>
        </w:rPr>
      </w:pPr>
      <w:r>
        <w:rPr>
          <w:rFonts w:ascii="Times New Roman" w:hAnsi="Times New Roman" w:cs="Times New Roman"/>
        </w:rPr>
        <w:t xml:space="preserve">Na základe kontrolného nálezu Najvyššieho kontrolného úradu SR k správnosti zostavenia záverečného účtu kapitoly Všeobecná pokladničná správa bolo konštatované, že vo výkaze  tejto kapitoly zostavenom k 31.12.2006, nebola zahrnutá pohľadávka z návratnej finančnej výpomoci, ktorá vznikla zrealizovaním štátnej záruky za úver poskytnutý Vodohospodárskej výstavbe, š. p. Bratislava vo výške 5 367,8 mil. Sk. Vzhľadom na absenciu legislatívnej  možnosti otvorenia účtovných kníh za rok 2006, bola uvedená suma zaúčtovaná ako účtovný prípad roku 2007. </w:t>
      </w:r>
    </w:p>
    <w:p w:rsidR="00E87715" w:rsidRPr="00CD4423" w:rsidP="00CD4423">
      <w:pPr>
        <w:spacing w:line="360" w:lineRule="auto"/>
        <w:rPr>
          <w:rFonts w:ascii="Times New Roman" w:hAnsi="Times New Roman" w:cs="Times New Roman"/>
        </w:rPr>
      </w:pPr>
    </w:p>
    <w:p w:rsidR="00B534F8" w:rsidRPr="00B11093" w:rsidP="00B534F8">
      <w:pPr>
        <w:spacing w:before="120" w:after="120" w:line="360" w:lineRule="auto"/>
        <w:jc w:val="center"/>
        <w:rPr>
          <w:rFonts w:ascii="Times New Roman" w:hAnsi="Times New Roman" w:cs="Times New Roman"/>
          <w:u w:val="single"/>
        </w:rPr>
      </w:pPr>
      <w:r w:rsidRPr="00B11093">
        <w:rPr>
          <w:rFonts w:ascii="Times New Roman" w:hAnsi="Times New Roman" w:cs="Times New Roman"/>
          <w:u w:val="single"/>
        </w:rPr>
        <w:t>c)  Pohľadávky SR v</w:t>
      </w:r>
      <w:r>
        <w:rPr>
          <w:rFonts w:ascii="Times New Roman" w:hAnsi="Times New Roman" w:cs="Times New Roman"/>
          <w:u w:val="single"/>
        </w:rPr>
        <w:t>oči podnikom</w:t>
      </w:r>
    </w:p>
    <w:p w:rsidR="00B534F8" w:rsidP="00B534F8">
      <w:pPr>
        <w:spacing w:before="120" w:after="120" w:line="360" w:lineRule="auto"/>
        <w:ind w:firstLine="708"/>
        <w:rPr>
          <w:rFonts w:ascii="Times New Roman" w:hAnsi="Times New Roman" w:cs="Times New Roman"/>
        </w:rPr>
      </w:pPr>
      <w:r w:rsidRPr="00B11093">
        <w:rPr>
          <w:rFonts w:ascii="Times New Roman" w:hAnsi="Times New Roman" w:cs="Times New Roman"/>
        </w:rPr>
        <w:t xml:space="preserve">Vývoj štátnych finančných aktív v časti pohľadávok v rámci deblokácií voči iným subjektom charakterizuje nasledovný prehľad (v mil. Sk): </w:t>
      </w:r>
    </w:p>
    <w:tbl>
      <w:tblPr>
        <w:tblW w:w="8835" w:type="dxa"/>
        <w:tblInd w:w="55" w:type="dxa"/>
        <w:tblCellMar>
          <w:left w:w="70" w:type="dxa"/>
          <w:right w:w="70" w:type="dxa"/>
        </w:tblCellMar>
      </w:tblPr>
      <w:tblGrid>
        <w:gridCol w:w="5235"/>
        <w:gridCol w:w="1005"/>
        <w:gridCol w:w="1335"/>
        <w:gridCol w:w="1260"/>
      </w:tblGrid>
      <w:tr>
        <w:tblPrEx>
          <w:tblW w:w="8835" w:type="dxa"/>
          <w:tblInd w:w="55" w:type="dxa"/>
          <w:tblCellMar>
            <w:left w:w="70" w:type="dxa"/>
            <w:right w:w="70" w:type="dxa"/>
          </w:tblCellMar>
        </w:tblPrEx>
        <w:trPr>
          <w:trHeight w:val="620"/>
        </w:trPr>
        <w:tc>
          <w:tcPr>
            <w:tcW w:w="5235"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280AFE" w:rsidRPr="00D66D2B" w:rsidP="00280AFE">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Položka aktív</w:t>
            </w:r>
          </w:p>
        </w:tc>
        <w:tc>
          <w:tcPr>
            <w:tcW w:w="1005"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280AFE" w:rsidRPr="00D66D2B" w:rsidP="00280AFE">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Stav</w:t>
            </w:r>
          </w:p>
          <w:p w:rsidR="00280AFE" w:rsidRPr="00D66D2B" w:rsidP="00280AFE">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k 1.1.2006</w:t>
            </w:r>
          </w:p>
        </w:tc>
        <w:tc>
          <w:tcPr>
            <w:tcW w:w="1335"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280AFE" w:rsidRPr="00D66D2B" w:rsidP="00280AFE">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Stav</w:t>
            </w:r>
          </w:p>
          <w:p w:rsidR="00280AFE" w:rsidRPr="00D66D2B" w:rsidP="00280AFE">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k 31.12.2006</w:t>
            </w:r>
          </w:p>
        </w:tc>
        <w:tc>
          <w:tcPr>
            <w:tcW w:w="1260"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280AFE" w:rsidRPr="00D66D2B" w:rsidP="00280AFE">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Zmena</w:t>
            </w:r>
          </w:p>
          <w:p w:rsidR="00280AFE" w:rsidRPr="00D66D2B" w:rsidP="00280AFE">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v roku 2006</w:t>
            </w:r>
          </w:p>
        </w:tc>
      </w:tr>
      <w:tr>
        <w:tblPrEx>
          <w:tblW w:w="8835" w:type="dxa"/>
          <w:tblInd w:w="55" w:type="dxa"/>
          <w:tblCellMar>
            <w:left w:w="70" w:type="dxa"/>
            <w:right w:w="70" w:type="dxa"/>
          </w:tblCellMar>
        </w:tblPrEx>
        <w:trPr>
          <w:trHeight w:val="300"/>
        </w:trPr>
        <w:tc>
          <w:tcPr>
            <w:tcW w:w="523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D66D2B" w:rsidP="00B534F8">
            <w:pP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Pohľadávky SR voči podnikom spolu:</w:t>
            </w:r>
          </w:p>
        </w:tc>
        <w:tc>
          <w:tcPr>
            <w:tcW w:w="10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271,9</w:t>
            </w:r>
          </w:p>
        </w:tc>
        <w:tc>
          <w:tcPr>
            <w:tcW w:w="13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225,8</w:t>
            </w:r>
          </w:p>
        </w:tc>
        <w:tc>
          <w:tcPr>
            <w:tcW w:w="126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-46,1</w:t>
            </w:r>
          </w:p>
        </w:tc>
      </w:tr>
      <w:tr>
        <w:tblPrEx>
          <w:tblW w:w="8835" w:type="dxa"/>
          <w:tblInd w:w="55" w:type="dxa"/>
          <w:tblCellMar>
            <w:left w:w="70" w:type="dxa"/>
            <w:right w:w="70" w:type="dxa"/>
          </w:tblCellMar>
        </w:tblPrEx>
        <w:trPr>
          <w:trHeight w:val="315"/>
        </w:trPr>
        <w:tc>
          <w:tcPr>
            <w:tcW w:w="523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Kimexu -  debl. Ruská federácia</w:t>
            </w:r>
          </w:p>
        </w:tc>
        <w:tc>
          <w:tcPr>
            <w:tcW w:w="10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77,9</w:t>
            </w:r>
          </w:p>
        </w:tc>
        <w:tc>
          <w:tcPr>
            <w:tcW w:w="13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63,8</w:t>
            </w:r>
          </w:p>
        </w:tc>
        <w:tc>
          <w:tcPr>
            <w:tcW w:w="126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-14,1</w:t>
            </w:r>
          </w:p>
        </w:tc>
      </w:tr>
      <w:tr>
        <w:tblPrEx>
          <w:tblW w:w="8835" w:type="dxa"/>
          <w:tblInd w:w="55" w:type="dxa"/>
          <w:tblCellMar>
            <w:left w:w="70" w:type="dxa"/>
            <w:right w:w="70" w:type="dxa"/>
          </w:tblCellMar>
        </w:tblPrEx>
        <w:trPr>
          <w:trHeight w:val="315"/>
        </w:trPr>
        <w:tc>
          <w:tcPr>
            <w:tcW w:w="523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INTERGEO - debl.Tanzánia</w:t>
            </w:r>
          </w:p>
        </w:tc>
        <w:tc>
          <w:tcPr>
            <w:tcW w:w="10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15,4</w:t>
            </w:r>
          </w:p>
        </w:tc>
        <w:tc>
          <w:tcPr>
            <w:tcW w:w="13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13,7</w:t>
            </w:r>
          </w:p>
        </w:tc>
        <w:tc>
          <w:tcPr>
            <w:tcW w:w="126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-1,7</w:t>
            </w:r>
          </w:p>
        </w:tc>
      </w:tr>
      <w:tr>
        <w:tblPrEx>
          <w:tblW w:w="8835" w:type="dxa"/>
          <w:tblInd w:w="55" w:type="dxa"/>
          <w:tblCellMar>
            <w:left w:w="70" w:type="dxa"/>
            <w:right w:w="70" w:type="dxa"/>
          </w:tblCellMar>
        </w:tblPrEx>
        <w:trPr>
          <w:trHeight w:val="396"/>
        </w:trPr>
        <w:tc>
          <w:tcPr>
            <w:tcW w:w="523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PIDICO, South Africa + CS Trading, Praha - debl. Mozambik</w:t>
            </w:r>
          </w:p>
        </w:tc>
        <w:tc>
          <w:tcPr>
            <w:tcW w:w="10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27,8</w:t>
            </w:r>
          </w:p>
        </w:tc>
        <w:tc>
          <w:tcPr>
            <w:tcW w:w="13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22,8</w:t>
            </w:r>
          </w:p>
        </w:tc>
        <w:tc>
          <w:tcPr>
            <w:tcW w:w="126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-5,0</w:t>
            </w:r>
          </w:p>
        </w:tc>
      </w:tr>
      <w:tr>
        <w:tblPrEx>
          <w:tblW w:w="8835" w:type="dxa"/>
          <w:tblInd w:w="55" w:type="dxa"/>
          <w:tblCellMar>
            <w:left w:w="70" w:type="dxa"/>
            <w:right w:w="70" w:type="dxa"/>
          </w:tblCellMar>
        </w:tblPrEx>
        <w:trPr>
          <w:trHeight w:val="315"/>
        </w:trPr>
        <w:tc>
          <w:tcPr>
            <w:tcW w:w="523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DAK MOVA - debl. Egypt</w:t>
            </w:r>
          </w:p>
        </w:tc>
        <w:tc>
          <w:tcPr>
            <w:tcW w:w="10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109,7</w:t>
            </w:r>
          </w:p>
        </w:tc>
        <w:tc>
          <w:tcPr>
            <w:tcW w:w="13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90,1</w:t>
            </w:r>
          </w:p>
        </w:tc>
        <w:tc>
          <w:tcPr>
            <w:tcW w:w="126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-19,6</w:t>
            </w:r>
          </w:p>
        </w:tc>
      </w:tr>
      <w:tr>
        <w:tblPrEx>
          <w:tblW w:w="8835" w:type="dxa"/>
          <w:tblInd w:w="55" w:type="dxa"/>
          <w:tblCellMar>
            <w:left w:w="70" w:type="dxa"/>
            <w:right w:w="70" w:type="dxa"/>
          </w:tblCellMar>
        </w:tblPrEx>
        <w:trPr>
          <w:trHeight w:val="315"/>
        </w:trPr>
        <w:tc>
          <w:tcPr>
            <w:tcW w:w="523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Transakta, a.s. Praha - debl. Sýria</w:t>
            </w:r>
          </w:p>
        </w:tc>
        <w:tc>
          <w:tcPr>
            <w:tcW w:w="10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16,7</w:t>
            </w:r>
          </w:p>
        </w:tc>
        <w:tc>
          <w:tcPr>
            <w:tcW w:w="13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13,7</w:t>
            </w:r>
          </w:p>
        </w:tc>
        <w:tc>
          <w:tcPr>
            <w:tcW w:w="126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-3,0</w:t>
            </w:r>
          </w:p>
        </w:tc>
      </w:tr>
      <w:tr>
        <w:tblPrEx>
          <w:tblW w:w="8835" w:type="dxa"/>
          <w:tblInd w:w="55" w:type="dxa"/>
          <w:tblCellMar>
            <w:left w:w="70" w:type="dxa"/>
            <w:right w:w="70" w:type="dxa"/>
          </w:tblCellMar>
        </w:tblPrEx>
        <w:trPr>
          <w:trHeight w:val="300"/>
        </w:trPr>
        <w:tc>
          <w:tcPr>
            <w:tcW w:w="523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Koospol Praha v likvidácii - bárterový obchod v Číne</w:t>
            </w:r>
          </w:p>
        </w:tc>
        <w:tc>
          <w:tcPr>
            <w:tcW w:w="10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1,5</w:t>
            </w:r>
          </w:p>
        </w:tc>
        <w:tc>
          <w:tcPr>
            <w:tcW w:w="13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1,3</w:t>
            </w:r>
          </w:p>
        </w:tc>
        <w:tc>
          <w:tcPr>
            <w:tcW w:w="126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-0,2</w:t>
            </w:r>
          </w:p>
        </w:tc>
      </w:tr>
      <w:tr>
        <w:tblPrEx>
          <w:tblW w:w="8835" w:type="dxa"/>
          <w:tblInd w:w="55" w:type="dxa"/>
          <w:tblCellMar>
            <w:left w:w="70" w:type="dxa"/>
            <w:right w:w="70" w:type="dxa"/>
          </w:tblCellMar>
        </w:tblPrEx>
        <w:trPr>
          <w:trHeight w:val="270"/>
        </w:trPr>
        <w:tc>
          <w:tcPr>
            <w:tcW w:w="523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Centrotex Praha v likvidácii - bárterový obchod v Číne</w:t>
            </w:r>
          </w:p>
        </w:tc>
        <w:tc>
          <w:tcPr>
            <w:tcW w:w="10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7,3</w:t>
            </w:r>
          </w:p>
        </w:tc>
        <w:tc>
          <w:tcPr>
            <w:tcW w:w="13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6,5</w:t>
            </w:r>
          </w:p>
        </w:tc>
        <w:tc>
          <w:tcPr>
            <w:tcW w:w="126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-0,8</w:t>
            </w:r>
          </w:p>
        </w:tc>
      </w:tr>
      <w:tr>
        <w:tblPrEx>
          <w:tblW w:w="8835" w:type="dxa"/>
          <w:tblInd w:w="55" w:type="dxa"/>
          <w:tblCellMar>
            <w:left w:w="70" w:type="dxa"/>
            <w:right w:w="70" w:type="dxa"/>
          </w:tblCellMar>
        </w:tblPrEx>
        <w:trPr>
          <w:trHeight w:val="300"/>
        </w:trPr>
        <w:tc>
          <w:tcPr>
            <w:tcW w:w="523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Transakta, a.s. Praha - bárterový obchod v Číne</w:t>
            </w:r>
          </w:p>
        </w:tc>
        <w:tc>
          <w:tcPr>
            <w:tcW w:w="10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1,7</w:t>
            </w:r>
          </w:p>
        </w:tc>
        <w:tc>
          <w:tcPr>
            <w:tcW w:w="13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1,5</w:t>
            </w:r>
          </w:p>
        </w:tc>
        <w:tc>
          <w:tcPr>
            <w:tcW w:w="126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-0,2</w:t>
            </w:r>
          </w:p>
        </w:tc>
      </w:tr>
      <w:tr>
        <w:tblPrEx>
          <w:tblW w:w="8835" w:type="dxa"/>
          <w:tblInd w:w="55" w:type="dxa"/>
          <w:tblCellMar>
            <w:left w:w="70" w:type="dxa"/>
            <w:right w:w="70" w:type="dxa"/>
          </w:tblCellMar>
        </w:tblPrEx>
        <w:trPr>
          <w:trHeight w:val="315"/>
        </w:trPr>
        <w:tc>
          <w:tcPr>
            <w:tcW w:w="523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 xml:space="preserve">Družstvo Morava Zlín     </w:t>
            </w:r>
          </w:p>
        </w:tc>
        <w:tc>
          <w:tcPr>
            <w:tcW w:w="10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13,1</w:t>
            </w:r>
          </w:p>
        </w:tc>
        <w:tc>
          <w:tcPr>
            <w:tcW w:w="13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11,7</w:t>
            </w:r>
          </w:p>
        </w:tc>
        <w:tc>
          <w:tcPr>
            <w:tcW w:w="126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-1,4</w:t>
            </w:r>
          </w:p>
        </w:tc>
      </w:tr>
      <w:tr>
        <w:tblPrEx>
          <w:tblW w:w="8835" w:type="dxa"/>
          <w:tblInd w:w="55" w:type="dxa"/>
          <w:tblCellMar>
            <w:left w:w="70" w:type="dxa"/>
            <w:right w:w="70" w:type="dxa"/>
          </w:tblCellMar>
        </w:tblPrEx>
        <w:trPr>
          <w:trHeight w:val="315"/>
        </w:trPr>
        <w:tc>
          <w:tcPr>
            <w:tcW w:w="523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 xml:space="preserve">Unicoop s.r.o.                  </w:t>
            </w:r>
          </w:p>
        </w:tc>
        <w:tc>
          <w:tcPr>
            <w:tcW w:w="10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0,6</w:t>
            </w:r>
          </w:p>
        </w:tc>
        <w:tc>
          <w:tcPr>
            <w:tcW w:w="13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0,5</w:t>
            </w:r>
          </w:p>
        </w:tc>
        <w:tc>
          <w:tcPr>
            <w:tcW w:w="126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-0,1</w:t>
            </w:r>
          </w:p>
        </w:tc>
      </w:tr>
      <w:tr>
        <w:tblPrEx>
          <w:tblW w:w="8835" w:type="dxa"/>
          <w:tblInd w:w="55" w:type="dxa"/>
          <w:tblCellMar>
            <w:left w:w="70" w:type="dxa"/>
            <w:right w:w="70" w:type="dxa"/>
          </w:tblCellMar>
        </w:tblPrEx>
        <w:trPr>
          <w:trHeight w:val="315"/>
        </w:trPr>
        <w:tc>
          <w:tcPr>
            <w:tcW w:w="523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 xml:space="preserve">Intercoop s.r.o.                 </w:t>
            </w:r>
          </w:p>
        </w:tc>
        <w:tc>
          <w:tcPr>
            <w:tcW w:w="10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0,2</w:t>
            </w:r>
          </w:p>
        </w:tc>
        <w:tc>
          <w:tcPr>
            <w:tcW w:w="13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0,2</w:t>
            </w:r>
          </w:p>
        </w:tc>
        <w:tc>
          <w:tcPr>
            <w:tcW w:w="126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0</w:t>
            </w:r>
          </w:p>
        </w:tc>
      </w:tr>
      <w:tr>
        <w:tblPrEx>
          <w:tblW w:w="8835" w:type="dxa"/>
          <w:tblInd w:w="55" w:type="dxa"/>
          <w:tblCellMar>
            <w:left w:w="70" w:type="dxa"/>
            <w:right w:w="70" w:type="dxa"/>
          </w:tblCellMar>
        </w:tblPrEx>
        <w:trPr>
          <w:trHeight w:val="315"/>
        </w:trPr>
        <w:tc>
          <w:tcPr>
            <w:tcW w:w="523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D66D2B" w:rsidP="00B534F8">
            <w:pPr>
              <w:rPr>
                <w:rFonts w:ascii="Times New Roman" w:hAnsi="Times New Roman" w:cs="Times New Roman"/>
                <w:b/>
                <w:iCs/>
                <w:color w:val="000000"/>
                <w:sz w:val="20"/>
                <w:szCs w:val="20"/>
              </w:rPr>
            </w:pPr>
            <w:r w:rsidRPr="00D66D2B">
              <w:rPr>
                <w:rFonts w:ascii="Times New Roman" w:hAnsi="Times New Roman" w:cs="Times New Roman"/>
                <w:b/>
                <w:iCs/>
                <w:color w:val="000000"/>
                <w:sz w:val="20"/>
                <w:szCs w:val="20"/>
              </w:rPr>
              <w:t>Úroky z omeškania:</w:t>
            </w:r>
          </w:p>
        </w:tc>
        <w:tc>
          <w:tcPr>
            <w:tcW w:w="10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b/>
                <w:i/>
                <w:iCs/>
                <w:color w:val="000000"/>
                <w:sz w:val="20"/>
                <w:szCs w:val="20"/>
              </w:rPr>
            </w:pPr>
            <w:r w:rsidRPr="00D66D2B">
              <w:rPr>
                <w:rFonts w:ascii="Times New Roman" w:hAnsi="Times New Roman" w:cs="Times New Roman"/>
                <w:b/>
                <w:i/>
                <w:iCs/>
                <w:color w:val="000000"/>
                <w:sz w:val="20"/>
                <w:szCs w:val="20"/>
              </w:rPr>
              <w:t>6,3</w:t>
            </w:r>
          </w:p>
        </w:tc>
        <w:tc>
          <w:tcPr>
            <w:tcW w:w="13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b/>
                <w:i/>
                <w:iCs/>
                <w:color w:val="000000"/>
                <w:sz w:val="20"/>
                <w:szCs w:val="20"/>
              </w:rPr>
            </w:pPr>
            <w:r w:rsidRPr="00D66D2B">
              <w:rPr>
                <w:rFonts w:ascii="Times New Roman" w:hAnsi="Times New Roman" w:cs="Times New Roman"/>
                <w:b/>
                <w:i/>
                <w:iCs/>
                <w:color w:val="000000"/>
                <w:sz w:val="20"/>
                <w:szCs w:val="20"/>
              </w:rPr>
              <w:t>5,3</w:t>
            </w:r>
          </w:p>
        </w:tc>
        <w:tc>
          <w:tcPr>
            <w:tcW w:w="126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b/>
                <w:bCs/>
                <w:i/>
                <w:color w:val="000000"/>
                <w:sz w:val="20"/>
                <w:szCs w:val="20"/>
              </w:rPr>
            </w:pPr>
            <w:r w:rsidRPr="00D66D2B">
              <w:rPr>
                <w:rFonts w:ascii="Times New Roman" w:hAnsi="Times New Roman" w:cs="Times New Roman"/>
                <w:b/>
                <w:bCs/>
                <w:i/>
                <w:color w:val="000000"/>
                <w:sz w:val="20"/>
                <w:szCs w:val="20"/>
              </w:rPr>
              <w:t>-1,0</w:t>
            </w:r>
          </w:p>
        </w:tc>
      </w:tr>
      <w:tr>
        <w:tblPrEx>
          <w:tblW w:w="8835" w:type="dxa"/>
          <w:tblInd w:w="55" w:type="dxa"/>
          <w:tblCellMar>
            <w:left w:w="70" w:type="dxa"/>
            <w:right w:w="70" w:type="dxa"/>
          </w:tblCellMar>
        </w:tblPrEx>
        <w:trPr>
          <w:trHeight w:val="315"/>
        </w:trPr>
        <w:tc>
          <w:tcPr>
            <w:tcW w:w="523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Sheerbonnet ZŤS, s.r.o. Martin - debl. Irán</w:t>
            </w:r>
          </w:p>
        </w:tc>
        <w:tc>
          <w:tcPr>
            <w:tcW w:w="10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5,1</w:t>
            </w:r>
          </w:p>
        </w:tc>
        <w:tc>
          <w:tcPr>
            <w:tcW w:w="13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4,1</w:t>
            </w:r>
          </w:p>
        </w:tc>
        <w:tc>
          <w:tcPr>
            <w:tcW w:w="126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-1,0</w:t>
            </w:r>
          </w:p>
        </w:tc>
      </w:tr>
      <w:tr>
        <w:tblPrEx>
          <w:tblW w:w="8835" w:type="dxa"/>
          <w:tblInd w:w="55" w:type="dxa"/>
          <w:tblCellMar>
            <w:left w:w="70" w:type="dxa"/>
            <w:right w:w="70" w:type="dxa"/>
          </w:tblCellMar>
        </w:tblPrEx>
        <w:trPr>
          <w:trHeight w:val="330"/>
        </w:trPr>
        <w:tc>
          <w:tcPr>
            <w:tcW w:w="5235"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ARO Slovakia, s.r.o. Bratislava - debl. Rumunsko</w:t>
            </w:r>
          </w:p>
        </w:tc>
        <w:tc>
          <w:tcPr>
            <w:tcW w:w="100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center"/>
              <w:rPr>
                <w:rFonts w:ascii="Times New Roman" w:hAnsi="Times New Roman" w:cs="Times New Roman"/>
                <w:color w:val="000000"/>
                <w:sz w:val="20"/>
                <w:szCs w:val="20"/>
              </w:rPr>
            </w:pPr>
            <w:r w:rsidR="00193342">
              <w:rPr>
                <w:rFonts w:ascii="Times New Roman" w:hAnsi="Times New Roman" w:cs="Times New Roman"/>
                <w:color w:val="000000"/>
                <w:sz w:val="20"/>
                <w:szCs w:val="20"/>
              </w:rPr>
              <w:t xml:space="preserve">            </w:t>
            </w:r>
            <w:r w:rsidRPr="00D66D2B">
              <w:rPr>
                <w:rFonts w:ascii="Times New Roman" w:hAnsi="Times New Roman" w:cs="Times New Roman"/>
                <w:color w:val="000000"/>
                <w:sz w:val="20"/>
                <w:szCs w:val="20"/>
              </w:rPr>
              <w:t>1,2</w:t>
            </w:r>
          </w:p>
        </w:tc>
        <w:tc>
          <w:tcPr>
            <w:tcW w:w="13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center"/>
              <w:rPr>
                <w:rFonts w:ascii="Times New Roman" w:hAnsi="Times New Roman" w:cs="Times New Roman"/>
                <w:color w:val="000000"/>
                <w:sz w:val="20"/>
                <w:szCs w:val="20"/>
              </w:rPr>
            </w:pPr>
            <w:r w:rsidR="00193342">
              <w:rPr>
                <w:rFonts w:ascii="Times New Roman" w:hAnsi="Times New Roman" w:cs="Times New Roman"/>
                <w:color w:val="000000"/>
                <w:sz w:val="20"/>
                <w:szCs w:val="20"/>
              </w:rPr>
              <w:t xml:space="preserve">                  </w:t>
            </w:r>
            <w:r w:rsidRPr="00D66D2B">
              <w:rPr>
                <w:rFonts w:ascii="Times New Roman" w:hAnsi="Times New Roman" w:cs="Times New Roman"/>
                <w:color w:val="000000"/>
                <w:sz w:val="20"/>
                <w:szCs w:val="20"/>
              </w:rPr>
              <w:t xml:space="preserve">1,2       </w:t>
            </w:r>
          </w:p>
        </w:tc>
        <w:tc>
          <w:tcPr>
            <w:tcW w:w="126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0</w:t>
            </w:r>
          </w:p>
        </w:tc>
      </w:tr>
      <w:tr>
        <w:tblPrEx>
          <w:tblW w:w="8835" w:type="dxa"/>
          <w:tblInd w:w="55" w:type="dxa"/>
          <w:tblCellMar>
            <w:left w:w="70" w:type="dxa"/>
            <w:right w:w="70" w:type="dxa"/>
          </w:tblCellMar>
        </w:tblPrEx>
        <w:trPr>
          <w:trHeight w:val="184"/>
        </w:trPr>
        <w:tc>
          <w:tcPr>
            <w:tcW w:w="5235" w:type="dxa"/>
            <w:tcBorders>
              <w:top w:val="single" w:sz="4" w:space="0" w:color="auto"/>
              <w:left w:val="single" w:sz="8" w:space="0" w:color="auto"/>
              <w:bottom w:val="double" w:sz="6" w:space="0" w:color="auto"/>
              <w:right w:val="single" w:sz="4" w:space="0" w:color="auto"/>
              <w:tl2br w:val="nil"/>
              <w:tr2bl w:val="nil"/>
            </w:tcBorders>
            <w:textDirection w:val="lrTb"/>
            <w:vAlign w:val="top"/>
          </w:tcPr>
          <w:p w:rsidR="00B534F8" w:rsidRPr="00D66D2B" w:rsidP="00B534F8">
            <w:pPr>
              <w:rPr>
                <w:rFonts w:ascii="Times New Roman" w:hAnsi="Times New Roman" w:cs="Times New Roman"/>
                <w:b/>
                <w:color w:val="000000"/>
                <w:sz w:val="20"/>
                <w:szCs w:val="20"/>
              </w:rPr>
            </w:pPr>
            <w:r w:rsidR="00CD4423">
              <w:rPr>
                <w:rFonts w:ascii="Times New Roman" w:hAnsi="Times New Roman" w:cs="Times New Roman"/>
                <w:b/>
                <w:color w:val="000000"/>
                <w:sz w:val="20"/>
                <w:szCs w:val="20"/>
              </w:rPr>
              <w:t>Spolu pohľadávky a</w:t>
            </w:r>
            <w:r w:rsidR="00AD263C">
              <w:rPr>
                <w:rFonts w:ascii="Times New Roman" w:hAnsi="Times New Roman" w:cs="Times New Roman"/>
                <w:b/>
                <w:color w:val="000000"/>
                <w:sz w:val="20"/>
                <w:szCs w:val="20"/>
              </w:rPr>
              <w:t> </w:t>
            </w:r>
            <w:r w:rsidR="00CD4423">
              <w:rPr>
                <w:rFonts w:ascii="Times New Roman" w:hAnsi="Times New Roman" w:cs="Times New Roman"/>
                <w:b/>
                <w:color w:val="000000"/>
                <w:sz w:val="20"/>
                <w:szCs w:val="20"/>
              </w:rPr>
              <w:t>úroky</w:t>
            </w:r>
          </w:p>
        </w:tc>
        <w:tc>
          <w:tcPr>
            <w:tcW w:w="1005" w:type="dxa"/>
            <w:tcBorders>
              <w:top w:val="single" w:sz="4" w:space="0" w:color="auto"/>
              <w:left w:val="single" w:sz="4" w:space="0" w:color="auto"/>
              <w:bottom w:val="double" w:sz="6" w:space="0" w:color="auto"/>
              <w:right w:val="single" w:sz="4" w:space="0" w:color="auto"/>
              <w:tl2br w:val="nil"/>
              <w:tr2bl w:val="nil"/>
            </w:tcBorders>
            <w:textDirection w:val="lrTb"/>
            <w:vAlign w:val="top"/>
          </w:tcPr>
          <w:p w:rsidR="00B534F8" w:rsidRPr="00D66D2B" w:rsidP="00193342">
            <w:pPr>
              <w:rPr>
                <w:rFonts w:ascii="Times New Roman" w:hAnsi="Times New Roman" w:cs="Times New Roman"/>
                <w:b/>
                <w:color w:val="000000"/>
                <w:sz w:val="20"/>
                <w:szCs w:val="20"/>
              </w:rPr>
            </w:pPr>
            <w:r w:rsidR="00193342">
              <w:rPr>
                <w:rFonts w:ascii="Times New Roman" w:hAnsi="Times New Roman" w:cs="Times New Roman"/>
                <w:b/>
                <w:color w:val="000000"/>
                <w:sz w:val="20"/>
                <w:szCs w:val="20"/>
              </w:rPr>
              <w:t xml:space="preserve">        </w:t>
            </w:r>
            <w:r w:rsidRPr="00D66D2B">
              <w:rPr>
                <w:rFonts w:ascii="Times New Roman" w:hAnsi="Times New Roman" w:cs="Times New Roman"/>
                <w:b/>
                <w:color w:val="000000"/>
                <w:sz w:val="20"/>
                <w:szCs w:val="20"/>
              </w:rPr>
              <w:t>278,2</w:t>
            </w:r>
          </w:p>
        </w:tc>
        <w:tc>
          <w:tcPr>
            <w:tcW w:w="1335" w:type="dxa"/>
            <w:tcBorders>
              <w:top w:val="single" w:sz="4" w:space="0" w:color="auto"/>
              <w:left w:val="single" w:sz="4" w:space="0" w:color="auto"/>
              <w:bottom w:val="double" w:sz="6" w:space="0" w:color="auto"/>
              <w:right w:val="single" w:sz="4" w:space="0" w:color="auto"/>
              <w:tl2br w:val="nil"/>
              <w:tr2bl w:val="nil"/>
            </w:tcBorders>
            <w:textDirection w:val="lrTb"/>
            <w:vAlign w:val="top"/>
          </w:tcPr>
          <w:p w:rsidR="00B534F8" w:rsidRPr="00D66D2B" w:rsidP="00B534F8">
            <w:pPr>
              <w:jc w:val="center"/>
              <w:rPr>
                <w:rFonts w:ascii="Times New Roman" w:hAnsi="Times New Roman" w:cs="Times New Roman"/>
                <w:b/>
                <w:color w:val="000000"/>
                <w:sz w:val="20"/>
                <w:szCs w:val="20"/>
              </w:rPr>
            </w:pPr>
            <w:r w:rsidR="00193342">
              <w:rPr>
                <w:rFonts w:ascii="Times New Roman" w:hAnsi="Times New Roman" w:cs="Times New Roman"/>
                <w:b/>
                <w:color w:val="000000"/>
                <w:sz w:val="20"/>
                <w:szCs w:val="20"/>
              </w:rPr>
              <w:t xml:space="preserve">              </w:t>
            </w:r>
            <w:r w:rsidRPr="00D66D2B">
              <w:rPr>
                <w:rFonts w:ascii="Times New Roman" w:hAnsi="Times New Roman" w:cs="Times New Roman"/>
                <w:b/>
                <w:color w:val="000000"/>
                <w:sz w:val="20"/>
                <w:szCs w:val="20"/>
              </w:rPr>
              <w:t>231,1</w:t>
            </w:r>
          </w:p>
        </w:tc>
        <w:tc>
          <w:tcPr>
            <w:tcW w:w="1260" w:type="dxa"/>
            <w:tcBorders>
              <w:top w:val="single" w:sz="4" w:space="0" w:color="auto"/>
              <w:left w:val="single" w:sz="4" w:space="0" w:color="auto"/>
              <w:bottom w:val="double" w:sz="6"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-47,1</w:t>
            </w:r>
          </w:p>
        </w:tc>
      </w:tr>
    </w:tbl>
    <w:p w:rsidR="00B534F8" w:rsidP="00280AFE">
      <w:pPr>
        <w:pStyle w:val="Zkladntext"/>
        <w:spacing w:line="360" w:lineRule="atLeast"/>
        <w:rPr>
          <w:rFonts w:ascii="Times New Roman" w:hAnsi="Times New Roman" w:cs="Times New Roman"/>
          <w:szCs w:val="20"/>
        </w:rPr>
      </w:pPr>
      <w:r w:rsidRPr="00193342" w:rsidR="00193342">
        <w:rPr>
          <w:rFonts w:ascii="Times New Roman" w:hAnsi="Times New Roman" w:cs="Times New Roman"/>
          <w:szCs w:val="20"/>
        </w:rPr>
        <w:t>Zdroj: Ministerstvo financií SR</w:t>
      </w:r>
    </w:p>
    <w:p w:rsidR="00193342" w:rsidRPr="00193342" w:rsidP="00280AFE">
      <w:pPr>
        <w:pStyle w:val="Zkladntext"/>
        <w:spacing w:line="360" w:lineRule="atLeast"/>
        <w:rPr>
          <w:rFonts w:ascii="Times New Roman" w:hAnsi="Times New Roman" w:cs="Times New Roman"/>
          <w:szCs w:val="20"/>
        </w:rPr>
      </w:pPr>
    </w:p>
    <w:p w:rsidR="00B534F8" w:rsidRPr="00B652E3" w:rsidP="00B534F8">
      <w:pPr>
        <w:pStyle w:val="Zkladntext"/>
        <w:spacing w:line="360" w:lineRule="atLeast"/>
        <w:jc w:val="both"/>
        <w:rPr>
          <w:rFonts w:ascii="Times New Roman" w:hAnsi="Times New Roman" w:cs="Times New Roman"/>
          <w:sz w:val="24"/>
        </w:rPr>
      </w:pPr>
      <w:r>
        <w:rPr>
          <w:rFonts w:ascii="Times New Roman" w:hAnsi="Times New Roman" w:cs="Times New Roman"/>
          <w:shadow/>
          <w:sz w:val="24"/>
        </w:rPr>
        <w:tab/>
      </w:r>
      <w:r w:rsidRPr="00B652E3">
        <w:rPr>
          <w:rFonts w:ascii="Times New Roman" w:hAnsi="Times New Roman" w:cs="Times New Roman"/>
          <w:sz w:val="24"/>
        </w:rPr>
        <w:t xml:space="preserve">V roku 2006 sa  pohľadávky voči iným subjektom (deblokácia zahraničných pohľadávok)  znížili o 47,1 mil. Sk. Toto zníženie pohľadávok bolo ovplyvnené splátkou pohľadávky od spoločnosti  Kimex, s.r.o. a kurzovými rozdielmi k týmto pohľadávkam vo výške 46,8 mil. Sk. </w:t>
      </w:r>
    </w:p>
    <w:p w:rsidR="00280AFE" w:rsidRPr="00B652E3" w:rsidP="00CD4423">
      <w:pPr>
        <w:pStyle w:val="Zkladntext"/>
        <w:spacing w:line="360" w:lineRule="atLeast"/>
        <w:rPr>
          <w:rFonts w:ascii="Times New Roman" w:hAnsi="Times New Roman" w:cs="Times New Roman"/>
          <w:sz w:val="24"/>
        </w:rPr>
      </w:pPr>
    </w:p>
    <w:p w:rsidR="00B534F8" w:rsidRPr="00B652E3" w:rsidP="00B534F8">
      <w:pPr>
        <w:pStyle w:val="Zkladntext"/>
        <w:spacing w:line="360" w:lineRule="atLeast"/>
        <w:jc w:val="center"/>
        <w:rPr>
          <w:rFonts w:ascii="Times New Roman" w:hAnsi="Times New Roman" w:cs="Times New Roman"/>
          <w:sz w:val="24"/>
        </w:rPr>
      </w:pPr>
      <w:r w:rsidRPr="00B652E3">
        <w:rPr>
          <w:rFonts w:ascii="Times New Roman" w:hAnsi="Times New Roman" w:cs="Times New Roman"/>
          <w:sz w:val="24"/>
        </w:rPr>
        <w:t>d) Ostatné pohľadávky štátu</w:t>
      </w:r>
    </w:p>
    <w:p w:rsidR="00B534F8" w:rsidRPr="00B652E3" w:rsidP="00B534F8">
      <w:pPr>
        <w:pStyle w:val="Zkladntext"/>
        <w:spacing w:before="240" w:line="360" w:lineRule="atLeast"/>
        <w:ind w:left="142" w:firstLine="567"/>
        <w:jc w:val="both"/>
        <w:rPr>
          <w:rFonts w:ascii="Times New Roman" w:hAnsi="Times New Roman" w:cs="Times New Roman"/>
          <w:sz w:val="24"/>
        </w:rPr>
      </w:pPr>
      <w:r w:rsidRPr="00B652E3">
        <w:rPr>
          <w:rFonts w:ascii="Times New Roman" w:hAnsi="Times New Roman" w:cs="Times New Roman"/>
          <w:sz w:val="24"/>
        </w:rPr>
        <w:t>Vývoj stavu ostatných pohľadávok poskytuje nasledovný prehľad (v mil. Sk):</w:t>
        <w:tab/>
        <w:t xml:space="preserve"> </w:t>
      </w:r>
    </w:p>
    <w:p w:rsidR="00B534F8" w:rsidP="00B534F8">
      <w:pPr>
        <w:pStyle w:val="Zkladntext"/>
        <w:spacing w:line="360" w:lineRule="atLeast"/>
        <w:rPr>
          <w:rFonts w:ascii="Arial Narrow" w:hAnsi="Arial Narrow" w:cs="Times New Roman"/>
          <w:sz w:val="22"/>
          <w:szCs w:val="22"/>
          <w:u w:val="single"/>
        </w:rPr>
      </w:pPr>
    </w:p>
    <w:tbl>
      <w:tblPr>
        <w:tblW w:w="9195" w:type="dxa"/>
        <w:tblInd w:w="55" w:type="dxa"/>
        <w:tblBorders>
          <w:top w:val="single" w:sz="8" w:space="0" w:color="000000"/>
          <w:left w:val="single" w:sz="8" w:space="0" w:color="000000"/>
          <w:bottom w:val="double" w:sz="6" w:space="0" w:color="auto"/>
          <w:right w:val="single" w:sz="8" w:space="0" w:color="000000"/>
          <w:insideH w:val="single" w:sz="4" w:space="0" w:color="000000"/>
          <w:insideV w:val="single" w:sz="4" w:space="0" w:color="000000"/>
        </w:tblBorders>
        <w:tblCellMar>
          <w:left w:w="70" w:type="dxa"/>
          <w:right w:w="70" w:type="dxa"/>
        </w:tblCellMar>
      </w:tblPr>
      <w:tblGrid>
        <w:gridCol w:w="5415"/>
        <w:gridCol w:w="1440"/>
        <w:gridCol w:w="1308"/>
        <w:gridCol w:w="1032"/>
      </w:tblGrid>
      <w:tr>
        <w:tblPrEx>
          <w:tblW w:w="9195" w:type="dxa"/>
          <w:tblInd w:w="55" w:type="dxa"/>
          <w:tblBorders>
            <w:top w:val="single" w:sz="8" w:space="0" w:color="000000"/>
            <w:left w:val="single" w:sz="8" w:space="0" w:color="000000"/>
            <w:bottom w:val="double" w:sz="6" w:space="0" w:color="auto"/>
            <w:right w:val="single" w:sz="8" w:space="0" w:color="000000"/>
            <w:insideH w:val="single" w:sz="4" w:space="0" w:color="000000"/>
            <w:insideV w:val="single" w:sz="4" w:space="0" w:color="000000"/>
          </w:tblBorders>
          <w:tblCellMar>
            <w:left w:w="70" w:type="dxa"/>
            <w:right w:w="70" w:type="dxa"/>
          </w:tblCellMar>
        </w:tblPrEx>
        <w:trPr>
          <w:trHeight w:val="605"/>
        </w:trPr>
        <w:tc>
          <w:tcPr>
            <w:tcW w:w="5415" w:type="dxa"/>
            <w:tcBorders>
              <w:top w:val="single" w:sz="8" w:space="0" w:color="000000"/>
              <w:left w:val="single" w:sz="8" w:space="0" w:color="000000"/>
              <w:bottom w:val="single" w:sz="4" w:space="0" w:color="000000"/>
              <w:right w:val="single" w:sz="4" w:space="0" w:color="000000"/>
              <w:tl2br w:val="nil"/>
              <w:tr2bl w:val="nil"/>
            </w:tcBorders>
            <w:noWrap/>
            <w:textDirection w:val="lrTb"/>
            <w:vAlign w:val="center"/>
          </w:tcPr>
          <w:p w:rsidR="00B534F8" w:rsidRPr="00D66D2B" w:rsidP="00280AFE">
            <w:pPr>
              <w:jc w:val="center"/>
              <w:rPr>
                <w:rFonts w:ascii="Times New Roman" w:hAnsi="Times New Roman" w:cs="Times New Roman"/>
                <w:b/>
                <w:bCs/>
                <w:sz w:val="20"/>
                <w:szCs w:val="20"/>
              </w:rPr>
            </w:pPr>
            <w:r w:rsidRPr="00D66D2B">
              <w:rPr>
                <w:rFonts w:ascii="Times New Roman" w:hAnsi="Times New Roman" w:cs="Times New Roman"/>
                <w:b/>
                <w:bCs/>
                <w:sz w:val="20"/>
                <w:szCs w:val="20"/>
              </w:rPr>
              <w:t>Položka aktív</w:t>
            </w:r>
          </w:p>
        </w:tc>
        <w:tc>
          <w:tcPr>
            <w:tcW w:w="1440" w:type="dxa"/>
            <w:tcBorders>
              <w:top w:val="single" w:sz="8" w:space="0" w:color="000000"/>
              <w:left w:val="single" w:sz="4" w:space="0" w:color="000000"/>
              <w:bottom w:val="single" w:sz="4" w:space="0" w:color="000000"/>
              <w:right w:val="single" w:sz="4" w:space="0" w:color="000000"/>
              <w:tl2br w:val="nil"/>
              <w:tr2bl w:val="nil"/>
            </w:tcBorders>
            <w:noWrap/>
            <w:textDirection w:val="lrTb"/>
            <w:vAlign w:val="center"/>
          </w:tcPr>
          <w:p w:rsidR="00B534F8" w:rsidRPr="00D66D2B" w:rsidP="00280AFE">
            <w:pPr>
              <w:jc w:val="center"/>
              <w:rPr>
                <w:rFonts w:ascii="Times New Roman" w:hAnsi="Times New Roman" w:cs="Times New Roman"/>
                <w:b/>
                <w:bCs/>
                <w:sz w:val="20"/>
                <w:szCs w:val="20"/>
              </w:rPr>
            </w:pPr>
            <w:r w:rsidRPr="00D66D2B">
              <w:rPr>
                <w:rFonts w:ascii="Times New Roman" w:hAnsi="Times New Roman" w:cs="Times New Roman"/>
                <w:b/>
                <w:bCs/>
                <w:sz w:val="20"/>
                <w:szCs w:val="20"/>
              </w:rPr>
              <w:t>Stav</w:t>
            </w:r>
          </w:p>
          <w:p w:rsidR="00B534F8" w:rsidRPr="00D66D2B" w:rsidP="00280AFE">
            <w:pPr>
              <w:jc w:val="center"/>
              <w:rPr>
                <w:rFonts w:ascii="Times New Roman" w:hAnsi="Times New Roman" w:cs="Times New Roman"/>
                <w:b/>
                <w:bCs/>
                <w:sz w:val="20"/>
                <w:szCs w:val="20"/>
              </w:rPr>
            </w:pPr>
            <w:r w:rsidRPr="00D66D2B">
              <w:rPr>
                <w:rFonts w:ascii="Times New Roman" w:hAnsi="Times New Roman" w:cs="Times New Roman"/>
                <w:b/>
                <w:bCs/>
                <w:sz w:val="20"/>
                <w:szCs w:val="20"/>
              </w:rPr>
              <w:t>k 31.12.2005</w:t>
            </w:r>
          </w:p>
        </w:tc>
        <w:tc>
          <w:tcPr>
            <w:tcW w:w="1308" w:type="dxa"/>
            <w:tcBorders>
              <w:top w:val="single" w:sz="8" w:space="0" w:color="000000"/>
              <w:left w:val="single" w:sz="4" w:space="0" w:color="000000"/>
              <w:bottom w:val="single" w:sz="4" w:space="0" w:color="000000"/>
              <w:right w:val="single" w:sz="4" w:space="0" w:color="000000"/>
              <w:tl2br w:val="nil"/>
              <w:tr2bl w:val="nil"/>
            </w:tcBorders>
            <w:noWrap/>
            <w:textDirection w:val="lrTb"/>
            <w:vAlign w:val="center"/>
          </w:tcPr>
          <w:p w:rsidR="00B534F8" w:rsidRPr="00D66D2B" w:rsidP="00280AFE">
            <w:pPr>
              <w:jc w:val="center"/>
              <w:rPr>
                <w:rFonts w:ascii="Times New Roman" w:hAnsi="Times New Roman" w:cs="Times New Roman"/>
                <w:b/>
                <w:bCs/>
                <w:sz w:val="20"/>
                <w:szCs w:val="20"/>
              </w:rPr>
            </w:pPr>
            <w:r w:rsidRPr="00D66D2B">
              <w:rPr>
                <w:rFonts w:ascii="Times New Roman" w:hAnsi="Times New Roman" w:cs="Times New Roman"/>
                <w:b/>
                <w:bCs/>
                <w:sz w:val="20"/>
                <w:szCs w:val="20"/>
              </w:rPr>
              <w:t>Stav</w:t>
            </w:r>
          </w:p>
          <w:p w:rsidR="00B534F8" w:rsidRPr="00D66D2B" w:rsidP="00280AFE">
            <w:pPr>
              <w:jc w:val="center"/>
              <w:rPr>
                <w:rFonts w:ascii="Times New Roman" w:hAnsi="Times New Roman" w:cs="Times New Roman"/>
                <w:b/>
                <w:bCs/>
                <w:sz w:val="20"/>
                <w:szCs w:val="20"/>
              </w:rPr>
            </w:pPr>
            <w:r w:rsidRPr="00D66D2B">
              <w:rPr>
                <w:rFonts w:ascii="Times New Roman" w:hAnsi="Times New Roman" w:cs="Times New Roman"/>
                <w:b/>
                <w:bCs/>
                <w:sz w:val="20"/>
                <w:szCs w:val="20"/>
              </w:rPr>
              <w:t>k 31.12.2006</w:t>
            </w:r>
          </w:p>
        </w:tc>
        <w:tc>
          <w:tcPr>
            <w:tcW w:w="1032" w:type="dxa"/>
            <w:tcBorders>
              <w:top w:val="single" w:sz="8" w:space="0" w:color="000000"/>
              <w:left w:val="single" w:sz="4" w:space="0" w:color="000000"/>
              <w:bottom w:val="single" w:sz="4" w:space="0" w:color="000000"/>
              <w:right w:val="single" w:sz="8" w:space="0" w:color="000000"/>
              <w:tl2br w:val="nil"/>
              <w:tr2bl w:val="nil"/>
            </w:tcBorders>
            <w:noWrap/>
            <w:textDirection w:val="lrTb"/>
            <w:vAlign w:val="center"/>
          </w:tcPr>
          <w:p w:rsidR="00B534F8" w:rsidRPr="00D66D2B" w:rsidP="00280AFE">
            <w:pPr>
              <w:jc w:val="center"/>
              <w:rPr>
                <w:rFonts w:ascii="Times New Roman" w:hAnsi="Times New Roman" w:cs="Times New Roman"/>
                <w:b/>
                <w:bCs/>
                <w:sz w:val="20"/>
                <w:szCs w:val="20"/>
              </w:rPr>
            </w:pPr>
            <w:r w:rsidRPr="00D66D2B">
              <w:rPr>
                <w:rFonts w:ascii="Times New Roman" w:hAnsi="Times New Roman" w:cs="Times New Roman"/>
                <w:b/>
                <w:bCs/>
                <w:sz w:val="20"/>
                <w:szCs w:val="20"/>
              </w:rPr>
              <w:t>Zmena</w:t>
            </w:r>
          </w:p>
        </w:tc>
      </w:tr>
      <w:tr>
        <w:tblPrEx>
          <w:tblW w:w="9195" w:type="dxa"/>
          <w:tblInd w:w="55" w:type="dxa"/>
          <w:tblCellMar>
            <w:left w:w="70" w:type="dxa"/>
            <w:right w:w="70" w:type="dxa"/>
          </w:tblCellMar>
        </w:tblPrEx>
        <w:trPr>
          <w:trHeight w:val="315"/>
        </w:trPr>
        <w:tc>
          <w:tcPr>
            <w:tcW w:w="5415" w:type="dxa"/>
            <w:tcBorders>
              <w:top w:val="single" w:sz="4" w:space="0" w:color="000000"/>
              <w:left w:val="single" w:sz="8" w:space="0" w:color="000000"/>
              <w:bottom w:val="single" w:sz="4" w:space="0" w:color="000000"/>
              <w:right w:val="single" w:sz="4" w:space="0" w:color="000000"/>
              <w:tl2br w:val="nil"/>
              <w:tr2bl w:val="nil"/>
            </w:tcBorders>
            <w:noWrap/>
            <w:textDirection w:val="lrTb"/>
            <w:vAlign w:val="bottom"/>
          </w:tcPr>
          <w:p w:rsidR="00B534F8" w:rsidRPr="00D66D2B" w:rsidP="00B534F8">
            <w:pPr>
              <w:rPr>
                <w:rFonts w:ascii="Times New Roman" w:hAnsi="Times New Roman" w:cs="Times New Roman"/>
                <w:sz w:val="20"/>
                <w:szCs w:val="20"/>
              </w:rPr>
            </w:pPr>
            <w:r w:rsidRPr="00D66D2B">
              <w:rPr>
                <w:rFonts w:ascii="Times New Roman" w:hAnsi="Times New Roman" w:cs="Times New Roman"/>
                <w:sz w:val="20"/>
                <w:szCs w:val="20"/>
              </w:rPr>
              <w:t>Pohľadávky z rozpočtových príjmov nedaňových</w:t>
            </w:r>
          </w:p>
        </w:tc>
        <w:tc>
          <w:tcPr>
            <w:tcW w:w="1440" w:type="dxa"/>
            <w:tcBorders>
              <w:top w:val="single" w:sz="4" w:space="0" w:color="000000"/>
              <w:left w:val="single" w:sz="4" w:space="0" w:color="000000"/>
              <w:bottom w:val="single" w:sz="4" w:space="0" w:color="000000"/>
              <w:right w:val="single" w:sz="4"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25,8</w:t>
            </w:r>
          </w:p>
        </w:tc>
        <w:tc>
          <w:tcPr>
            <w:tcW w:w="1308" w:type="dxa"/>
            <w:tcBorders>
              <w:top w:val="single" w:sz="4" w:space="0" w:color="000000"/>
              <w:left w:val="single" w:sz="4" w:space="0" w:color="000000"/>
              <w:bottom w:val="single" w:sz="4" w:space="0" w:color="000000"/>
              <w:right w:val="single" w:sz="4"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37,4</w:t>
            </w:r>
          </w:p>
        </w:tc>
        <w:tc>
          <w:tcPr>
            <w:tcW w:w="1032" w:type="dxa"/>
            <w:tcBorders>
              <w:top w:val="single" w:sz="4" w:space="0" w:color="000000"/>
              <w:left w:val="single" w:sz="4" w:space="0" w:color="000000"/>
              <w:bottom w:val="single" w:sz="4" w:space="0" w:color="000000"/>
              <w:right w:val="single" w:sz="8"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11,6</w:t>
            </w:r>
          </w:p>
        </w:tc>
      </w:tr>
      <w:tr>
        <w:tblPrEx>
          <w:tblW w:w="9195" w:type="dxa"/>
          <w:tblInd w:w="55" w:type="dxa"/>
          <w:tblCellMar>
            <w:left w:w="70" w:type="dxa"/>
            <w:right w:w="70" w:type="dxa"/>
          </w:tblCellMar>
        </w:tblPrEx>
        <w:trPr>
          <w:trHeight w:val="315"/>
        </w:trPr>
        <w:tc>
          <w:tcPr>
            <w:tcW w:w="5415" w:type="dxa"/>
            <w:tcBorders>
              <w:top w:val="single" w:sz="4" w:space="0" w:color="000000"/>
              <w:left w:val="single" w:sz="8" w:space="0" w:color="000000"/>
              <w:bottom w:val="single" w:sz="4" w:space="0" w:color="000000"/>
              <w:right w:val="single" w:sz="4" w:space="0" w:color="000000"/>
              <w:tl2br w:val="nil"/>
              <w:tr2bl w:val="nil"/>
            </w:tcBorders>
            <w:noWrap/>
            <w:textDirection w:val="lrTb"/>
            <w:vAlign w:val="bottom"/>
          </w:tcPr>
          <w:p w:rsidR="00B534F8" w:rsidRPr="00D66D2B" w:rsidP="00B534F8">
            <w:pPr>
              <w:rPr>
                <w:rFonts w:ascii="Times New Roman" w:hAnsi="Times New Roman" w:cs="Times New Roman"/>
                <w:sz w:val="20"/>
                <w:szCs w:val="20"/>
              </w:rPr>
            </w:pPr>
            <w:r w:rsidRPr="00D66D2B">
              <w:rPr>
                <w:rFonts w:ascii="Times New Roman" w:hAnsi="Times New Roman" w:cs="Times New Roman"/>
                <w:sz w:val="20"/>
                <w:szCs w:val="20"/>
              </w:rPr>
              <w:t>Pohľadávky z rozpočtových príjmov nedaňových – úroky</w:t>
            </w:r>
          </w:p>
        </w:tc>
        <w:tc>
          <w:tcPr>
            <w:tcW w:w="1440" w:type="dxa"/>
            <w:tcBorders>
              <w:top w:val="single" w:sz="4" w:space="0" w:color="000000"/>
              <w:left w:val="single" w:sz="4" w:space="0" w:color="000000"/>
              <w:bottom w:val="single" w:sz="4" w:space="0" w:color="000000"/>
              <w:right w:val="single" w:sz="4"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1 725,9</w:t>
            </w:r>
          </w:p>
        </w:tc>
        <w:tc>
          <w:tcPr>
            <w:tcW w:w="1308" w:type="dxa"/>
            <w:tcBorders>
              <w:top w:val="single" w:sz="4" w:space="0" w:color="000000"/>
              <w:left w:val="single" w:sz="4" w:space="0" w:color="000000"/>
              <w:bottom w:val="single" w:sz="4" w:space="0" w:color="000000"/>
              <w:right w:val="single" w:sz="4"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1 725,9</w:t>
            </w:r>
          </w:p>
        </w:tc>
        <w:tc>
          <w:tcPr>
            <w:tcW w:w="1032" w:type="dxa"/>
            <w:tcBorders>
              <w:top w:val="single" w:sz="4" w:space="0" w:color="000000"/>
              <w:left w:val="single" w:sz="4" w:space="0" w:color="000000"/>
              <w:bottom w:val="single" w:sz="4" w:space="0" w:color="000000"/>
              <w:right w:val="single" w:sz="8"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0,0</w:t>
            </w:r>
          </w:p>
        </w:tc>
      </w:tr>
      <w:tr>
        <w:tblPrEx>
          <w:tblW w:w="9195" w:type="dxa"/>
          <w:tblInd w:w="55" w:type="dxa"/>
          <w:tblCellMar>
            <w:left w:w="70" w:type="dxa"/>
            <w:right w:w="70" w:type="dxa"/>
          </w:tblCellMar>
        </w:tblPrEx>
        <w:trPr>
          <w:trHeight w:val="315"/>
        </w:trPr>
        <w:tc>
          <w:tcPr>
            <w:tcW w:w="5415" w:type="dxa"/>
            <w:tcBorders>
              <w:top w:val="single" w:sz="4" w:space="0" w:color="000000"/>
              <w:left w:val="single" w:sz="8" w:space="0" w:color="000000"/>
              <w:bottom w:val="single" w:sz="4" w:space="0" w:color="000000"/>
              <w:right w:val="single" w:sz="4" w:space="0" w:color="000000"/>
              <w:tl2br w:val="nil"/>
              <w:tr2bl w:val="nil"/>
            </w:tcBorders>
            <w:noWrap/>
            <w:textDirection w:val="lrTb"/>
            <w:vAlign w:val="bottom"/>
          </w:tcPr>
          <w:p w:rsidR="00B534F8" w:rsidRPr="00D66D2B" w:rsidP="00B534F8">
            <w:pPr>
              <w:rPr>
                <w:rFonts w:ascii="Times New Roman" w:hAnsi="Times New Roman" w:cs="Times New Roman"/>
                <w:sz w:val="20"/>
                <w:szCs w:val="20"/>
              </w:rPr>
            </w:pPr>
            <w:r w:rsidRPr="00D66D2B">
              <w:rPr>
                <w:rFonts w:ascii="Times New Roman" w:hAnsi="Times New Roman" w:cs="Times New Roman"/>
                <w:sz w:val="20"/>
                <w:szCs w:val="20"/>
              </w:rPr>
              <w:t>Pohľadávky z rozpočtových príjmov nedaňových – penále</w:t>
            </w:r>
          </w:p>
        </w:tc>
        <w:tc>
          <w:tcPr>
            <w:tcW w:w="1440" w:type="dxa"/>
            <w:tcBorders>
              <w:top w:val="single" w:sz="4" w:space="0" w:color="000000"/>
              <w:left w:val="single" w:sz="4" w:space="0" w:color="000000"/>
              <w:bottom w:val="single" w:sz="4" w:space="0" w:color="000000"/>
              <w:right w:val="single" w:sz="4"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2 239,4</w:t>
            </w:r>
          </w:p>
        </w:tc>
        <w:tc>
          <w:tcPr>
            <w:tcW w:w="1308" w:type="dxa"/>
            <w:tcBorders>
              <w:top w:val="single" w:sz="4" w:space="0" w:color="000000"/>
              <w:left w:val="single" w:sz="4" w:space="0" w:color="000000"/>
              <w:bottom w:val="single" w:sz="4" w:space="0" w:color="000000"/>
              <w:right w:val="single" w:sz="4"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2 239,4</w:t>
            </w:r>
          </w:p>
        </w:tc>
        <w:tc>
          <w:tcPr>
            <w:tcW w:w="1032" w:type="dxa"/>
            <w:tcBorders>
              <w:top w:val="single" w:sz="4" w:space="0" w:color="000000"/>
              <w:left w:val="single" w:sz="4" w:space="0" w:color="000000"/>
              <w:bottom w:val="single" w:sz="4" w:space="0" w:color="000000"/>
              <w:right w:val="single" w:sz="8"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0,0</w:t>
            </w:r>
          </w:p>
        </w:tc>
      </w:tr>
      <w:tr>
        <w:tblPrEx>
          <w:tblW w:w="9195" w:type="dxa"/>
          <w:tblInd w:w="55" w:type="dxa"/>
          <w:tblCellMar>
            <w:left w:w="70" w:type="dxa"/>
            <w:right w:w="70" w:type="dxa"/>
          </w:tblCellMar>
        </w:tblPrEx>
        <w:trPr>
          <w:trHeight w:val="315"/>
        </w:trPr>
        <w:tc>
          <w:tcPr>
            <w:tcW w:w="5415" w:type="dxa"/>
            <w:tcBorders>
              <w:top w:val="single" w:sz="4" w:space="0" w:color="000000"/>
              <w:left w:val="single" w:sz="8" w:space="0" w:color="000000"/>
              <w:bottom w:val="single" w:sz="4" w:space="0" w:color="000000"/>
              <w:right w:val="single" w:sz="4" w:space="0" w:color="000000"/>
              <w:tl2br w:val="nil"/>
              <w:tr2bl w:val="nil"/>
            </w:tcBorders>
            <w:noWrap/>
            <w:textDirection w:val="lrTb"/>
            <w:vAlign w:val="bottom"/>
          </w:tcPr>
          <w:p w:rsidR="00B534F8" w:rsidRPr="00D66D2B" w:rsidP="00B534F8">
            <w:pPr>
              <w:rPr>
                <w:rFonts w:ascii="Times New Roman" w:hAnsi="Times New Roman" w:cs="Times New Roman"/>
                <w:sz w:val="20"/>
                <w:szCs w:val="20"/>
              </w:rPr>
            </w:pPr>
            <w:r w:rsidRPr="00D66D2B">
              <w:rPr>
                <w:rFonts w:ascii="Times New Roman" w:hAnsi="Times New Roman" w:cs="Times New Roman"/>
                <w:sz w:val="20"/>
                <w:szCs w:val="20"/>
              </w:rPr>
              <w:t>Pohľadávky z rozpočtových príjmov nedaňových – pokuty</w:t>
            </w:r>
          </w:p>
        </w:tc>
        <w:tc>
          <w:tcPr>
            <w:tcW w:w="1440" w:type="dxa"/>
            <w:tcBorders>
              <w:top w:val="single" w:sz="4" w:space="0" w:color="000000"/>
              <w:left w:val="single" w:sz="4" w:space="0" w:color="000000"/>
              <w:bottom w:val="single" w:sz="4" w:space="0" w:color="000000"/>
              <w:right w:val="single" w:sz="4"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179,9</w:t>
            </w:r>
          </w:p>
        </w:tc>
        <w:tc>
          <w:tcPr>
            <w:tcW w:w="1308" w:type="dxa"/>
            <w:tcBorders>
              <w:top w:val="single" w:sz="4" w:space="0" w:color="000000"/>
              <w:left w:val="single" w:sz="4" w:space="0" w:color="000000"/>
              <w:bottom w:val="single" w:sz="4" w:space="0" w:color="000000"/>
              <w:right w:val="single" w:sz="4"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183,2</w:t>
            </w:r>
          </w:p>
        </w:tc>
        <w:tc>
          <w:tcPr>
            <w:tcW w:w="1032" w:type="dxa"/>
            <w:tcBorders>
              <w:top w:val="single" w:sz="4" w:space="0" w:color="000000"/>
              <w:left w:val="single" w:sz="4" w:space="0" w:color="000000"/>
              <w:bottom w:val="single" w:sz="4" w:space="0" w:color="000000"/>
              <w:right w:val="single" w:sz="8"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3,3</w:t>
            </w:r>
          </w:p>
        </w:tc>
      </w:tr>
      <w:tr>
        <w:tblPrEx>
          <w:tblW w:w="9195" w:type="dxa"/>
          <w:tblInd w:w="55" w:type="dxa"/>
          <w:tblCellMar>
            <w:left w:w="70" w:type="dxa"/>
            <w:right w:w="70" w:type="dxa"/>
          </w:tblCellMar>
        </w:tblPrEx>
        <w:trPr>
          <w:trHeight w:val="315"/>
        </w:trPr>
        <w:tc>
          <w:tcPr>
            <w:tcW w:w="5415" w:type="dxa"/>
            <w:tcBorders>
              <w:top w:val="single" w:sz="4" w:space="0" w:color="000000"/>
              <w:left w:val="single" w:sz="8" w:space="0" w:color="000000"/>
              <w:bottom w:val="single" w:sz="4" w:space="0" w:color="000000"/>
              <w:right w:val="single" w:sz="4" w:space="0" w:color="000000"/>
              <w:tl2br w:val="nil"/>
              <w:tr2bl w:val="nil"/>
            </w:tcBorders>
            <w:noWrap/>
            <w:textDirection w:val="lrTb"/>
            <w:vAlign w:val="bottom"/>
          </w:tcPr>
          <w:p w:rsidR="00B534F8" w:rsidRPr="00D66D2B" w:rsidP="00B534F8">
            <w:pPr>
              <w:rPr>
                <w:rFonts w:ascii="Times New Roman" w:hAnsi="Times New Roman" w:cs="Times New Roman"/>
                <w:sz w:val="20"/>
                <w:szCs w:val="20"/>
              </w:rPr>
            </w:pPr>
            <w:r w:rsidRPr="00D66D2B">
              <w:rPr>
                <w:rFonts w:ascii="Times New Roman" w:hAnsi="Times New Roman" w:cs="Times New Roman"/>
                <w:sz w:val="20"/>
                <w:szCs w:val="20"/>
              </w:rPr>
              <w:t>Pohľadávky z rozpočtových príjmov nedaňových - vratka dotácie</w:t>
            </w:r>
          </w:p>
        </w:tc>
        <w:tc>
          <w:tcPr>
            <w:tcW w:w="1440" w:type="dxa"/>
            <w:tcBorders>
              <w:top w:val="single" w:sz="4" w:space="0" w:color="000000"/>
              <w:left w:val="single" w:sz="4" w:space="0" w:color="000000"/>
              <w:bottom w:val="single" w:sz="4" w:space="0" w:color="000000"/>
              <w:right w:val="single" w:sz="4"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20,3</w:t>
            </w:r>
          </w:p>
        </w:tc>
        <w:tc>
          <w:tcPr>
            <w:tcW w:w="1308" w:type="dxa"/>
            <w:tcBorders>
              <w:top w:val="single" w:sz="4" w:space="0" w:color="000000"/>
              <w:left w:val="single" w:sz="4" w:space="0" w:color="000000"/>
              <w:bottom w:val="single" w:sz="4" w:space="0" w:color="000000"/>
              <w:right w:val="single" w:sz="4"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20,3</w:t>
            </w:r>
          </w:p>
        </w:tc>
        <w:tc>
          <w:tcPr>
            <w:tcW w:w="1032" w:type="dxa"/>
            <w:tcBorders>
              <w:top w:val="single" w:sz="4" w:space="0" w:color="000000"/>
              <w:left w:val="single" w:sz="4" w:space="0" w:color="000000"/>
              <w:bottom w:val="single" w:sz="4" w:space="0" w:color="000000"/>
              <w:right w:val="single" w:sz="8"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0,0</w:t>
            </w:r>
          </w:p>
        </w:tc>
      </w:tr>
      <w:tr>
        <w:tblPrEx>
          <w:tblW w:w="9195" w:type="dxa"/>
          <w:tblInd w:w="55" w:type="dxa"/>
          <w:tblCellMar>
            <w:left w:w="70" w:type="dxa"/>
            <w:right w:w="70" w:type="dxa"/>
          </w:tblCellMar>
        </w:tblPrEx>
        <w:trPr>
          <w:trHeight w:val="315"/>
        </w:trPr>
        <w:tc>
          <w:tcPr>
            <w:tcW w:w="5415" w:type="dxa"/>
            <w:tcBorders>
              <w:top w:val="single" w:sz="4" w:space="0" w:color="000000"/>
              <w:left w:val="single" w:sz="8" w:space="0" w:color="000000"/>
              <w:bottom w:val="single" w:sz="4" w:space="0" w:color="000000"/>
              <w:right w:val="single" w:sz="4" w:space="0" w:color="000000"/>
              <w:tl2br w:val="nil"/>
              <w:tr2bl w:val="nil"/>
            </w:tcBorders>
            <w:noWrap/>
            <w:textDirection w:val="lrTb"/>
            <w:vAlign w:val="bottom"/>
          </w:tcPr>
          <w:p w:rsidR="00B534F8" w:rsidRPr="00D66D2B" w:rsidP="00B534F8">
            <w:pPr>
              <w:rPr>
                <w:rFonts w:ascii="Times New Roman" w:hAnsi="Times New Roman" w:cs="Times New Roman"/>
                <w:sz w:val="20"/>
                <w:szCs w:val="20"/>
              </w:rPr>
            </w:pPr>
            <w:r w:rsidRPr="00D66D2B">
              <w:rPr>
                <w:rFonts w:ascii="Times New Roman" w:hAnsi="Times New Roman" w:cs="Times New Roman"/>
                <w:sz w:val="20"/>
                <w:szCs w:val="20"/>
              </w:rPr>
              <w:t>Pohľ. z trvalých preddavkov – MZV – zastupiteľské úrady</w:t>
            </w:r>
          </w:p>
        </w:tc>
        <w:tc>
          <w:tcPr>
            <w:tcW w:w="1440" w:type="dxa"/>
            <w:tcBorders>
              <w:top w:val="single" w:sz="4" w:space="0" w:color="000000"/>
              <w:left w:val="single" w:sz="4" w:space="0" w:color="000000"/>
              <w:bottom w:val="single" w:sz="4" w:space="0" w:color="000000"/>
              <w:right w:val="single" w:sz="4"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174,4</w:t>
            </w:r>
          </w:p>
        </w:tc>
        <w:tc>
          <w:tcPr>
            <w:tcW w:w="1308" w:type="dxa"/>
            <w:tcBorders>
              <w:top w:val="single" w:sz="4" w:space="0" w:color="000000"/>
              <w:left w:val="single" w:sz="4" w:space="0" w:color="000000"/>
              <w:bottom w:val="single" w:sz="4" w:space="0" w:color="000000"/>
              <w:right w:val="single" w:sz="4"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174,4</w:t>
            </w:r>
          </w:p>
        </w:tc>
        <w:tc>
          <w:tcPr>
            <w:tcW w:w="1032" w:type="dxa"/>
            <w:tcBorders>
              <w:top w:val="single" w:sz="4" w:space="0" w:color="000000"/>
              <w:left w:val="single" w:sz="4" w:space="0" w:color="000000"/>
              <w:bottom w:val="single" w:sz="4" w:space="0" w:color="000000"/>
              <w:right w:val="single" w:sz="8"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0,0</w:t>
            </w:r>
          </w:p>
        </w:tc>
      </w:tr>
      <w:tr>
        <w:tblPrEx>
          <w:tblW w:w="9195" w:type="dxa"/>
          <w:tblInd w:w="55" w:type="dxa"/>
          <w:tblCellMar>
            <w:left w:w="70" w:type="dxa"/>
            <w:right w:w="70" w:type="dxa"/>
          </w:tblCellMar>
        </w:tblPrEx>
        <w:trPr>
          <w:trHeight w:val="315"/>
        </w:trPr>
        <w:tc>
          <w:tcPr>
            <w:tcW w:w="5415" w:type="dxa"/>
            <w:tcBorders>
              <w:top w:val="single" w:sz="4" w:space="0" w:color="000000"/>
              <w:left w:val="single" w:sz="8" w:space="0" w:color="000000"/>
              <w:bottom w:val="single" w:sz="4" w:space="0" w:color="000000"/>
              <w:right w:val="single" w:sz="4" w:space="0" w:color="000000"/>
              <w:tl2br w:val="nil"/>
              <w:tr2bl w:val="nil"/>
            </w:tcBorders>
            <w:noWrap/>
            <w:textDirection w:val="lrTb"/>
            <w:vAlign w:val="bottom"/>
          </w:tcPr>
          <w:p w:rsidR="00B534F8" w:rsidRPr="00D66D2B" w:rsidP="00B534F8">
            <w:pPr>
              <w:rPr>
                <w:rFonts w:ascii="Times New Roman" w:hAnsi="Times New Roman" w:cs="Times New Roman"/>
                <w:sz w:val="20"/>
                <w:szCs w:val="20"/>
              </w:rPr>
            </w:pPr>
            <w:r w:rsidRPr="00D66D2B">
              <w:rPr>
                <w:rFonts w:ascii="Times New Roman" w:hAnsi="Times New Roman" w:cs="Times New Roman"/>
                <w:sz w:val="20"/>
                <w:szCs w:val="20"/>
              </w:rPr>
              <w:t>Pohľ. z trvalých preddavkov - Ministerstvo hospodárstva</w:t>
            </w:r>
          </w:p>
        </w:tc>
        <w:tc>
          <w:tcPr>
            <w:tcW w:w="1440" w:type="dxa"/>
            <w:tcBorders>
              <w:top w:val="single" w:sz="4" w:space="0" w:color="000000"/>
              <w:left w:val="single" w:sz="4" w:space="0" w:color="000000"/>
              <w:bottom w:val="single" w:sz="4" w:space="0" w:color="000000"/>
              <w:right w:val="single" w:sz="4"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18,0</w:t>
            </w:r>
          </w:p>
        </w:tc>
        <w:tc>
          <w:tcPr>
            <w:tcW w:w="1308" w:type="dxa"/>
            <w:tcBorders>
              <w:top w:val="single" w:sz="4" w:space="0" w:color="000000"/>
              <w:left w:val="single" w:sz="4" w:space="0" w:color="000000"/>
              <w:bottom w:val="single" w:sz="4" w:space="0" w:color="000000"/>
              <w:right w:val="single" w:sz="4"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18,0</w:t>
            </w:r>
          </w:p>
        </w:tc>
        <w:tc>
          <w:tcPr>
            <w:tcW w:w="1032" w:type="dxa"/>
            <w:tcBorders>
              <w:top w:val="single" w:sz="4" w:space="0" w:color="000000"/>
              <w:left w:val="single" w:sz="4" w:space="0" w:color="000000"/>
              <w:bottom w:val="single" w:sz="4" w:space="0" w:color="000000"/>
              <w:right w:val="single" w:sz="8"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0,0</w:t>
            </w:r>
          </w:p>
        </w:tc>
      </w:tr>
      <w:tr>
        <w:tblPrEx>
          <w:tblW w:w="9195" w:type="dxa"/>
          <w:tblInd w:w="55" w:type="dxa"/>
          <w:tblCellMar>
            <w:left w:w="70" w:type="dxa"/>
            <w:right w:w="70" w:type="dxa"/>
          </w:tblCellMar>
        </w:tblPrEx>
        <w:trPr>
          <w:trHeight w:val="315"/>
        </w:trPr>
        <w:tc>
          <w:tcPr>
            <w:tcW w:w="5415" w:type="dxa"/>
            <w:tcBorders>
              <w:top w:val="single" w:sz="4" w:space="0" w:color="000000"/>
              <w:left w:val="single" w:sz="8" w:space="0" w:color="000000"/>
              <w:bottom w:val="single" w:sz="4" w:space="0" w:color="000000"/>
              <w:right w:val="single" w:sz="4" w:space="0" w:color="000000"/>
              <w:tl2br w:val="nil"/>
              <w:tr2bl w:val="nil"/>
            </w:tcBorders>
            <w:noWrap/>
            <w:textDirection w:val="lrTb"/>
            <w:vAlign w:val="bottom"/>
          </w:tcPr>
          <w:p w:rsidR="00B534F8" w:rsidRPr="00D66D2B" w:rsidP="00B534F8">
            <w:pPr>
              <w:rPr>
                <w:rFonts w:ascii="Times New Roman" w:hAnsi="Times New Roman" w:cs="Times New Roman"/>
                <w:sz w:val="20"/>
                <w:szCs w:val="20"/>
              </w:rPr>
            </w:pPr>
            <w:r w:rsidRPr="00D66D2B">
              <w:rPr>
                <w:rFonts w:ascii="Times New Roman" w:hAnsi="Times New Roman" w:cs="Times New Roman"/>
                <w:sz w:val="20"/>
                <w:szCs w:val="20"/>
              </w:rPr>
              <w:t>Pohľadávka voči peňažným ústavom</w:t>
            </w:r>
          </w:p>
        </w:tc>
        <w:tc>
          <w:tcPr>
            <w:tcW w:w="1440" w:type="dxa"/>
            <w:tcBorders>
              <w:top w:val="single" w:sz="4" w:space="0" w:color="000000"/>
              <w:left w:val="single" w:sz="4" w:space="0" w:color="000000"/>
              <w:bottom w:val="single" w:sz="4" w:space="0" w:color="000000"/>
              <w:right w:val="single" w:sz="4"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0,0</w:t>
            </w:r>
          </w:p>
        </w:tc>
        <w:tc>
          <w:tcPr>
            <w:tcW w:w="1308" w:type="dxa"/>
            <w:tcBorders>
              <w:top w:val="single" w:sz="4" w:space="0" w:color="000000"/>
              <w:left w:val="single" w:sz="4" w:space="0" w:color="000000"/>
              <w:bottom w:val="single" w:sz="4" w:space="0" w:color="000000"/>
              <w:right w:val="single" w:sz="4"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38 590,0</w:t>
            </w:r>
          </w:p>
        </w:tc>
        <w:tc>
          <w:tcPr>
            <w:tcW w:w="1032" w:type="dxa"/>
            <w:tcBorders>
              <w:top w:val="single" w:sz="4" w:space="0" w:color="000000"/>
              <w:left w:val="single" w:sz="4" w:space="0" w:color="000000"/>
              <w:bottom w:val="single" w:sz="4" w:space="0" w:color="000000"/>
              <w:right w:val="single" w:sz="8"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38 590,0</w:t>
            </w:r>
          </w:p>
        </w:tc>
      </w:tr>
      <w:tr>
        <w:tblPrEx>
          <w:tblW w:w="9195" w:type="dxa"/>
          <w:tblInd w:w="55" w:type="dxa"/>
          <w:tblCellMar>
            <w:left w:w="70" w:type="dxa"/>
            <w:right w:w="70" w:type="dxa"/>
          </w:tblCellMar>
        </w:tblPrEx>
        <w:trPr>
          <w:trHeight w:val="315"/>
        </w:trPr>
        <w:tc>
          <w:tcPr>
            <w:tcW w:w="5415" w:type="dxa"/>
            <w:tcBorders>
              <w:top w:val="single" w:sz="4" w:space="0" w:color="000000"/>
              <w:left w:val="single" w:sz="8" w:space="0" w:color="000000"/>
              <w:bottom w:val="single" w:sz="4" w:space="0" w:color="000000"/>
              <w:right w:val="single" w:sz="4" w:space="0" w:color="000000"/>
              <w:tl2br w:val="nil"/>
              <w:tr2bl w:val="nil"/>
            </w:tcBorders>
            <w:noWrap/>
            <w:textDirection w:val="lrTb"/>
            <w:vAlign w:val="bottom"/>
          </w:tcPr>
          <w:p w:rsidR="00B534F8" w:rsidRPr="00D66D2B" w:rsidP="00B534F8">
            <w:pPr>
              <w:rPr>
                <w:rFonts w:ascii="Times New Roman" w:hAnsi="Times New Roman" w:cs="Times New Roman"/>
                <w:sz w:val="20"/>
                <w:szCs w:val="20"/>
              </w:rPr>
            </w:pPr>
            <w:r w:rsidRPr="00D66D2B">
              <w:rPr>
                <w:rFonts w:ascii="Times New Roman" w:hAnsi="Times New Roman" w:cs="Times New Roman"/>
                <w:sz w:val="20"/>
                <w:szCs w:val="20"/>
              </w:rPr>
              <w:t xml:space="preserve">Pohľadávka voči peňažným ústavom </w:t>
            </w:r>
            <w:r w:rsidRPr="00D66D2B" w:rsidR="00B652E3">
              <w:rPr>
                <w:rFonts w:ascii="Times New Roman" w:hAnsi="Times New Roman" w:cs="Times New Roman"/>
                <w:sz w:val="20"/>
                <w:szCs w:val="20"/>
              </w:rPr>
              <w:t>–</w:t>
            </w:r>
            <w:r w:rsidRPr="00D66D2B">
              <w:rPr>
                <w:rFonts w:ascii="Times New Roman" w:hAnsi="Times New Roman" w:cs="Times New Roman"/>
                <w:sz w:val="20"/>
                <w:szCs w:val="20"/>
              </w:rPr>
              <w:t xml:space="preserve"> úroky</w:t>
            </w:r>
          </w:p>
        </w:tc>
        <w:tc>
          <w:tcPr>
            <w:tcW w:w="1440" w:type="dxa"/>
            <w:tcBorders>
              <w:top w:val="single" w:sz="4" w:space="0" w:color="000000"/>
              <w:left w:val="single" w:sz="4" w:space="0" w:color="000000"/>
              <w:bottom w:val="single" w:sz="4" w:space="0" w:color="000000"/>
              <w:right w:val="single" w:sz="4"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0,0</w:t>
            </w:r>
          </w:p>
        </w:tc>
        <w:tc>
          <w:tcPr>
            <w:tcW w:w="1308" w:type="dxa"/>
            <w:tcBorders>
              <w:top w:val="single" w:sz="4" w:space="0" w:color="000000"/>
              <w:left w:val="single" w:sz="4" w:space="0" w:color="000000"/>
              <w:bottom w:val="single" w:sz="4" w:space="0" w:color="000000"/>
              <w:right w:val="single" w:sz="4"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119,0</w:t>
            </w:r>
          </w:p>
        </w:tc>
        <w:tc>
          <w:tcPr>
            <w:tcW w:w="1032" w:type="dxa"/>
            <w:tcBorders>
              <w:top w:val="single" w:sz="4" w:space="0" w:color="000000"/>
              <w:left w:val="single" w:sz="4" w:space="0" w:color="000000"/>
              <w:bottom w:val="single" w:sz="4" w:space="0" w:color="000000"/>
              <w:right w:val="single" w:sz="8"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119,0</w:t>
            </w:r>
          </w:p>
        </w:tc>
      </w:tr>
      <w:tr>
        <w:tblPrEx>
          <w:tblW w:w="9195" w:type="dxa"/>
          <w:tblInd w:w="55" w:type="dxa"/>
          <w:tblCellMar>
            <w:left w:w="70" w:type="dxa"/>
            <w:right w:w="70" w:type="dxa"/>
          </w:tblCellMar>
        </w:tblPrEx>
        <w:trPr>
          <w:trHeight w:val="315"/>
        </w:trPr>
        <w:tc>
          <w:tcPr>
            <w:tcW w:w="5415" w:type="dxa"/>
            <w:tcBorders>
              <w:top w:val="single" w:sz="4" w:space="0" w:color="000000"/>
              <w:left w:val="single" w:sz="8" w:space="0" w:color="000000"/>
              <w:bottom w:val="single" w:sz="4" w:space="0" w:color="000000"/>
              <w:right w:val="single" w:sz="4" w:space="0" w:color="000000"/>
              <w:tl2br w:val="nil"/>
              <w:tr2bl w:val="nil"/>
            </w:tcBorders>
            <w:noWrap/>
            <w:textDirection w:val="lrTb"/>
            <w:vAlign w:val="bottom"/>
          </w:tcPr>
          <w:p w:rsidR="00B534F8" w:rsidRPr="00D66D2B" w:rsidP="00B534F8">
            <w:pPr>
              <w:rPr>
                <w:rFonts w:ascii="Times New Roman" w:hAnsi="Times New Roman" w:cs="Times New Roman"/>
                <w:sz w:val="20"/>
                <w:szCs w:val="20"/>
              </w:rPr>
            </w:pPr>
            <w:r w:rsidRPr="00D66D2B">
              <w:rPr>
                <w:rFonts w:ascii="Times New Roman" w:hAnsi="Times New Roman" w:cs="Times New Roman"/>
                <w:sz w:val="20"/>
                <w:szCs w:val="20"/>
              </w:rPr>
              <w:t>Pohľadávka SLOP1</w:t>
            </w:r>
          </w:p>
        </w:tc>
        <w:tc>
          <w:tcPr>
            <w:tcW w:w="1440" w:type="dxa"/>
            <w:tcBorders>
              <w:top w:val="single" w:sz="4" w:space="0" w:color="000000"/>
              <w:left w:val="single" w:sz="4" w:space="0" w:color="000000"/>
              <w:bottom w:val="single" w:sz="4" w:space="0" w:color="000000"/>
              <w:right w:val="single" w:sz="4"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0,0</w:t>
            </w:r>
          </w:p>
        </w:tc>
        <w:tc>
          <w:tcPr>
            <w:tcW w:w="1308" w:type="dxa"/>
            <w:tcBorders>
              <w:top w:val="single" w:sz="4" w:space="0" w:color="000000"/>
              <w:left w:val="single" w:sz="4" w:space="0" w:color="000000"/>
              <w:bottom w:val="single" w:sz="4" w:space="0" w:color="000000"/>
              <w:right w:val="single" w:sz="4"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121,8</w:t>
            </w:r>
          </w:p>
        </w:tc>
        <w:tc>
          <w:tcPr>
            <w:tcW w:w="1032" w:type="dxa"/>
            <w:tcBorders>
              <w:top w:val="single" w:sz="4" w:space="0" w:color="000000"/>
              <w:left w:val="single" w:sz="4" w:space="0" w:color="000000"/>
              <w:bottom w:val="single" w:sz="4" w:space="0" w:color="000000"/>
              <w:right w:val="single" w:sz="8" w:space="0" w:color="000000"/>
              <w:tl2br w:val="nil"/>
              <w:tr2bl w:val="nil"/>
            </w:tcBorders>
            <w:noWrap/>
            <w:textDirection w:val="lrTb"/>
            <w:vAlign w:val="bottom"/>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121,8</w:t>
            </w:r>
          </w:p>
        </w:tc>
      </w:tr>
      <w:tr>
        <w:tblPrEx>
          <w:tblW w:w="9195" w:type="dxa"/>
          <w:tblInd w:w="55" w:type="dxa"/>
          <w:tblCellMar>
            <w:left w:w="70" w:type="dxa"/>
            <w:right w:w="70" w:type="dxa"/>
          </w:tblCellMar>
        </w:tblPrEx>
        <w:trPr>
          <w:trHeight w:val="68"/>
        </w:trPr>
        <w:tc>
          <w:tcPr>
            <w:tcW w:w="5415" w:type="dxa"/>
            <w:tcBorders>
              <w:top w:val="single" w:sz="4" w:space="0" w:color="000000"/>
              <w:left w:val="single" w:sz="8" w:space="0" w:color="000000"/>
              <w:bottom w:val="double" w:sz="6" w:space="0" w:color="auto"/>
              <w:right w:val="single" w:sz="4" w:space="0" w:color="000000"/>
              <w:tl2br w:val="nil"/>
              <w:tr2bl w:val="nil"/>
            </w:tcBorders>
            <w:noWrap/>
            <w:textDirection w:val="lrTb"/>
            <w:vAlign w:val="bottom"/>
          </w:tcPr>
          <w:p w:rsidR="00B534F8" w:rsidRPr="00D66D2B" w:rsidP="00B534F8">
            <w:pPr>
              <w:rPr>
                <w:rFonts w:ascii="Times New Roman" w:hAnsi="Times New Roman" w:cs="Times New Roman"/>
                <w:b/>
                <w:bCs/>
                <w:sz w:val="20"/>
                <w:szCs w:val="20"/>
              </w:rPr>
            </w:pPr>
            <w:r w:rsidRPr="00D66D2B">
              <w:rPr>
                <w:rFonts w:ascii="Times New Roman" w:hAnsi="Times New Roman" w:cs="Times New Roman"/>
                <w:b/>
                <w:bCs/>
                <w:sz w:val="20"/>
                <w:szCs w:val="20"/>
              </w:rPr>
              <w:t>Ostatné pohľadávky spolu</w:t>
            </w:r>
          </w:p>
        </w:tc>
        <w:tc>
          <w:tcPr>
            <w:tcW w:w="1440" w:type="dxa"/>
            <w:tcBorders>
              <w:top w:val="single" w:sz="4" w:space="0" w:color="000000"/>
              <w:left w:val="single" w:sz="4" w:space="0" w:color="000000"/>
              <w:bottom w:val="double" w:sz="6" w:space="0" w:color="auto"/>
              <w:right w:val="single" w:sz="4" w:space="0" w:color="000000"/>
              <w:tl2br w:val="nil"/>
              <w:tr2bl w:val="nil"/>
            </w:tcBorders>
            <w:noWrap/>
            <w:textDirection w:val="lrTb"/>
            <w:vAlign w:val="bottom"/>
          </w:tcPr>
          <w:p w:rsidR="00B534F8" w:rsidRPr="00D66D2B" w:rsidP="00B534F8">
            <w:pPr>
              <w:jc w:val="right"/>
              <w:rPr>
                <w:rFonts w:ascii="Times New Roman" w:hAnsi="Times New Roman" w:cs="Times New Roman"/>
                <w:b/>
                <w:bCs/>
                <w:sz w:val="20"/>
                <w:szCs w:val="20"/>
              </w:rPr>
            </w:pPr>
            <w:r w:rsidRPr="00D66D2B">
              <w:rPr>
                <w:rFonts w:ascii="Times New Roman" w:hAnsi="Times New Roman" w:cs="Times New Roman"/>
                <w:b/>
                <w:bCs/>
                <w:sz w:val="20"/>
                <w:szCs w:val="20"/>
              </w:rPr>
              <w:t>4 383,7</w:t>
            </w:r>
          </w:p>
        </w:tc>
        <w:tc>
          <w:tcPr>
            <w:tcW w:w="1308" w:type="dxa"/>
            <w:tcBorders>
              <w:top w:val="single" w:sz="4" w:space="0" w:color="000000"/>
              <w:left w:val="single" w:sz="4" w:space="0" w:color="000000"/>
              <w:bottom w:val="double" w:sz="6" w:space="0" w:color="auto"/>
              <w:right w:val="single" w:sz="4" w:space="0" w:color="000000"/>
              <w:tl2br w:val="nil"/>
              <w:tr2bl w:val="nil"/>
            </w:tcBorders>
            <w:noWrap/>
            <w:textDirection w:val="lrTb"/>
            <w:vAlign w:val="bottom"/>
          </w:tcPr>
          <w:p w:rsidR="00B534F8" w:rsidRPr="00D66D2B" w:rsidP="00B534F8">
            <w:pPr>
              <w:jc w:val="right"/>
              <w:rPr>
                <w:rFonts w:ascii="Times New Roman" w:hAnsi="Times New Roman" w:cs="Times New Roman"/>
                <w:b/>
                <w:bCs/>
                <w:sz w:val="20"/>
                <w:szCs w:val="20"/>
              </w:rPr>
            </w:pPr>
            <w:r w:rsidRPr="00D66D2B">
              <w:rPr>
                <w:rFonts w:ascii="Times New Roman" w:hAnsi="Times New Roman" w:cs="Times New Roman"/>
                <w:b/>
                <w:bCs/>
                <w:sz w:val="20"/>
                <w:szCs w:val="20"/>
              </w:rPr>
              <w:t>43 229,4</w:t>
            </w:r>
          </w:p>
        </w:tc>
        <w:tc>
          <w:tcPr>
            <w:tcW w:w="1032" w:type="dxa"/>
            <w:tcBorders>
              <w:top w:val="single" w:sz="4" w:space="0" w:color="000000"/>
              <w:left w:val="single" w:sz="4" w:space="0" w:color="000000"/>
              <w:bottom w:val="double" w:sz="6" w:space="0" w:color="auto"/>
              <w:right w:val="single" w:sz="8" w:space="0" w:color="000000"/>
              <w:tl2br w:val="nil"/>
              <w:tr2bl w:val="nil"/>
            </w:tcBorders>
            <w:noWrap/>
            <w:textDirection w:val="lrTb"/>
            <w:vAlign w:val="bottom"/>
          </w:tcPr>
          <w:p w:rsidR="00B534F8" w:rsidRPr="00D66D2B" w:rsidP="00B534F8">
            <w:pPr>
              <w:jc w:val="right"/>
              <w:rPr>
                <w:rFonts w:ascii="Times New Roman" w:hAnsi="Times New Roman" w:cs="Times New Roman"/>
                <w:b/>
                <w:bCs/>
                <w:sz w:val="20"/>
                <w:szCs w:val="20"/>
              </w:rPr>
            </w:pPr>
            <w:r w:rsidRPr="00D66D2B">
              <w:rPr>
                <w:rFonts w:ascii="Times New Roman" w:hAnsi="Times New Roman" w:cs="Times New Roman"/>
                <w:b/>
                <w:bCs/>
                <w:sz w:val="20"/>
                <w:szCs w:val="20"/>
              </w:rPr>
              <w:t>38 845,7</w:t>
            </w:r>
          </w:p>
        </w:tc>
      </w:tr>
    </w:tbl>
    <w:p w:rsidR="00B534F8" w:rsidRPr="00D66D2B" w:rsidP="00B534F8">
      <w:pPr>
        <w:pStyle w:val="Zkladntext"/>
        <w:spacing w:line="360" w:lineRule="atLeast"/>
        <w:rPr>
          <w:rFonts w:ascii="Times New Roman" w:hAnsi="Times New Roman" w:cs="Times New Roman"/>
          <w:szCs w:val="20"/>
        </w:rPr>
      </w:pPr>
      <w:r w:rsidRPr="00D66D2B">
        <w:rPr>
          <w:rFonts w:ascii="Times New Roman" w:hAnsi="Times New Roman" w:cs="Times New Roman"/>
          <w:szCs w:val="20"/>
        </w:rPr>
        <w:t>Zdroj: Ministerstvo financií SR</w:t>
      </w:r>
    </w:p>
    <w:p w:rsidR="00B534F8" w:rsidRPr="007B4BBD" w:rsidP="00B534F8">
      <w:pPr>
        <w:spacing w:line="360" w:lineRule="auto"/>
        <w:rPr>
          <w:rFonts w:ascii="Arial Narrow" w:hAnsi="Arial Narrow" w:cs="Times New Roman"/>
          <w:b/>
          <w:sz w:val="22"/>
          <w:szCs w:val="22"/>
        </w:rPr>
      </w:pPr>
    </w:p>
    <w:p w:rsidR="00B534F8" w:rsidP="00C6741A">
      <w:pPr>
        <w:spacing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Stav pohľadávok z rozpočtových príjmov nedaňových sa zvýšil o 11,6 mil. Sk v súvislosti s predpísaním pohľadávky štátu voči Ministerstvu výstavby a regionálneho rozvoja SR a Ministerstvu kultúry SR.</w:t>
      </w:r>
    </w:p>
    <w:p w:rsidR="00B534F8" w:rsidP="00C6741A">
      <w:pPr>
        <w:spacing w:line="360" w:lineRule="auto"/>
        <w:jc w:val="both"/>
        <w:rPr>
          <w:rFonts w:ascii="Times New Roman" w:hAnsi="Times New Roman" w:cs="Times New Roman"/>
        </w:rPr>
      </w:pPr>
      <w:r>
        <w:rPr>
          <w:rFonts w:ascii="Times New Roman" w:hAnsi="Times New Roman" w:cs="Times New Roman"/>
        </w:rPr>
        <w:tab/>
        <w:t>Pohľadávky z rozpočtových príjmov nedaňových  (pokuty) sa   v roku 2006   zvýšili o   3,3 mil. Sk z dôvodu predpisu týchto sankčných platieb.</w:t>
      </w:r>
    </w:p>
    <w:p w:rsidR="00B534F8" w:rsidRPr="0016092F" w:rsidP="00B534F8">
      <w:pPr>
        <w:spacing w:line="360" w:lineRule="auto"/>
        <w:jc w:val="both"/>
        <w:rPr>
          <w:rFonts w:ascii="Times New Roman" w:hAnsi="Times New Roman" w:cs="Times New Roman"/>
        </w:rPr>
      </w:pPr>
      <w:r w:rsidRPr="00C04B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092F">
        <w:rPr>
          <w:rFonts w:ascii="Times New Roman" w:hAnsi="Times New Roman" w:cs="Times New Roman"/>
        </w:rPr>
        <w:t xml:space="preserve">Stav pohľadávok  voči peňažným ústavom sa </w:t>
      </w:r>
      <w:r>
        <w:rPr>
          <w:rFonts w:ascii="Times New Roman" w:hAnsi="Times New Roman" w:cs="Times New Roman"/>
        </w:rPr>
        <w:t xml:space="preserve"> medziročne </w:t>
      </w:r>
      <w:r w:rsidRPr="0016092F">
        <w:rPr>
          <w:rFonts w:ascii="Times New Roman" w:hAnsi="Times New Roman" w:cs="Times New Roman"/>
        </w:rPr>
        <w:t>zvýšil o 38 709 mil. Sk</w:t>
      </w:r>
      <w:r>
        <w:rPr>
          <w:rFonts w:ascii="Times New Roman" w:hAnsi="Times New Roman" w:cs="Times New Roman"/>
        </w:rPr>
        <w:t>, z toho vo forme istín 38 590,0 mil. Sk a vo forme úrokov 119,0 mil. Sk. Tieto pohľadávky vznikli z peňažných prostriedkov získaných z pôžičiek Agentúry pre riadenie dlhu a likvidity, ktorá ich v rámci obchodných činností požičala, resp. deponovala v tuzemských  a zahraničných bankách ako v domácej, tak aj v cudzej mene.</w:t>
      </w:r>
      <w:r w:rsidRPr="0016092F">
        <w:rPr>
          <w:rFonts w:ascii="Times New Roman" w:hAnsi="Times New Roman" w:cs="Times New Roman"/>
        </w:rPr>
        <w:t xml:space="preserve"> </w:t>
      </w:r>
    </w:p>
    <w:p w:rsidR="00B534F8" w:rsidRPr="0016092F" w:rsidP="00B534F8">
      <w:pPr>
        <w:spacing w:line="360" w:lineRule="auto"/>
        <w:jc w:val="both"/>
        <w:rPr>
          <w:rFonts w:ascii="Times New Roman" w:hAnsi="Times New Roman" w:cs="Times New Roman"/>
        </w:rPr>
      </w:pPr>
    </w:p>
    <w:p w:rsidR="00B534F8" w:rsidP="00B534F8">
      <w:pPr>
        <w:spacing w:line="360" w:lineRule="auto"/>
        <w:jc w:val="both"/>
        <w:rPr>
          <w:rFonts w:ascii="Times New Roman" w:hAnsi="Times New Roman" w:cs="Times New Roman"/>
        </w:rPr>
      </w:pPr>
      <w:r w:rsidRPr="0016092F">
        <w:rPr>
          <w:rFonts w:ascii="Times New Roman" w:hAnsi="Times New Roman" w:cs="Times New Roman"/>
        </w:rPr>
        <w:t xml:space="preserve">    </w:t>
      </w:r>
      <w:r>
        <w:rPr>
          <w:rFonts w:ascii="Times New Roman" w:hAnsi="Times New Roman" w:cs="Times New Roman"/>
        </w:rPr>
        <w:t xml:space="preserve">    V priebehu roka vznikla nová </w:t>
      </w:r>
      <w:r w:rsidRPr="0016092F">
        <w:rPr>
          <w:rFonts w:ascii="Times New Roman" w:hAnsi="Times New Roman" w:cs="Times New Roman"/>
        </w:rPr>
        <w:t xml:space="preserve"> pohľadávk</w:t>
      </w:r>
      <w:r>
        <w:rPr>
          <w:rFonts w:ascii="Times New Roman" w:hAnsi="Times New Roman" w:cs="Times New Roman"/>
        </w:rPr>
        <w:t>a</w:t>
      </w:r>
      <w:r w:rsidRPr="007A4B6F">
        <w:rPr>
          <w:rFonts w:ascii="Times New Roman" w:hAnsi="Times New Roman" w:cs="Times New Roman"/>
        </w:rPr>
        <w:t xml:space="preserve"> </w:t>
      </w:r>
      <w:r>
        <w:rPr>
          <w:rFonts w:ascii="Times New Roman" w:hAnsi="Times New Roman" w:cs="Times New Roman"/>
        </w:rPr>
        <w:t xml:space="preserve">voči </w:t>
      </w:r>
      <w:r w:rsidRPr="0016092F">
        <w:rPr>
          <w:rFonts w:ascii="Times New Roman" w:hAnsi="Times New Roman" w:cs="Times New Roman"/>
        </w:rPr>
        <w:t>Národnej diaľničnej spoločnosti, a.s</w:t>
      </w:r>
      <w:r>
        <w:rPr>
          <w:rFonts w:ascii="Times New Roman" w:hAnsi="Times New Roman" w:cs="Times New Roman"/>
        </w:rPr>
        <w:t xml:space="preserve">  vo výške 121,8 mil. Sk </w:t>
      </w:r>
      <w:r w:rsidRPr="0016092F">
        <w:rPr>
          <w:rFonts w:ascii="Times New Roman" w:hAnsi="Times New Roman" w:cs="Times New Roman"/>
        </w:rPr>
        <w:t xml:space="preserve"> </w:t>
      </w:r>
      <w:r>
        <w:rPr>
          <w:rFonts w:ascii="Times New Roman" w:hAnsi="Times New Roman" w:cs="Times New Roman"/>
        </w:rPr>
        <w:t xml:space="preserve">z dôvodu </w:t>
      </w:r>
      <w:r w:rsidRPr="0016092F">
        <w:rPr>
          <w:rFonts w:ascii="Times New Roman" w:hAnsi="Times New Roman" w:cs="Times New Roman"/>
        </w:rPr>
        <w:t xml:space="preserve"> oneskoreného prevodu finančných prostriedkov od Národnej diaľničnej spoločnosti, a.s. na účet MF SR</w:t>
      </w:r>
      <w:r>
        <w:rPr>
          <w:rFonts w:ascii="Times New Roman" w:hAnsi="Times New Roman" w:cs="Times New Roman"/>
        </w:rPr>
        <w:t>.</w:t>
      </w:r>
      <w:r w:rsidRPr="0016092F">
        <w:rPr>
          <w:rFonts w:ascii="Times New Roman" w:hAnsi="Times New Roman" w:cs="Times New Roman"/>
        </w:rPr>
        <w:t xml:space="preserve"> </w:t>
      </w:r>
      <w:r>
        <w:rPr>
          <w:rFonts w:ascii="Times New Roman" w:hAnsi="Times New Roman" w:cs="Times New Roman"/>
        </w:rPr>
        <w:t xml:space="preserve">Táto pohľadávka bola </w:t>
      </w:r>
      <w:r w:rsidRPr="0016092F">
        <w:rPr>
          <w:rFonts w:ascii="Times New Roman" w:hAnsi="Times New Roman" w:cs="Times New Roman"/>
        </w:rPr>
        <w:t>Národn</w:t>
      </w:r>
      <w:r>
        <w:rPr>
          <w:rFonts w:ascii="Times New Roman" w:hAnsi="Times New Roman" w:cs="Times New Roman"/>
        </w:rPr>
        <w:t xml:space="preserve">ou </w:t>
      </w:r>
      <w:r w:rsidRPr="0016092F">
        <w:rPr>
          <w:rFonts w:ascii="Times New Roman" w:hAnsi="Times New Roman" w:cs="Times New Roman"/>
        </w:rPr>
        <w:t xml:space="preserve"> diaľničn</w:t>
      </w:r>
      <w:r>
        <w:rPr>
          <w:rFonts w:ascii="Times New Roman" w:hAnsi="Times New Roman" w:cs="Times New Roman"/>
        </w:rPr>
        <w:t>ou spoločnosťou</w:t>
      </w:r>
      <w:r w:rsidRPr="0016092F">
        <w:rPr>
          <w:rFonts w:ascii="Times New Roman" w:hAnsi="Times New Roman" w:cs="Times New Roman"/>
        </w:rPr>
        <w:t xml:space="preserve">, a.s.  </w:t>
      </w:r>
      <w:r>
        <w:rPr>
          <w:rFonts w:ascii="Times New Roman" w:hAnsi="Times New Roman" w:cs="Times New Roman"/>
        </w:rPr>
        <w:t xml:space="preserve">vysporiadaná </w:t>
      </w:r>
      <w:r w:rsidRPr="0016092F">
        <w:rPr>
          <w:rFonts w:ascii="Times New Roman" w:hAnsi="Times New Roman" w:cs="Times New Roman"/>
        </w:rPr>
        <w:t>prijat</w:t>
      </w:r>
      <w:r>
        <w:rPr>
          <w:rFonts w:ascii="Times New Roman" w:hAnsi="Times New Roman" w:cs="Times New Roman"/>
        </w:rPr>
        <w:t xml:space="preserve">ím peňažných prostriedkov </w:t>
      </w:r>
      <w:r w:rsidRPr="0016092F">
        <w:rPr>
          <w:rFonts w:ascii="Times New Roman" w:hAnsi="Times New Roman" w:cs="Times New Roman"/>
        </w:rPr>
        <w:t xml:space="preserve"> na účet MF SR v januári 2007.</w:t>
      </w:r>
    </w:p>
    <w:p w:rsidR="00C6741A" w:rsidP="00B534F8">
      <w:pPr>
        <w:spacing w:line="360" w:lineRule="auto"/>
        <w:jc w:val="both"/>
        <w:rPr>
          <w:rFonts w:ascii="Times New Roman" w:hAnsi="Times New Roman" w:cs="Times New Roman"/>
        </w:rPr>
      </w:pPr>
    </w:p>
    <w:p w:rsidR="00C6741A" w:rsidRPr="00280AFE" w:rsidP="00B534F8">
      <w:pPr>
        <w:spacing w:line="360" w:lineRule="auto"/>
        <w:jc w:val="both"/>
        <w:rPr>
          <w:rFonts w:ascii="Arial Narrow" w:hAnsi="Arial Narrow" w:cs="Times New Roman"/>
        </w:rPr>
      </w:pPr>
    </w:p>
    <w:p w:rsidR="00B534F8" w:rsidRPr="00B11093" w:rsidP="00B534F8">
      <w:pPr>
        <w:spacing w:line="360" w:lineRule="auto"/>
        <w:jc w:val="center"/>
        <w:rPr>
          <w:rFonts w:ascii="Times New Roman" w:hAnsi="Times New Roman" w:cs="Times New Roman"/>
          <w:b/>
        </w:rPr>
      </w:pPr>
      <w:r w:rsidR="00766559">
        <w:rPr>
          <w:rFonts w:ascii="Times New Roman" w:hAnsi="Times New Roman" w:cs="Times New Roman"/>
          <w:b/>
        </w:rPr>
        <w:t>4</w:t>
      </w:r>
      <w:r w:rsidRPr="00B11093">
        <w:rPr>
          <w:rFonts w:ascii="Times New Roman" w:hAnsi="Times New Roman" w:cs="Times New Roman"/>
          <w:b/>
        </w:rPr>
        <w:t>.3.2. Vývoj štátnych finančných pasív</w:t>
      </w:r>
    </w:p>
    <w:p w:rsidR="00B534F8" w:rsidP="00B534F8">
      <w:pPr>
        <w:spacing w:before="120" w:after="120" w:line="360" w:lineRule="auto"/>
        <w:ind w:firstLine="708"/>
        <w:jc w:val="both"/>
        <w:rPr>
          <w:rFonts w:ascii="Times New Roman" w:hAnsi="Times New Roman" w:cs="Times New Roman"/>
        </w:rPr>
      </w:pPr>
      <w:r w:rsidRPr="00B11093">
        <w:rPr>
          <w:rFonts w:ascii="Times New Roman" w:hAnsi="Times New Roman" w:cs="Times New Roman"/>
        </w:rPr>
        <w:t>Záväzky štátnych finančných pasív tvoria štátny dlh Slovenskej republiky, ktorý z hľadiska jeho štruktúry možno rozčleniť na vnútorný a zahraničný dlh</w:t>
      </w:r>
      <w:r w:rsidR="00C6741A">
        <w:rPr>
          <w:rFonts w:ascii="Times New Roman" w:hAnsi="Times New Roman" w:cs="Times New Roman"/>
        </w:rPr>
        <w:t xml:space="preserve"> (v mil. Sk):</w:t>
      </w:r>
    </w:p>
    <w:p w:rsidR="00B534F8" w:rsidRPr="00EC7681" w:rsidP="00B534F8">
      <w:pPr>
        <w:spacing w:before="120" w:after="120" w:line="360" w:lineRule="auto"/>
        <w:jc w:val="both"/>
        <w:rPr>
          <w:rFonts w:ascii="Times New Roman" w:hAnsi="Times New Roman" w:cs="Times New Roman"/>
          <w:sz w:val="20"/>
          <w:szCs w:val="20"/>
        </w:rPr>
      </w:pPr>
      <w:r w:rsidRPr="00EC7681">
        <w:rPr>
          <w:rFonts w:ascii="Times New Roman" w:hAnsi="Times New Roman" w:cs="Times New Roman"/>
          <w:sz w:val="20"/>
          <w:szCs w:val="20"/>
        </w:rPr>
        <w:t>Zdroj: Ministerstvo financií SR</w:t>
      </w:r>
    </w:p>
    <w:tbl>
      <w:tblPr>
        <w:tblpPr w:leftFromText="141" w:rightFromText="141" w:vertAnchor="text" w:horzAnchor="margin" w:tblpY="-32"/>
        <w:tblW w:w="9070" w:type="dxa"/>
        <w:tblCellMar>
          <w:left w:w="70" w:type="dxa"/>
          <w:right w:w="70" w:type="dxa"/>
        </w:tblCellMar>
      </w:tblPr>
      <w:tblGrid>
        <w:gridCol w:w="1596"/>
        <w:gridCol w:w="994"/>
        <w:gridCol w:w="1080"/>
        <w:gridCol w:w="1080"/>
        <w:gridCol w:w="1080"/>
        <w:gridCol w:w="1080"/>
        <w:gridCol w:w="1080"/>
        <w:gridCol w:w="1080"/>
      </w:tblGrid>
      <w:tr>
        <w:tblPrEx>
          <w:tblW w:w="9070" w:type="dxa"/>
          <w:tblCellMar>
            <w:left w:w="70" w:type="dxa"/>
            <w:right w:w="70" w:type="dxa"/>
          </w:tblCellMar>
        </w:tblPrEx>
        <w:trPr>
          <w:trHeight w:val="337"/>
        </w:trPr>
        <w:tc>
          <w:tcPr>
            <w:tcW w:w="1596"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Položka</w:t>
            </w:r>
          </w:p>
        </w:tc>
        <w:tc>
          <w:tcPr>
            <w:tcW w:w="994"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2000</w:t>
            </w:r>
          </w:p>
        </w:tc>
        <w:tc>
          <w:tcPr>
            <w:tcW w:w="1080"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2001</w:t>
            </w:r>
          </w:p>
        </w:tc>
        <w:tc>
          <w:tcPr>
            <w:tcW w:w="1080"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2002</w:t>
            </w:r>
          </w:p>
        </w:tc>
        <w:tc>
          <w:tcPr>
            <w:tcW w:w="1080" w:type="dxa"/>
            <w:tcBorders>
              <w:top w:val="single" w:sz="8" w:space="0" w:color="auto"/>
              <w:left w:val="single" w:sz="4" w:space="0" w:color="auto"/>
              <w:bottom w:val="single" w:sz="4" w:space="0" w:color="auto"/>
              <w:right w:val="single" w:sz="4" w:space="0" w:color="auto"/>
              <w:tl2br w:val="nil"/>
              <w:tr2bl w:val="nil"/>
            </w:tcBorders>
            <w:noWrap/>
            <w:textDirection w:val="lrTb"/>
            <w:vAlign w:val="center"/>
          </w:tcPr>
          <w:p w:rsidR="00B534F8" w:rsidRPr="00D66D2B" w:rsidP="00B534F8">
            <w:pPr>
              <w:jc w:val="center"/>
              <w:rPr>
                <w:rFonts w:ascii="Times New Roman" w:hAnsi="Times New Roman" w:cs="Times New Roman"/>
                <w:b/>
                <w:bCs/>
                <w:sz w:val="20"/>
                <w:szCs w:val="20"/>
              </w:rPr>
            </w:pPr>
            <w:r w:rsidRPr="00D66D2B">
              <w:rPr>
                <w:rFonts w:ascii="Times New Roman" w:hAnsi="Times New Roman" w:cs="Times New Roman"/>
                <w:b/>
                <w:bCs/>
                <w:sz w:val="20"/>
                <w:szCs w:val="20"/>
              </w:rPr>
              <w:t>2003</w:t>
            </w:r>
          </w:p>
        </w:tc>
        <w:tc>
          <w:tcPr>
            <w:tcW w:w="1080"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2004</w:t>
            </w:r>
          </w:p>
        </w:tc>
        <w:tc>
          <w:tcPr>
            <w:tcW w:w="1080"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2005</w:t>
            </w:r>
          </w:p>
        </w:tc>
        <w:tc>
          <w:tcPr>
            <w:tcW w:w="1080" w:type="dxa"/>
            <w:tcBorders>
              <w:top w:val="single" w:sz="8" w:space="0" w:color="auto"/>
              <w:left w:val="single" w:sz="4" w:space="0" w:color="auto"/>
              <w:bottom w:val="single" w:sz="4" w:space="0" w:color="auto"/>
              <w:right w:val="single" w:sz="8" w:space="0" w:color="auto"/>
              <w:tl2br w:val="nil"/>
              <w:tr2bl w:val="nil"/>
            </w:tcBorders>
            <w:textDirection w:val="lrTb"/>
            <w:vAlign w:val="top"/>
          </w:tcPr>
          <w:p w:rsidR="00B534F8" w:rsidRPr="00D66D2B" w:rsidP="00B534F8">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2006</w:t>
            </w:r>
          </w:p>
        </w:tc>
      </w:tr>
      <w:tr>
        <w:tblPrEx>
          <w:tblW w:w="9070" w:type="dxa"/>
          <w:tblCellMar>
            <w:left w:w="70" w:type="dxa"/>
            <w:right w:w="70" w:type="dxa"/>
          </w:tblCellMar>
        </w:tblPrEx>
        <w:trPr>
          <w:trHeight w:val="281"/>
        </w:trPr>
        <w:tc>
          <w:tcPr>
            <w:tcW w:w="1596"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Vnútorný dlh</w:t>
            </w:r>
          </w:p>
        </w:tc>
        <w:tc>
          <w:tcPr>
            <w:tcW w:w="99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114 604,0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272 689,0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277 620,0</w:t>
            </w:r>
          </w:p>
        </w:tc>
        <w:tc>
          <w:tcPr>
            <w:tcW w:w="10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335 242,0</w:t>
            </w:r>
          </w:p>
        </w:tc>
        <w:tc>
          <w:tcPr>
            <w:tcW w:w="10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395 617,5</w:t>
            </w:r>
          </w:p>
        </w:tc>
        <w:tc>
          <w:tcPr>
            <w:tcW w:w="10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459 567,1</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515 874,8</w:t>
            </w:r>
          </w:p>
        </w:tc>
      </w:tr>
      <w:tr>
        <w:tblPrEx>
          <w:tblW w:w="9070" w:type="dxa"/>
          <w:tblCellMar>
            <w:left w:w="70" w:type="dxa"/>
            <w:right w:w="70" w:type="dxa"/>
          </w:tblCellMar>
        </w:tblPrEx>
        <w:trPr>
          <w:trHeight w:val="281"/>
        </w:trPr>
        <w:tc>
          <w:tcPr>
            <w:tcW w:w="1596"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Zahraničný dlh</w:t>
            </w:r>
          </w:p>
        </w:tc>
        <w:tc>
          <w:tcPr>
            <w:tcW w:w="99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109 642,0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94 849,0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110 815,0</w:t>
            </w:r>
          </w:p>
        </w:tc>
        <w:tc>
          <w:tcPr>
            <w:tcW w:w="10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105 972,0</w:t>
            </w:r>
          </w:p>
        </w:tc>
        <w:tc>
          <w:tcPr>
            <w:tcW w:w="10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128 052,2</w:t>
            </w:r>
          </w:p>
        </w:tc>
        <w:tc>
          <w:tcPr>
            <w:tcW w:w="10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93 741,7</w:t>
            </w:r>
          </w:p>
        </w:tc>
        <w:tc>
          <w:tcPr>
            <w:tcW w:w="1080"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114 968,8</w:t>
            </w:r>
          </w:p>
        </w:tc>
      </w:tr>
      <w:tr>
        <w:tblPrEx>
          <w:tblW w:w="9070" w:type="dxa"/>
          <w:tblCellMar>
            <w:left w:w="70" w:type="dxa"/>
            <w:right w:w="70" w:type="dxa"/>
          </w:tblCellMar>
        </w:tblPrEx>
        <w:trPr>
          <w:trHeight w:val="281"/>
        </w:trPr>
        <w:tc>
          <w:tcPr>
            <w:tcW w:w="1596" w:type="dxa"/>
            <w:tcBorders>
              <w:top w:val="single" w:sz="4" w:space="0" w:color="auto"/>
              <w:left w:val="single" w:sz="8" w:space="0" w:color="auto"/>
              <w:bottom w:val="double" w:sz="6"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SPOLU:</w:t>
            </w:r>
          </w:p>
        </w:tc>
        <w:tc>
          <w:tcPr>
            <w:tcW w:w="994"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224 246,0</w:t>
            </w:r>
          </w:p>
        </w:tc>
        <w:tc>
          <w:tcPr>
            <w:tcW w:w="1080"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367 538,0</w:t>
            </w:r>
          </w:p>
        </w:tc>
        <w:tc>
          <w:tcPr>
            <w:tcW w:w="1080"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388 435,0</w:t>
            </w:r>
          </w:p>
        </w:tc>
        <w:tc>
          <w:tcPr>
            <w:tcW w:w="1080" w:type="dxa"/>
            <w:tcBorders>
              <w:top w:val="single" w:sz="4" w:space="0" w:color="auto"/>
              <w:left w:val="single" w:sz="4" w:space="0" w:color="auto"/>
              <w:bottom w:val="double" w:sz="6" w:space="0" w:color="auto"/>
              <w:right w:val="single" w:sz="4" w:space="0" w:color="auto"/>
              <w:tl2br w:val="nil"/>
              <w:tr2bl w:val="nil"/>
            </w:tcBorders>
            <w:noWrap/>
            <w:textDirection w:val="lrTb"/>
            <w:vAlign w:val="center"/>
          </w:tcPr>
          <w:p w:rsidR="00B534F8" w:rsidRPr="00D66D2B" w:rsidP="00B534F8">
            <w:pPr>
              <w:jc w:val="right"/>
              <w:rPr>
                <w:rFonts w:ascii="Times New Roman" w:hAnsi="Times New Roman" w:cs="Times New Roman"/>
                <w:b/>
                <w:bCs/>
                <w:sz w:val="20"/>
                <w:szCs w:val="20"/>
              </w:rPr>
            </w:pPr>
            <w:r w:rsidRPr="00D66D2B">
              <w:rPr>
                <w:rFonts w:ascii="Times New Roman" w:hAnsi="Times New Roman" w:cs="Times New Roman"/>
                <w:b/>
                <w:bCs/>
                <w:sz w:val="20"/>
                <w:szCs w:val="20"/>
              </w:rPr>
              <w:t>441 214,0</w:t>
            </w:r>
          </w:p>
        </w:tc>
        <w:tc>
          <w:tcPr>
            <w:tcW w:w="1080" w:type="dxa"/>
            <w:tcBorders>
              <w:top w:val="single" w:sz="4" w:space="0" w:color="auto"/>
              <w:left w:val="single" w:sz="4" w:space="0" w:color="auto"/>
              <w:bottom w:val="double" w:sz="6" w:space="0" w:color="auto"/>
              <w:right w:val="single" w:sz="4" w:space="0" w:color="auto"/>
              <w:tl2br w:val="nil"/>
              <w:tr2bl w:val="nil"/>
            </w:tcBorders>
            <w:noWrap/>
            <w:textDirection w:val="lrTb"/>
            <w:vAlign w:val="center"/>
          </w:tcPr>
          <w:p w:rsidR="00B534F8" w:rsidRPr="00D66D2B" w:rsidP="00B534F8">
            <w:pPr>
              <w:jc w:val="right"/>
              <w:rPr>
                <w:rFonts w:ascii="Times New Roman" w:hAnsi="Times New Roman" w:cs="Times New Roman"/>
                <w:b/>
                <w:bCs/>
                <w:sz w:val="20"/>
                <w:szCs w:val="20"/>
              </w:rPr>
            </w:pPr>
            <w:r w:rsidRPr="00D66D2B">
              <w:rPr>
                <w:rFonts w:ascii="Times New Roman" w:hAnsi="Times New Roman" w:cs="Times New Roman"/>
                <w:b/>
                <w:bCs/>
                <w:sz w:val="20"/>
                <w:szCs w:val="20"/>
              </w:rPr>
              <w:t>523 669,7</w:t>
            </w:r>
          </w:p>
        </w:tc>
        <w:tc>
          <w:tcPr>
            <w:tcW w:w="1080" w:type="dxa"/>
            <w:tcBorders>
              <w:top w:val="single" w:sz="4" w:space="0" w:color="auto"/>
              <w:left w:val="single" w:sz="4" w:space="0" w:color="auto"/>
              <w:bottom w:val="double" w:sz="6" w:space="0" w:color="auto"/>
              <w:right w:val="single" w:sz="4" w:space="0" w:color="auto"/>
              <w:tl2br w:val="nil"/>
              <w:tr2bl w:val="nil"/>
            </w:tcBorders>
            <w:noWrap/>
            <w:textDirection w:val="lrTb"/>
            <w:vAlign w:val="center"/>
          </w:tcPr>
          <w:p w:rsidR="00B534F8" w:rsidRPr="00D66D2B" w:rsidP="00B534F8">
            <w:pPr>
              <w:jc w:val="right"/>
              <w:rPr>
                <w:rFonts w:ascii="Times New Roman" w:hAnsi="Times New Roman" w:cs="Times New Roman"/>
                <w:b/>
                <w:bCs/>
                <w:sz w:val="20"/>
                <w:szCs w:val="20"/>
              </w:rPr>
            </w:pPr>
            <w:r w:rsidRPr="00D66D2B">
              <w:rPr>
                <w:rFonts w:ascii="Times New Roman" w:hAnsi="Times New Roman" w:cs="Times New Roman"/>
                <w:b/>
                <w:bCs/>
                <w:sz w:val="20"/>
                <w:szCs w:val="20"/>
              </w:rPr>
              <w:t>553 308,8</w:t>
            </w:r>
          </w:p>
        </w:tc>
        <w:tc>
          <w:tcPr>
            <w:tcW w:w="1080" w:type="dxa"/>
            <w:tcBorders>
              <w:top w:val="single" w:sz="4" w:space="0" w:color="auto"/>
              <w:left w:val="single" w:sz="4" w:space="0" w:color="auto"/>
              <w:bottom w:val="double" w:sz="6"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b/>
                <w:bCs/>
                <w:sz w:val="20"/>
                <w:szCs w:val="20"/>
              </w:rPr>
            </w:pPr>
            <w:r w:rsidRPr="00D66D2B">
              <w:rPr>
                <w:rFonts w:ascii="Times New Roman" w:hAnsi="Times New Roman" w:cs="Times New Roman"/>
                <w:b/>
                <w:bCs/>
                <w:sz w:val="20"/>
                <w:szCs w:val="20"/>
              </w:rPr>
              <w:t>630 843,6</w:t>
            </w:r>
          </w:p>
        </w:tc>
      </w:tr>
      <w:tr>
        <w:tblPrEx>
          <w:tblW w:w="9070" w:type="dxa"/>
          <w:tblCellMar>
            <w:left w:w="70" w:type="dxa"/>
            <w:right w:w="70" w:type="dxa"/>
          </w:tblCellMar>
        </w:tblPrEx>
        <w:trPr>
          <w:trHeight w:val="296"/>
        </w:trPr>
        <w:tc>
          <w:tcPr>
            <w:tcW w:w="1596" w:type="dxa"/>
            <w:tcBorders>
              <w:top w:val="double" w:sz="6" w:space="0" w:color="auto"/>
              <w:left w:val="single" w:sz="8" w:space="0" w:color="auto"/>
              <w:bottom w:val="single" w:sz="8"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Index rastu reťaz.</w:t>
            </w:r>
          </w:p>
        </w:tc>
        <w:tc>
          <w:tcPr>
            <w:tcW w:w="994" w:type="dxa"/>
            <w:tcBorders>
              <w:top w:val="double" w:sz="6" w:space="0" w:color="auto"/>
              <w:left w:val="single" w:sz="4" w:space="0" w:color="auto"/>
              <w:bottom w:val="single" w:sz="8"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116,6</w:t>
            </w:r>
          </w:p>
        </w:tc>
        <w:tc>
          <w:tcPr>
            <w:tcW w:w="1080" w:type="dxa"/>
            <w:tcBorders>
              <w:top w:val="double" w:sz="6" w:space="0" w:color="auto"/>
              <w:left w:val="single" w:sz="4" w:space="0" w:color="auto"/>
              <w:bottom w:val="single" w:sz="8"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163,9</w:t>
            </w:r>
          </w:p>
        </w:tc>
        <w:tc>
          <w:tcPr>
            <w:tcW w:w="1080" w:type="dxa"/>
            <w:tcBorders>
              <w:top w:val="double" w:sz="6" w:space="0" w:color="auto"/>
              <w:left w:val="single" w:sz="4" w:space="0" w:color="auto"/>
              <w:bottom w:val="single" w:sz="8"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105,7</w:t>
            </w:r>
          </w:p>
        </w:tc>
        <w:tc>
          <w:tcPr>
            <w:tcW w:w="1080" w:type="dxa"/>
            <w:tcBorders>
              <w:top w:val="double" w:sz="6" w:space="0" w:color="auto"/>
              <w:left w:val="single" w:sz="4" w:space="0" w:color="auto"/>
              <w:bottom w:val="single" w:sz="8" w:space="0" w:color="auto"/>
              <w:right w:val="single" w:sz="4" w:space="0" w:color="auto"/>
              <w:tl2br w:val="nil"/>
              <w:tr2bl w:val="nil"/>
            </w:tcBorders>
            <w:noWrap/>
            <w:textDirection w:val="lrTb"/>
            <w:vAlign w:val="center"/>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113,6</w:t>
            </w:r>
          </w:p>
        </w:tc>
        <w:tc>
          <w:tcPr>
            <w:tcW w:w="1080" w:type="dxa"/>
            <w:tcBorders>
              <w:top w:val="double" w:sz="6" w:space="0" w:color="auto"/>
              <w:left w:val="single" w:sz="4" w:space="0" w:color="auto"/>
              <w:bottom w:val="single" w:sz="8" w:space="0" w:color="auto"/>
              <w:right w:val="single" w:sz="4" w:space="0" w:color="auto"/>
              <w:tl2br w:val="nil"/>
              <w:tr2bl w:val="nil"/>
            </w:tcBorders>
            <w:noWrap/>
            <w:textDirection w:val="lrTb"/>
            <w:vAlign w:val="center"/>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118,7</w:t>
            </w:r>
          </w:p>
        </w:tc>
        <w:tc>
          <w:tcPr>
            <w:tcW w:w="1080" w:type="dxa"/>
            <w:tcBorders>
              <w:top w:val="double" w:sz="6" w:space="0" w:color="auto"/>
              <w:left w:val="single" w:sz="4" w:space="0" w:color="auto"/>
              <w:bottom w:val="single" w:sz="8" w:space="0" w:color="auto"/>
              <w:right w:val="single" w:sz="4" w:space="0" w:color="auto"/>
              <w:tl2br w:val="nil"/>
              <w:tr2bl w:val="nil"/>
            </w:tcBorders>
            <w:noWrap/>
            <w:textDirection w:val="lrTb"/>
            <w:vAlign w:val="center"/>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105,7</w:t>
            </w:r>
          </w:p>
        </w:tc>
        <w:tc>
          <w:tcPr>
            <w:tcW w:w="1080" w:type="dxa"/>
            <w:tcBorders>
              <w:top w:val="double" w:sz="6" w:space="0" w:color="auto"/>
              <w:left w:val="single" w:sz="4" w:space="0" w:color="auto"/>
              <w:bottom w:val="single" w:sz="8"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114,0</w:t>
            </w:r>
          </w:p>
        </w:tc>
      </w:tr>
    </w:tbl>
    <w:p w:rsidR="00B534F8" w:rsidRPr="004117C6" w:rsidP="00B534F8">
      <w:pPr>
        <w:spacing w:before="120" w:after="120" w:line="360" w:lineRule="auto"/>
        <w:jc w:val="both"/>
        <w:rPr>
          <w:rFonts w:ascii="Times New Roman" w:hAnsi="Times New Roman" w:cs="Times New Roman"/>
          <w:sz w:val="20"/>
          <w:szCs w:val="20"/>
        </w:rPr>
      </w:pPr>
    </w:p>
    <w:p w:rsidR="00B534F8" w:rsidP="00B534F8">
      <w:pPr>
        <w:spacing w:line="360" w:lineRule="auto"/>
        <w:jc w:val="both"/>
        <w:rPr>
          <w:rFonts w:ascii="Times New Roman" w:hAnsi="Times New Roman" w:cs="Times New Roman"/>
        </w:rPr>
      </w:pPr>
      <w:r>
        <w:rPr>
          <w:rFonts w:ascii="Times New Roman" w:hAnsi="Times New Roman" w:cs="Times New Roman"/>
          <w:b/>
        </w:rPr>
        <w:tab/>
      </w:r>
      <w:r w:rsidRPr="00322B9A">
        <w:rPr>
          <w:rFonts w:ascii="Times New Roman" w:hAnsi="Times New Roman" w:cs="Times New Roman"/>
        </w:rPr>
        <w:t>Celkový štátny</w:t>
      </w:r>
      <w:r>
        <w:rPr>
          <w:rFonts w:ascii="Times New Roman" w:hAnsi="Times New Roman" w:cs="Times New Roman"/>
        </w:rPr>
        <w:t xml:space="preserve"> dlh sa </w:t>
      </w:r>
      <w:r w:rsidR="00C6741A">
        <w:rPr>
          <w:rFonts w:ascii="Times New Roman" w:hAnsi="Times New Roman" w:cs="Times New Roman"/>
        </w:rPr>
        <w:t xml:space="preserve">v absolútnych hodnotách </w:t>
      </w:r>
      <w:r>
        <w:rPr>
          <w:rFonts w:ascii="Times New Roman" w:hAnsi="Times New Roman" w:cs="Times New Roman"/>
        </w:rPr>
        <w:t>zvýšil oproti roku 2005 o 77 534,8 mil. Sk, t.j. o 14,0 %. Z hľadiska jeho skladby vnútorný dlh medziročne vzrástol o 56 307,7 mil. Sk, t.j. o 12,3</w:t>
      </w:r>
      <w:r w:rsidR="00C6741A">
        <w:rPr>
          <w:rFonts w:ascii="Times New Roman" w:hAnsi="Times New Roman" w:cs="Times New Roman"/>
        </w:rPr>
        <w:t xml:space="preserve"> </w:t>
      </w:r>
      <w:r>
        <w:rPr>
          <w:rFonts w:ascii="Times New Roman" w:hAnsi="Times New Roman" w:cs="Times New Roman"/>
        </w:rPr>
        <w:t xml:space="preserve">% a zahraničný dlh o 21 227,1 mil. Sk, t.j. o 22,4%. </w:t>
      </w:r>
    </w:p>
    <w:p w:rsidR="00B534F8" w:rsidP="00B534F8">
      <w:pPr>
        <w:spacing w:line="360" w:lineRule="auto"/>
        <w:jc w:val="both"/>
        <w:rPr>
          <w:rFonts w:ascii="Times New Roman" w:hAnsi="Times New Roman" w:cs="Times New Roman"/>
        </w:rPr>
      </w:pPr>
      <w:r>
        <w:rPr>
          <w:rFonts w:ascii="Times New Roman" w:hAnsi="Times New Roman" w:cs="Times New Roman"/>
        </w:rPr>
        <w:tab/>
        <w:t>V roku 2006 pokračovala tendencia zadlžovania štátu a podiel štátneho dlhu na hrubom domácom produkte sa zvýšil, a to oproti roku 2005 z 37,6</w:t>
      </w:r>
      <w:r w:rsidR="00C6741A">
        <w:rPr>
          <w:rFonts w:ascii="Times New Roman" w:hAnsi="Times New Roman" w:cs="Times New Roman"/>
        </w:rPr>
        <w:t xml:space="preserve"> </w:t>
      </w:r>
      <w:r>
        <w:rPr>
          <w:rFonts w:ascii="Times New Roman" w:hAnsi="Times New Roman" w:cs="Times New Roman"/>
        </w:rPr>
        <w:t>% na 37,9</w:t>
      </w:r>
      <w:r w:rsidR="00C6741A">
        <w:rPr>
          <w:rFonts w:ascii="Times New Roman" w:hAnsi="Times New Roman" w:cs="Times New Roman"/>
        </w:rPr>
        <w:t xml:space="preserve"> </w:t>
      </w:r>
      <w:r>
        <w:rPr>
          <w:rFonts w:ascii="Times New Roman" w:hAnsi="Times New Roman" w:cs="Times New Roman"/>
        </w:rPr>
        <w:t>%.</w:t>
      </w:r>
    </w:p>
    <w:p w:rsidR="00B534F8" w:rsidRPr="00322B9A" w:rsidP="00B534F8">
      <w:pPr>
        <w:spacing w:line="360" w:lineRule="auto"/>
        <w:jc w:val="both"/>
        <w:rPr>
          <w:rFonts w:ascii="Times New Roman" w:hAnsi="Times New Roman" w:cs="Times New Roman"/>
        </w:rPr>
      </w:pPr>
      <w:r>
        <w:rPr>
          <w:rFonts w:ascii="Times New Roman" w:hAnsi="Times New Roman" w:cs="Times New Roman"/>
        </w:rPr>
        <w:tab/>
        <w:t>Hlavnou príčinou nárastu štátneho dlhu v roku 2006, okrem faktora dlhového prefinancovania celého vykázaného schodku štátneho rozpočtu (31 677,9 mil. Sk), bolo rozsiahle finančné investovanie peňažných prostriedkov získaných z emisií štátnych dlhopisov a prijatých pôžičiek od Štátnej pokladnice do nákupu krátkodobých finančných investícií a do depozít, resp. poskytnutia pôžičiek tuzemským a zahraničným bankám.</w:t>
      </w:r>
    </w:p>
    <w:p w:rsidR="00B534F8" w:rsidRPr="00C6741A" w:rsidP="00B534F8">
      <w:pPr>
        <w:spacing w:after="120" w:line="360" w:lineRule="auto"/>
        <w:jc w:val="center"/>
        <w:rPr>
          <w:rFonts w:ascii="Times New Roman" w:hAnsi="Times New Roman" w:cs="Times New Roman"/>
          <w:b/>
        </w:rPr>
      </w:pPr>
      <w:r w:rsidR="00766559">
        <w:rPr>
          <w:rFonts w:ascii="Times New Roman" w:hAnsi="Times New Roman" w:cs="Times New Roman"/>
          <w:b/>
        </w:rPr>
        <w:t>4</w:t>
      </w:r>
      <w:r w:rsidRPr="00C6741A">
        <w:rPr>
          <w:rFonts w:ascii="Times New Roman" w:hAnsi="Times New Roman" w:cs="Times New Roman"/>
          <w:b/>
        </w:rPr>
        <w:t>.3.2.1. Vnútorný dlh</w:t>
      </w:r>
    </w:p>
    <w:p w:rsidR="00B534F8" w:rsidP="00D66D2B">
      <w:pPr>
        <w:spacing w:after="120" w:line="360" w:lineRule="auto"/>
        <w:jc w:val="both"/>
        <w:rPr>
          <w:rFonts w:ascii="Times New Roman" w:hAnsi="Times New Roman" w:cs="Times New Roman"/>
        </w:rPr>
      </w:pPr>
      <w:r>
        <w:rPr>
          <w:rFonts w:ascii="Times New Roman" w:hAnsi="Times New Roman" w:cs="Times New Roman"/>
          <w:b/>
          <w:sz w:val="22"/>
          <w:szCs w:val="22"/>
        </w:rPr>
        <w:tab/>
      </w:r>
      <w:r w:rsidRPr="00C6741A">
        <w:rPr>
          <w:rFonts w:ascii="Times New Roman" w:hAnsi="Times New Roman" w:cs="Times New Roman"/>
        </w:rPr>
        <w:t xml:space="preserve">Stav vnútorného štátneho dlhu a jeho medziročnú zmenu charakterizuje tento prehľad (v mil. Sk): </w:t>
      </w:r>
    </w:p>
    <w:p w:rsidR="00792AFE" w:rsidRPr="00C6741A" w:rsidP="00D66D2B">
      <w:pPr>
        <w:spacing w:after="120" w:line="360" w:lineRule="auto"/>
        <w:jc w:val="both"/>
        <w:rPr>
          <w:rFonts w:ascii="Times New Roman" w:hAnsi="Times New Roman" w:cs="Times New Roman"/>
        </w:rPr>
      </w:pPr>
    </w:p>
    <w:tbl>
      <w:tblPr>
        <w:tblW w:w="9200" w:type="dxa"/>
        <w:tblInd w:w="55"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CellMar>
          <w:left w:w="70" w:type="dxa"/>
          <w:right w:w="70" w:type="dxa"/>
        </w:tblCellMar>
      </w:tblPr>
      <w:tblGrid>
        <w:gridCol w:w="5052"/>
        <w:gridCol w:w="1381"/>
        <w:gridCol w:w="1382"/>
        <w:gridCol w:w="1385"/>
      </w:tblGrid>
      <w:tr>
        <w:tblPrEx>
          <w:tblW w:w="9200" w:type="dxa"/>
          <w:tblInd w:w="55"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CellMar>
            <w:left w:w="70" w:type="dxa"/>
            <w:right w:w="70" w:type="dxa"/>
          </w:tblCellMar>
        </w:tblPrEx>
        <w:trPr>
          <w:trHeight w:val="605"/>
        </w:trPr>
        <w:tc>
          <w:tcPr>
            <w:tcW w:w="5052"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B534F8" w:rsidRPr="00D66D2B" w:rsidP="00D66D2B">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Položka pasív</w:t>
            </w:r>
          </w:p>
        </w:tc>
        <w:tc>
          <w:tcPr>
            <w:tcW w:w="1381"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B534F8" w:rsidRPr="00D66D2B" w:rsidP="00D66D2B">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Stav</w:t>
            </w:r>
          </w:p>
          <w:p w:rsidR="00B534F8" w:rsidRPr="00D66D2B" w:rsidP="00D66D2B">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k 31.12.2005</w:t>
            </w:r>
          </w:p>
        </w:tc>
        <w:tc>
          <w:tcPr>
            <w:tcW w:w="1382"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B534F8" w:rsidRPr="00D66D2B" w:rsidP="00D66D2B">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Stav</w:t>
            </w:r>
          </w:p>
          <w:p w:rsidR="00B534F8" w:rsidRPr="00D66D2B" w:rsidP="00D66D2B">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k 31.12.2006</w:t>
            </w:r>
          </w:p>
        </w:tc>
        <w:tc>
          <w:tcPr>
            <w:tcW w:w="1385"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B534F8" w:rsidRPr="00D66D2B" w:rsidP="00D66D2B">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Zmena</w:t>
            </w:r>
          </w:p>
        </w:tc>
      </w:tr>
      <w:tr>
        <w:tblPrEx>
          <w:tblW w:w="9200" w:type="dxa"/>
          <w:tblInd w:w="55" w:type="dxa"/>
          <w:tblCellMar>
            <w:left w:w="70" w:type="dxa"/>
            <w:right w:w="70" w:type="dxa"/>
          </w:tblCellMar>
        </w:tblPrEx>
        <w:trPr>
          <w:trHeight w:val="162"/>
        </w:trPr>
        <w:tc>
          <w:tcPr>
            <w:tcW w:w="505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D66D2B" w:rsidP="00D66D2B">
            <w:pPr>
              <w:rPr>
                <w:rFonts w:ascii="Times New Roman" w:hAnsi="Times New Roman" w:cs="Times New Roman"/>
                <w:b/>
                <w:bCs/>
                <w:i/>
                <w:iCs/>
                <w:color w:val="000000"/>
                <w:sz w:val="20"/>
                <w:szCs w:val="20"/>
              </w:rPr>
            </w:pPr>
            <w:r w:rsidRPr="00D66D2B">
              <w:rPr>
                <w:rFonts w:ascii="Times New Roman" w:hAnsi="Times New Roman" w:cs="Times New Roman"/>
                <w:b/>
                <w:bCs/>
                <w:i/>
                <w:iCs/>
                <w:color w:val="000000"/>
                <w:sz w:val="20"/>
                <w:szCs w:val="20"/>
              </w:rPr>
              <w:t>Emitované krátkodobé dlhopisy – ŠPP</w:t>
            </w:r>
          </w:p>
        </w:tc>
        <w:tc>
          <w:tcPr>
            <w:tcW w:w="1381"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B534F8" w:rsidRPr="00D66D2B" w:rsidP="00D66D2B">
            <w:pPr>
              <w:jc w:val="right"/>
              <w:rPr>
                <w:rFonts w:ascii="Times New Roman" w:hAnsi="Times New Roman" w:cs="Times New Roman"/>
                <w:b/>
                <w:bCs/>
                <w:i/>
                <w:iCs/>
                <w:color w:val="000000"/>
                <w:sz w:val="20"/>
                <w:szCs w:val="20"/>
              </w:rPr>
            </w:pPr>
            <w:r w:rsidRPr="00D66D2B">
              <w:rPr>
                <w:rFonts w:ascii="Times New Roman" w:hAnsi="Times New Roman" w:cs="Times New Roman"/>
                <w:b/>
                <w:bCs/>
                <w:i/>
                <w:iCs/>
                <w:color w:val="000000"/>
                <w:sz w:val="20"/>
                <w:szCs w:val="20"/>
              </w:rPr>
              <w:t>5 742,1</w:t>
            </w:r>
          </w:p>
          <w:p w:rsidR="00B534F8" w:rsidRPr="00D66D2B" w:rsidP="00D66D2B">
            <w:pPr>
              <w:jc w:val="center"/>
              <w:rPr>
                <w:rFonts w:ascii="Times New Roman" w:hAnsi="Times New Roman" w:cs="Times New Roman"/>
                <w:b/>
                <w:bCs/>
                <w:i/>
                <w:iCs/>
                <w:color w:val="000000"/>
                <w:sz w:val="20"/>
                <w:szCs w:val="20"/>
              </w:rPr>
            </w:pP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B534F8" w:rsidRPr="00D66D2B" w:rsidP="00D66D2B">
            <w:pPr>
              <w:jc w:val="right"/>
              <w:rPr>
                <w:rFonts w:ascii="Times New Roman" w:hAnsi="Times New Roman" w:cs="Times New Roman"/>
                <w:b/>
                <w:bCs/>
                <w:i/>
                <w:iCs/>
                <w:color w:val="000000"/>
                <w:sz w:val="20"/>
                <w:szCs w:val="20"/>
              </w:rPr>
            </w:pPr>
            <w:r w:rsidRPr="00D66D2B">
              <w:rPr>
                <w:rFonts w:ascii="Times New Roman" w:hAnsi="Times New Roman" w:cs="Times New Roman"/>
                <w:b/>
                <w:bCs/>
                <w:i/>
                <w:iCs/>
                <w:color w:val="000000"/>
                <w:sz w:val="20"/>
                <w:szCs w:val="20"/>
              </w:rPr>
              <w:t>0,0</w:t>
            </w:r>
          </w:p>
          <w:p w:rsidR="00B534F8" w:rsidRPr="00D66D2B" w:rsidP="00D66D2B">
            <w:pPr>
              <w:jc w:val="center"/>
              <w:rPr>
                <w:rFonts w:ascii="Times New Roman" w:hAnsi="Times New Roman" w:cs="Times New Roman"/>
                <w:b/>
                <w:bCs/>
                <w:i/>
                <w:iCs/>
                <w:color w:val="000000"/>
                <w:sz w:val="20"/>
                <w:szCs w:val="20"/>
              </w:rPr>
            </w:pPr>
          </w:p>
        </w:tc>
        <w:tc>
          <w:tcPr>
            <w:tcW w:w="138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D66D2B" w:rsidP="00D66D2B">
            <w:pPr>
              <w:jc w:val="right"/>
              <w:rPr>
                <w:rFonts w:ascii="Times New Roman" w:hAnsi="Times New Roman" w:cs="Times New Roman"/>
                <w:b/>
                <w:bCs/>
                <w:i/>
                <w:iCs/>
                <w:color w:val="000000"/>
                <w:sz w:val="20"/>
                <w:szCs w:val="20"/>
              </w:rPr>
            </w:pPr>
            <w:r w:rsidRPr="00D66D2B">
              <w:rPr>
                <w:rFonts w:ascii="Times New Roman" w:hAnsi="Times New Roman" w:cs="Times New Roman"/>
                <w:b/>
                <w:bCs/>
                <w:i/>
                <w:iCs/>
                <w:color w:val="000000"/>
                <w:sz w:val="20"/>
                <w:szCs w:val="20"/>
              </w:rPr>
              <w:t>-5 742,1</w:t>
            </w:r>
          </w:p>
        </w:tc>
      </w:tr>
      <w:tr>
        <w:tblPrEx>
          <w:tblW w:w="9200" w:type="dxa"/>
          <w:tblInd w:w="55" w:type="dxa"/>
          <w:tblCellMar>
            <w:left w:w="70" w:type="dxa"/>
            <w:right w:w="70" w:type="dxa"/>
          </w:tblCellMar>
        </w:tblPrEx>
        <w:trPr>
          <w:trHeight w:val="510"/>
        </w:trPr>
        <w:tc>
          <w:tcPr>
            <w:tcW w:w="505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 xml:space="preserve">Záväzok z emisie ŠPP emitovaných v roku 2005 a splatných v roku 2006 </w:t>
            </w:r>
          </w:p>
        </w:tc>
        <w:tc>
          <w:tcPr>
            <w:tcW w:w="13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5 742,1</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D66D2B">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0,0</w:t>
            </w:r>
          </w:p>
        </w:tc>
        <w:tc>
          <w:tcPr>
            <w:tcW w:w="138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-5 742,1</w:t>
            </w:r>
          </w:p>
        </w:tc>
      </w:tr>
      <w:tr>
        <w:tblPrEx>
          <w:tblW w:w="9200" w:type="dxa"/>
          <w:tblInd w:w="55" w:type="dxa"/>
          <w:tblCellMar>
            <w:left w:w="70" w:type="dxa"/>
            <w:right w:w="70" w:type="dxa"/>
          </w:tblCellMar>
        </w:tblPrEx>
        <w:trPr>
          <w:trHeight w:val="315"/>
        </w:trPr>
        <w:tc>
          <w:tcPr>
            <w:tcW w:w="505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b/>
                <w:bCs/>
                <w:i/>
                <w:iCs/>
                <w:color w:val="000000"/>
                <w:sz w:val="20"/>
                <w:szCs w:val="20"/>
              </w:rPr>
            </w:pPr>
            <w:r w:rsidRPr="00D66D2B">
              <w:rPr>
                <w:rFonts w:ascii="Times New Roman" w:hAnsi="Times New Roman" w:cs="Times New Roman"/>
                <w:b/>
                <w:bCs/>
                <w:i/>
                <w:iCs/>
                <w:color w:val="000000"/>
                <w:sz w:val="20"/>
                <w:szCs w:val="20"/>
              </w:rPr>
              <w:t>Štátne dlhopisy emitované na domácom trhu</w:t>
            </w:r>
          </w:p>
        </w:tc>
        <w:tc>
          <w:tcPr>
            <w:tcW w:w="13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i/>
                <w:iCs/>
                <w:color w:val="000000"/>
                <w:sz w:val="20"/>
                <w:szCs w:val="20"/>
              </w:rPr>
            </w:pPr>
            <w:r w:rsidRPr="00D66D2B">
              <w:rPr>
                <w:rFonts w:ascii="Times New Roman" w:hAnsi="Times New Roman" w:cs="Times New Roman"/>
                <w:b/>
                <w:bCs/>
                <w:i/>
                <w:iCs/>
                <w:color w:val="000000"/>
                <w:sz w:val="20"/>
                <w:szCs w:val="20"/>
              </w:rPr>
              <w:t>362 800,3</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i/>
                <w:iCs/>
                <w:color w:val="000000"/>
                <w:sz w:val="20"/>
                <w:szCs w:val="20"/>
              </w:rPr>
            </w:pPr>
            <w:r w:rsidRPr="00D66D2B">
              <w:rPr>
                <w:rFonts w:ascii="Times New Roman" w:hAnsi="Times New Roman" w:cs="Times New Roman"/>
                <w:b/>
                <w:bCs/>
                <w:i/>
                <w:iCs/>
                <w:color w:val="000000"/>
                <w:sz w:val="20"/>
                <w:szCs w:val="20"/>
              </w:rPr>
              <w:t>360 775,1</w:t>
            </w:r>
          </w:p>
        </w:tc>
        <w:tc>
          <w:tcPr>
            <w:tcW w:w="138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b/>
                <w:bCs/>
                <w:i/>
                <w:iCs/>
                <w:color w:val="000000"/>
                <w:sz w:val="20"/>
                <w:szCs w:val="20"/>
              </w:rPr>
            </w:pPr>
            <w:r w:rsidRPr="00D66D2B">
              <w:rPr>
                <w:rFonts w:ascii="Times New Roman" w:hAnsi="Times New Roman" w:cs="Times New Roman"/>
                <w:b/>
                <w:bCs/>
                <w:i/>
                <w:iCs/>
                <w:color w:val="000000"/>
                <w:sz w:val="20"/>
                <w:szCs w:val="20"/>
              </w:rPr>
              <w:t>-2 025,2</w:t>
            </w:r>
          </w:p>
        </w:tc>
      </w:tr>
      <w:tr>
        <w:tblPrEx>
          <w:tblW w:w="9200" w:type="dxa"/>
          <w:tblInd w:w="55" w:type="dxa"/>
          <w:tblCellMar>
            <w:left w:w="70" w:type="dxa"/>
            <w:right w:w="70" w:type="dxa"/>
          </w:tblCellMar>
        </w:tblPrEx>
        <w:trPr>
          <w:trHeight w:val="315"/>
        </w:trPr>
        <w:tc>
          <w:tcPr>
            <w:tcW w:w="505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Štátne dlhopisy na úhradu istín ŠD emit. v r. 1999</w:t>
            </w:r>
          </w:p>
        </w:tc>
        <w:tc>
          <w:tcPr>
            <w:tcW w:w="13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0,2</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0,2</w:t>
            </w:r>
          </w:p>
        </w:tc>
        <w:tc>
          <w:tcPr>
            <w:tcW w:w="138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0,0</w:t>
            </w:r>
          </w:p>
        </w:tc>
      </w:tr>
      <w:tr>
        <w:tblPrEx>
          <w:tblW w:w="9200" w:type="dxa"/>
          <w:tblInd w:w="55" w:type="dxa"/>
          <w:tblCellMar>
            <w:left w:w="70" w:type="dxa"/>
            <w:right w:w="70" w:type="dxa"/>
          </w:tblCellMar>
        </w:tblPrEx>
        <w:trPr>
          <w:trHeight w:val="315"/>
        </w:trPr>
        <w:tc>
          <w:tcPr>
            <w:tcW w:w="505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Štátne dlhopisy na úhradu istín ŠD emit. v r. 2000</w:t>
            </w:r>
          </w:p>
        </w:tc>
        <w:tc>
          <w:tcPr>
            <w:tcW w:w="13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9 846,5</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9 842,7</w:t>
            </w:r>
          </w:p>
        </w:tc>
        <w:tc>
          <w:tcPr>
            <w:tcW w:w="138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-3,8</w:t>
            </w:r>
          </w:p>
        </w:tc>
      </w:tr>
      <w:tr>
        <w:tblPrEx>
          <w:tblW w:w="9200" w:type="dxa"/>
          <w:tblInd w:w="55" w:type="dxa"/>
          <w:tblCellMar>
            <w:left w:w="70" w:type="dxa"/>
            <w:right w:w="70" w:type="dxa"/>
          </w:tblCellMar>
        </w:tblPrEx>
        <w:trPr>
          <w:trHeight w:val="315"/>
        </w:trPr>
        <w:tc>
          <w:tcPr>
            <w:tcW w:w="505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Štátne dlhopisy na úhradu istín ŠD emit. v r. 2001</w:t>
            </w:r>
          </w:p>
        </w:tc>
        <w:tc>
          <w:tcPr>
            <w:tcW w:w="13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102 974,6</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66 786,6</w:t>
            </w:r>
          </w:p>
        </w:tc>
        <w:tc>
          <w:tcPr>
            <w:tcW w:w="138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-36 188,0</w:t>
            </w:r>
          </w:p>
        </w:tc>
      </w:tr>
      <w:tr>
        <w:tblPrEx>
          <w:tblW w:w="9200" w:type="dxa"/>
          <w:tblInd w:w="55" w:type="dxa"/>
          <w:tblCellMar>
            <w:left w:w="70" w:type="dxa"/>
            <w:right w:w="70" w:type="dxa"/>
          </w:tblCellMar>
        </w:tblPrEx>
        <w:trPr>
          <w:trHeight w:val="315"/>
        </w:trPr>
        <w:tc>
          <w:tcPr>
            <w:tcW w:w="505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Štátne dlhopisy na úhradu istín ŠD emit. v r. 2002</w:t>
            </w:r>
          </w:p>
        </w:tc>
        <w:tc>
          <w:tcPr>
            <w:tcW w:w="13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21 906,5</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21 901,6</w:t>
            </w:r>
          </w:p>
        </w:tc>
        <w:tc>
          <w:tcPr>
            <w:tcW w:w="138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-4,9</w:t>
            </w:r>
          </w:p>
        </w:tc>
      </w:tr>
      <w:tr>
        <w:tblPrEx>
          <w:tblW w:w="9200" w:type="dxa"/>
          <w:tblInd w:w="55" w:type="dxa"/>
          <w:tblCellMar>
            <w:left w:w="70" w:type="dxa"/>
            <w:right w:w="70" w:type="dxa"/>
          </w:tblCellMar>
        </w:tblPrEx>
        <w:trPr>
          <w:trHeight w:val="315"/>
        </w:trPr>
        <w:tc>
          <w:tcPr>
            <w:tcW w:w="505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Štátne dlhopisy na úhradu istín ŠD emit. v r. 2003</w:t>
            </w:r>
          </w:p>
        </w:tc>
        <w:tc>
          <w:tcPr>
            <w:tcW w:w="13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55 069,9</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55 043,6</w:t>
            </w:r>
          </w:p>
        </w:tc>
        <w:tc>
          <w:tcPr>
            <w:tcW w:w="138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-26,3</w:t>
            </w:r>
          </w:p>
        </w:tc>
      </w:tr>
      <w:tr>
        <w:tblPrEx>
          <w:tblW w:w="9200" w:type="dxa"/>
          <w:tblInd w:w="55" w:type="dxa"/>
          <w:tblCellMar>
            <w:left w:w="70" w:type="dxa"/>
            <w:right w:w="70" w:type="dxa"/>
          </w:tblCellMar>
        </w:tblPrEx>
        <w:trPr>
          <w:trHeight w:val="315"/>
        </w:trPr>
        <w:tc>
          <w:tcPr>
            <w:tcW w:w="505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Štátne dlhopisy na úhradu istín ŠD emit. v r. 2004</w:t>
            </w:r>
          </w:p>
        </w:tc>
        <w:tc>
          <w:tcPr>
            <w:tcW w:w="13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167 029,6</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186 981,4</w:t>
            </w:r>
          </w:p>
        </w:tc>
        <w:tc>
          <w:tcPr>
            <w:tcW w:w="138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19 951,8</w:t>
            </w:r>
          </w:p>
        </w:tc>
      </w:tr>
      <w:tr>
        <w:tblPrEx>
          <w:tblW w:w="9200" w:type="dxa"/>
          <w:tblInd w:w="55" w:type="dxa"/>
          <w:tblCellMar>
            <w:left w:w="70" w:type="dxa"/>
            <w:right w:w="70" w:type="dxa"/>
          </w:tblCellMar>
        </w:tblPrEx>
        <w:trPr>
          <w:trHeight w:val="315"/>
        </w:trPr>
        <w:tc>
          <w:tcPr>
            <w:tcW w:w="505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Štátne dlhopisy na úhradu istín ŠD emit. v r. 2005</w:t>
            </w:r>
          </w:p>
        </w:tc>
        <w:tc>
          <w:tcPr>
            <w:tcW w:w="13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5 973,0</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13 008,2</w:t>
            </w:r>
          </w:p>
        </w:tc>
        <w:tc>
          <w:tcPr>
            <w:tcW w:w="138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7 035,2</w:t>
            </w:r>
          </w:p>
        </w:tc>
      </w:tr>
      <w:tr>
        <w:tblPrEx>
          <w:tblW w:w="9200" w:type="dxa"/>
          <w:tblInd w:w="55" w:type="dxa"/>
          <w:tblCellMar>
            <w:left w:w="70" w:type="dxa"/>
            <w:right w:w="70" w:type="dxa"/>
          </w:tblCellMar>
        </w:tblPrEx>
        <w:trPr>
          <w:trHeight w:val="315"/>
        </w:trPr>
        <w:tc>
          <w:tcPr>
            <w:tcW w:w="505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Štátne dlhopisy na úhradu istín ŠD emit. v r. 2006</w:t>
            </w:r>
          </w:p>
        </w:tc>
        <w:tc>
          <w:tcPr>
            <w:tcW w:w="13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Cs/>
                <w:iCs/>
                <w:color w:val="000000"/>
                <w:sz w:val="20"/>
                <w:szCs w:val="20"/>
              </w:rPr>
            </w:pPr>
            <w:r w:rsidRPr="00D66D2B">
              <w:rPr>
                <w:rFonts w:ascii="Times New Roman" w:hAnsi="Times New Roman" w:cs="Times New Roman"/>
                <w:bCs/>
                <w:iCs/>
                <w:color w:val="000000"/>
                <w:sz w:val="20"/>
                <w:szCs w:val="20"/>
              </w:rPr>
              <w:t>0,00</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Cs/>
                <w:iCs/>
                <w:color w:val="000000"/>
                <w:sz w:val="20"/>
                <w:szCs w:val="20"/>
              </w:rPr>
            </w:pPr>
            <w:r w:rsidRPr="00D66D2B">
              <w:rPr>
                <w:rFonts w:ascii="Times New Roman" w:hAnsi="Times New Roman" w:cs="Times New Roman"/>
                <w:bCs/>
                <w:iCs/>
                <w:color w:val="000000"/>
                <w:sz w:val="20"/>
                <w:szCs w:val="20"/>
              </w:rPr>
              <w:t>7 210,8</w:t>
            </w:r>
          </w:p>
        </w:tc>
        <w:tc>
          <w:tcPr>
            <w:tcW w:w="138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7 210,8</w:t>
            </w:r>
          </w:p>
        </w:tc>
      </w:tr>
      <w:tr>
        <w:tblPrEx>
          <w:tblW w:w="9200" w:type="dxa"/>
          <w:tblInd w:w="55" w:type="dxa"/>
          <w:tblCellMar>
            <w:left w:w="70" w:type="dxa"/>
            <w:right w:w="70" w:type="dxa"/>
          </w:tblCellMar>
        </w:tblPrEx>
        <w:trPr>
          <w:trHeight w:val="315"/>
        </w:trPr>
        <w:tc>
          <w:tcPr>
            <w:tcW w:w="505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b/>
                <w:bCs/>
                <w:i/>
                <w:iCs/>
                <w:color w:val="000000"/>
                <w:sz w:val="20"/>
                <w:szCs w:val="20"/>
              </w:rPr>
            </w:pPr>
            <w:r w:rsidRPr="00D66D2B">
              <w:rPr>
                <w:rFonts w:ascii="Times New Roman" w:hAnsi="Times New Roman" w:cs="Times New Roman"/>
                <w:b/>
                <w:bCs/>
                <w:i/>
                <w:iCs/>
                <w:color w:val="000000"/>
                <w:sz w:val="20"/>
                <w:szCs w:val="20"/>
              </w:rPr>
              <w:t xml:space="preserve">Štátne dlhopisy na rehabilitácie </w:t>
            </w:r>
          </w:p>
        </w:tc>
        <w:tc>
          <w:tcPr>
            <w:tcW w:w="13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i/>
                <w:iCs/>
                <w:color w:val="000000"/>
                <w:sz w:val="20"/>
                <w:szCs w:val="20"/>
              </w:rPr>
            </w:pPr>
            <w:r w:rsidRPr="00D66D2B">
              <w:rPr>
                <w:rFonts w:ascii="Times New Roman" w:hAnsi="Times New Roman" w:cs="Times New Roman"/>
                <w:b/>
                <w:bCs/>
                <w:i/>
                <w:iCs/>
                <w:color w:val="000000"/>
                <w:sz w:val="20"/>
                <w:szCs w:val="20"/>
              </w:rPr>
              <w:t>1,0</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i/>
                <w:iCs/>
                <w:color w:val="000000"/>
                <w:sz w:val="20"/>
                <w:szCs w:val="20"/>
              </w:rPr>
            </w:pPr>
            <w:r w:rsidRPr="00D66D2B">
              <w:rPr>
                <w:rFonts w:ascii="Times New Roman" w:hAnsi="Times New Roman" w:cs="Times New Roman"/>
                <w:b/>
                <w:bCs/>
                <w:i/>
                <w:iCs/>
                <w:color w:val="000000"/>
                <w:sz w:val="20"/>
                <w:szCs w:val="20"/>
              </w:rPr>
              <w:t>0,7</w:t>
            </w:r>
          </w:p>
        </w:tc>
        <w:tc>
          <w:tcPr>
            <w:tcW w:w="138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b/>
                <w:color w:val="000000"/>
                <w:sz w:val="20"/>
                <w:szCs w:val="20"/>
              </w:rPr>
            </w:pPr>
            <w:r w:rsidRPr="00D66D2B">
              <w:rPr>
                <w:rFonts w:ascii="Times New Roman" w:hAnsi="Times New Roman" w:cs="Times New Roman"/>
                <w:b/>
                <w:color w:val="000000"/>
                <w:sz w:val="20"/>
                <w:szCs w:val="20"/>
              </w:rPr>
              <w:t>-0,3</w:t>
            </w:r>
          </w:p>
        </w:tc>
      </w:tr>
      <w:tr>
        <w:tblPrEx>
          <w:tblW w:w="9200" w:type="dxa"/>
          <w:tblInd w:w="55" w:type="dxa"/>
          <w:tblCellMar>
            <w:left w:w="70" w:type="dxa"/>
            <w:right w:w="70" w:type="dxa"/>
          </w:tblCellMar>
        </w:tblPrEx>
        <w:trPr>
          <w:trHeight w:val="264"/>
        </w:trPr>
        <w:tc>
          <w:tcPr>
            <w:tcW w:w="505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b/>
                <w:bCs/>
                <w:i/>
                <w:iCs/>
                <w:color w:val="000000"/>
                <w:sz w:val="20"/>
                <w:szCs w:val="20"/>
              </w:rPr>
            </w:pPr>
            <w:r w:rsidRPr="00D66D2B">
              <w:rPr>
                <w:rFonts w:ascii="Times New Roman" w:hAnsi="Times New Roman" w:cs="Times New Roman"/>
                <w:b/>
                <w:bCs/>
                <w:i/>
                <w:iCs/>
                <w:color w:val="000000"/>
                <w:sz w:val="20"/>
                <w:szCs w:val="20"/>
              </w:rPr>
              <w:t>Iné záväzky - refinančný systém a úver od VÚB, a.s.</w:t>
            </w:r>
          </w:p>
        </w:tc>
        <w:tc>
          <w:tcPr>
            <w:tcW w:w="13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i/>
                <w:iCs/>
                <w:color w:val="000000"/>
                <w:sz w:val="20"/>
                <w:szCs w:val="20"/>
              </w:rPr>
            </w:pPr>
            <w:r w:rsidRPr="00D66D2B">
              <w:rPr>
                <w:rFonts w:ascii="Times New Roman" w:hAnsi="Times New Roman" w:cs="Times New Roman"/>
                <w:b/>
                <w:bCs/>
                <w:i/>
                <w:iCs/>
                <w:color w:val="000000"/>
                <w:sz w:val="20"/>
                <w:szCs w:val="20"/>
              </w:rPr>
              <w:t>82 194,6</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i/>
                <w:iCs/>
                <w:color w:val="000000"/>
                <w:sz w:val="20"/>
                <w:szCs w:val="20"/>
              </w:rPr>
            </w:pPr>
            <w:r w:rsidRPr="00D66D2B">
              <w:rPr>
                <w:rFonts w:ascii="Times New Roman" w:hAnsi="Times New Roman" w:cs="Times New Roman"/>
                <w:b/>
                <w:bCs/>
                <w:i/>
                <w:iCs/>
                <w:color w:val="000000"/>
                <w:sz w:val="20"/>
                <w:szCs w:val="20"/>
              </w:rPr>
              <w:t>151 946,8</w:t>
            </w:r>
          </w:p>
        </w:tc>
        <w:tc>
          <w:tcPr>
            <w:tcW w:w="138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69 752,2</w:t>
            </w:r>
          </w:p>
        </w:tc>
      </w:tr>
      <w:tr>
        <w:tblPrEx>
          <w:tblW w:w="9200" w:type="dxa"/>
          <w:tblInd w:w="55" w:type="dxa"/>
          <w:tblCellMar>
            <w:left w:w="70" w:type="dxa"/>
            <w:right w:w="70" w:type="dxa"/>
          </w:tblCellMar>
        </w:tblPrEx>
        <w:trPr>
          <w:trHeight w:val="315"/>
        </w:trPr>
        <w:tc>
          <w:tcPr>
            <w:tcW w:w="5052"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B534F8" w:rsidRPr="00D66D2B" w:rsidP="00B534F8">
            <w:pPr>
              <w:rPr>
                <w:rFonts w:ascii="Times New Roman" w:hAnsi="Times New Roman" w:cs="Times New Roman"/>
                <w:b/>
                <w:i/>
                <w:sz w:val="20"/>
                <w:szCs w:val="20"/>
              </w:rPr>
            </w:pPr>
            <w:r w:rsidRPr="00D66D2B">
              <w:rPr>
                <w:rFonts w:ascii="Times New Roman" w:hAnsi="Times New Roman" w:cs="Times New Roman"/>
                <w:b/>
                <w:i/>
                <w:sz w:val="20"/>
                <w:szCs w:val="20"/>
              </w:rPr>
              <w:t>Prevzaté záväzky od ŽSR a ŹS., a s.</w:t>
            </w:r>
          </w:p>
        </w:tc>
        <w:tc>
          <w:tcPr>
            <w:tcW w:w="1381"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534F8" w:rsidRPr="00D66D2B" w:rsidP="00B534F8">
            <w:pPr>
              <w:jc w:val="right"/>
              <w:rPr>
                <w:rFonts w:ascii="Times New Roman" w:hAnsi="Times New Roman" w:cs="Times New Roman"/>
                <w:b/>
                <w:i/>
                <w:sz w:val="20"/>
                <w:szCs w:val="20"/>
              </w:rPr>
            </w:pPr>
            <w:r w:rsidRPr="00D66D2B">
              <w:rPr>
                <w:rFonts w:ascii="Times New Roman" w:hAnsi="Times New Roman" w:cs="Times New Roman"/>
                <w:b/>
                <w:i/>
                <w:sz w:val="20"/>
                <w:szCs w:val="20"/>
              </w:rPr>
              <w:t>8 829,1</w:t>
            </w:r>
          </w:p>
        </w:tc>
        <w:tc>
          <w:tcPr>
            <w:tcW w:w="138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534F8" w:rsidRPr="00D66D2B" w:rsidP="00B534F8">
            <w:pPr>
              <w:jc w:val="right"/>
              <w:rPr>
                <w:rFonts w:ascii="Times New Roman" w:hAnsi="Times New Roman" w:cs="Times New Roman"/>
                <w:b/>
                <w:i/>
                <w:sz w:val="20"/>
                <w:szCs w:val="20"/>
              </w:rPr>
            </w:pPr>
            <w:r w:rsidRPr="00D66D2B">
              <w:rPr>
                <w:rFonts w:ascii="Times New Roman" w:hAnsi="Times New Roman" w:cs="Times New Roman"/>
                <w:b/>
                <w:i/>
                <w:sz w:val="20"/>
                <w:szCs w:val="20"/>
              </w:rPr>
              <w:t>1 658,6</w:t>
            </w:r>
          </w:p>
        </w:tc>
        <w:tc>
          <w:tcPr>
            <w:tcW w:w="138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b/>
                <w:i/>
                <w:color w:val="000000"/>
                <w:sz w:val="20"/>
                <w:szCs w:val="20"/>
              </w:rPr>
            </w:pPr>
            <w:r w:rsidRPr="00D66D2B">
              <w:rPr>
                <w:rFonts w:ascii="Times New Roman" w:hAnsi="Times New Roman" w:cs="Times New Roman"/>
                <w:b/>
                <w:i/>
                <w:color w:val="000000"/>
                <w:sz w:val="20"/>
                <w:szCs w:val="20"/>
              </w:rPr>
              <w:t>-7 170,5</w:t>
            </w:r>
          </w:p>
        </w:tc>
      </w:tr>
      <w:tr>
        <w:tblPrEx>
          <w:tblW w:w="9200" w:type="dxa"/>
          <w:tblInd w:w="55" w:type="dxa"/>
          <w:tblCellMar>
            <w:left w:w="70" w:type="dxa"/>
            <w:right w:w="70" w:type="dxa"/>
          </w:tblCellMar>
        </w:tblPrEx>
        <w:trPr>
          <w:trHeight w:val="315"/>
        </w:trPr>
        <w:tc>
          <w:tcPr>
            <w:tcW w:w="5052"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B534F8" w:rsidRPr="00D66D2B" w:rsidP="00B534F8">
            <w:pPr>
              <w:rPr>
                <w:rFonts w:ascii="Times New Roman" w:hAnsi="Times New Roman" w:cs="Times New Roman"/>
                <w:sz w:val="20"/>
                <w:szCs w:val="20"/>
              </w:rPr>
            </w:pPr>
            <w:r w:rsidRPr="00D66D2B">
              <w:rPr>
                <w:rFonts w:ascii="Times New Roman" w:hAnsi="Times New Roman" w:cs="Times New Roman"/>
                <w:sz w:val="20"/>
                <w:szCs w:val="20"/>
              </w:rPr>
              <w:t>Prevzaté záväzky od ŽS. a.s. voči Unibanke a.s.</w:t>
            </w:r>
          </w:p>
        </w:tc>
        <w:tc>
          <w:tcPr>
            <w:tcW w:w="1381"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1 430,5</w:t>
            </w:r>
          </w:p>
        </w:tc>
        <w:tc>
          <w:tcPr>
            <w:tcW w:w="138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1  144,8</w:t>
            </w:r>
          </w:p>
        </w:tc>
        <w:tc>
          <w:tcPr>
            <w:tcW w:w="138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-285,7</w:t>
            </w:r>
          </w:p>
        </w:tc>
      </w:tr>
      <w:tr>
        <w:tblPrEx>
          <w:tblW w:w="9200" w:type="dxa"/>
          <w:tblInd w:w="55" w:type="dxa"/>
          <w:tblCellMar>
            <w:left w:w="70" w:type="dxa"/>
            <w:right w:w="70" w:type="dxa"/>
          </w:tblCellMar>
        </w:tblPrEx>
        <w:trPr>
          <w:trHeight w:val="315"/>
        </w:trPr>
        <w:tc>
          <w:tcPr>
            <w:tcW w:w="5052"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B534F8" w:rsidRPr="00D66D2B" w:rsidP="00B534F8">
            <w:pPr>
              <w:rPr>
                <w:rFonts w:ascii="Times New Roman" w:hAnsi="Times New Roman" w:cs="Times New Roman"/>
                <w:sz w:val="20"/>
                <w:szCs w:val="20"/>
              </w:rPr>
            </w:pPr>
            <w:r w:rsidRPr="00D66D2B">
              <w:rPr>
                <w:rFonts w:ascii="Times New Roman" w:hAnsi="Times New Roman" w:cs="Times New Roman"/>
                <w:sz w:val="20"/>
                <w:szCs w:val="20"/>
              </w:rPr>
              <w:t>Prevz. záväzky od ŽS, a.s. voči konzorc. Tatrabanka, a.s.</w:t>
            </w:r>
          </w:p>
        </w:tc>
        <w:tc>
          <w:tcPr>
            <w:tcW w:w="1381"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2 443,0</w:t>
            </w:r>
          </w:p>
        </w:tc>
        <w:tc>
          <w:tcPr>
            <w:tcW w:w="138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0,0</w:t>
            </w:r>
          </w:p>
        </w:tc>
        <w:tc>
          <w:tcPr>
            <w:tcW w:w="138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-2 443,0</w:t>
            </w:r>
          </w:p>
          <w:p w:rsidR="00B534F8" w:rsidRPr="00D66D2B" w:rsidP="00B534F8">
            <w:pPr>
              <w:jc w:val="right"/>
              <w:rPr>
                <w:rFonts w:ascii="Times New Roman" w:hAnsi="Times New Roman" w:cs="Times New Roman"/>
                <w:color w:val="000000"/>
                <w:sz w:val="20"/>
                <w:szCs w:val="20"/>
              </w:rPr>
            </w:pPr>
          </w:p>
        </w:tc>
      </w:tr>
      <w:tr>
        <w:tblPrEx>
          <w:tblW w:w="9200" w:type="dxa"/>
          <w:tblInd w:w="55" w:type="dxa"/>
          <w:tblCellMar>
            <w:left w:w="70" w:type="dxa"/>
            <w:right w:w="70" w:type="dxa"/>
          </w:tblCellMar>
        </w:tblPrEx>
        <w:trPr>
          <w:trHeight w:val="315"/>
        </w:trPr>
        <w:tc>
          <w:tcPr>
            <w:tcW w:w="5052"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B534F8" w:rsidRPr="00D66D2B" w:rsidP="00B534F8">
            <w:pPr>
              <w:rPr>
                <w:rFonts w:ascii="Times New Roman" w:hAnsi="Times New Roman" w:cs="Times New Roman"/>
                <w:sz w:val="20"/>
                <w:szCs w:val="20"/>
              </w:rPr>
            </w:pPr>
            <w:r w:rsidRPr="00D66D2B">
              <w:rPr>
                <w:rFonts w:ascii="Times New Roman" w:hAnsi="Times New Roman" w:cs="Times New Roman"/>
                <w:sz w:val="20"/>
                <w:szCs w:val="20"/>
              </w:rPr>
              <w:t>Prevzaté záväzky od ŽSR voči VÚB a.s.</w:t>
            </w:r>
          </w:p>
        </w:tc>
        <w:tc>
          <w:tcPr>
            <w:tcW w:w="1381"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4 328,1</w:t>
            </w:r>
          </w:p>
        </w:tc>
        <w:tc>
          <w:tcPr>
            <w:tcW w:w="138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0,0</w:t>
            </w:r>
          </w:p>
        </w:tc>
        <w:tc>
          <w:tcPr>
            <w:tcW w:w="138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-4 328,1</w:t>
            </w:r>
          </w:p>
        </w:tc>
      </w:tr>
      <w:tr>
        <w:tblPrEx>
          <w:tblW w:w="9200" w:type="dxa"/>
          <w:tblInd w:w="55" w:type="dxa"/>
          <w:tblCellMar>
            <w:left w:w="70" w:type="dxa"/>
            <w:right w:w="70" w:type="dxa"/>
          </w:tblCellMar>
        </w:tblPrEx>
        <w:trPr>
          <w:trHeight w:val="315"/>
        </w:trPr>
        <w:tc>
          <w:tcPr>
            <w:tcW w:w="5052"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B534F8" w:rsidRPr="00D66D2B" w:rsidP="00B534F8">
            <w:pPr>
              <w:rPr>
                <w:rFonts w:ascii="Times New Roman" w:hAnsi="Times New Roman" w:cs="Times New Roman"/>
                <w:sz w:val="20"/>
                <w:szCs w:val="20"/>
              </w:rPr>
            </w:pPr>
            <w:r w:rsidRPr="00D66D2B">
              <w:rPr>
                <w:rFonts w:ascii="Times New Roman" w:hAnsi="Times New Roman" w:cs="Times New Roman"/>
                <w:sz w:val="20"/>
                <w:szCs w:val="20"/>
              </w:rPr>
              <w:t>Prevzaté záväzky od ŽSR voči Tatrabanke a.s.</w:t>
            </w:r>
          </w:p>
        </w:tc>
        <w:tc>
          <w:tcPr>
            <w:tcW w:w="1381"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627,5</w:t>
            </w:r>
          </w:p>
        </w:tc>
        <w:tc>
          <w:tcPr>
            <w:tcW w:w="138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534F8" w:rsidRPr="00D66D2B" w:rsidP="00B534F8">
            <w:pPr>
              <w:jc w:val="right"/>
              <w:rPr>
                <w:rFonts w:ascii="Times New Roman" w:hAnsi="Times New Roman" w:cs="Times New Roman"/>
                <w:sz w:val="20"/>
                <w:szCs w:val="20"/>
              </w:rPr>
            </w:pPr>
            <w:r w:rsidRPr="00D66D2B">
              <w:rPr>
                <w:rFonts w:ascii="Times New Roman" w:hAnsi="Times New Roman" w:cs="Times New Roman"/>
                <w:sz w:val="20"/>
                <w:szCs w:val="20"/>
              </w:rPr>
              <w:t>513,8</w:t>
            </w:r>
          </w:p>
        </w:tc>
        <w:tc>
          <w:tcPr>
            <w:tcW w:w="138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-113,7</w:t>
            </w:r>
          </w:p>
        </w:tc>
      </w:tr>
      <w:tr>
        <w:tblPrEx>
          <w:tblW w:w="9200" w:type="dxa"/>
          <w:tblInd w:w="55" w:type="dxa"/>
          <w:tblCellMar>
            <w:left w:w="70" w:type="dxa"/>
            <w:right w:w="70" w:type="dxa"/>
          </w:tblCellMar>
        </w:tblPrEx>
        <w:trPr>
          <w:trHeight w:val="300"/>
        </w:trPr>
        <w:tc>
          <w:tcPr>
            <w:tcW w:w="505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D66D2B" w:rsidP="00B534F8">
            <w:pPr>
              <w:rPr>
                <w:rFonts w:ascii="Times New Roman" w:hAnsi="Times New Roman" w:cs="Times New Roman"/>
                <w:bCs/>
                <w:color w:val="000000"/>
                <w:sz w:val="20"/>
                <w:szCs w:val="20"/>
              </w:rPr>
            </w:pPr>
            <w:r w:rsidRPr="00D66D2B">
              <w:rPr>
                <w:rFonts w:ascii="Times New Roman" w:hAnsi="Times New Roman" w:cs="Times New Roman"/>
                <w:b/>
                <w:bCs/>
                <w:i/>
                <w:iCs/>
                <w:color w:val="000000"/>
                <w:sz w:val="20"/>
                <w:szCs w:val="20"/>
              </w:rPr>
              <w:t>Prevzaté záväzky od VÚB</w:t>
            </w:r>
          </w:p>
        </w:tc>
        <w:tc>
          <w:tcPr>
            <w:tcW w:w="138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0,00</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251,4</w:t>
            </w:r>
          </w:p>
        </w:tc>
        <w:tc>
          <w:tcPr>
            <w:tcW w:w="138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251,4</w:t>
            </w:r>
          </w:p>
        </w:tc>
      </w:tr>
      <w:tr>
        <w:tblPrEx>
          <w:tblW w:w="9200" w:type="dxa"/>
          <w:tblInd w:w="55" w:type="dxa"/>
          <w:tblCellMar>
            <w:left w:w="70" w:type="dxa"/>
            <w:right w:w="70" w:type="dxa"/>
          </w:tblCellMar>
        </w:tblPrEx>
        <w:trPr>
          <w:trHeight w:val="300"/>
        </w:trPr>
        <w:tc>
          <w:tcPr>
            <w:tcW w:w="505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D66D2B" w:rsidP="00B534F8">
            <w:pPr>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Prevzaté záväzky od sp.METRO a.s. voči VÚB</w:t>
            </w:r>
          </w:p>
        </w:tc>
        <w:tc>
          <w:tcPr>
            <w:tcW w:w="138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0,00</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251,4</w:t>
            </w:r>
          </w:p>
        </w:tc>
        <w:tc>
          <w:tcPr>
            <w:tcW w:w="138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251,4</w:t>
            </w:r>
          </w:p>
        </w:tc>
      </w:tr>
      <w:tr>
        <w:tblPrEx>
          <w:tblW w:w="9200" w:type="dxa"/>
          <w:tblInd w:w="55" w:type="dxa"/>
          <w:tblCellMar>
            <w:left w:w="70" w:type="dxa"/>
            <w:right w:w="70" w:type="dxa"/>
          </w:tblCellMar>
        </w:tblPrEx>
        <w:trPr>
          <w:trHeight w:val="300"/>
        </w:trPr>
        <w:tc>
          <w:tcPr>
            <w:tcW w:w="505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D66D2B" w:rsidP="00B534F8">
            <w:pPr>
              <w:rPr>
                <w:rFonts w:ascii="Times New Roman" w:hAnsi="Times New Roman" w:cs="Times New Roman"/>
                <w:b/>
                <w:bCs/>
                <w:i/>
                <w:color w:val="000000"/>
                <w:sz w:val="20"/>
                <w:szCs w:val="20"/>
              </w:rPr>
            </w:pPr>
            <w:r w:rsidRPr="00D66D2B">
              <w:rPr>
                <w:rFonts w:ascii="Times New Roman" w:hAnsi="Times New Roman" w:cs="Times New Roman"/>
                <w:b/>
                <w:bCs/>
                <w:i/>
                <w:color w:val="000000"/>
                <w:sz w:val="20"/>
                <w:szCs w:val="20"/>
              </w:rPr>
              <w:t xml:space="preserve">Záväzky z anonymných vkladov </w:t>
            </w:r>
          </w:p>
        </w:tc>
        <w:tc>
          <w:tcPr>
            <w:tcW w:w="138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0,00</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1 242,2</w:t>
            </w:r>
          </w:p>
        </w:tc>
        <w:tc>
          <w:tcPr>
            <w:tcW w:w="138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1 242,2</w:t>
            </w:r>
          </w:p>
        </w:tc>
      </w:tr>
      <w:tr>
        <w:tblPrEx>
          <w:tblW w:w="9200" w:type="dxa"/>
          <w:tblInd w:w="55" w:type="dxa"/>
          <w:tblCellMar>
            <w:left w:w="70" w:type="dxa"/>
            <w:right w:w="70" w:type="dxa"/>
          </w:tblCellMar>
        </w:tblPrEx>
        <w:trPr>
          <w:trHeight w:val="300"/>
        </w:trPr>
        <w:tc>
          <w:tcPr>
            <w:tcW w:w="505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B534F8" w:rsidRPr="00D66D2B" w:rsidP="00B534F8">
            <w:pPr>
              <w:rPr>
                <w:rFonts w:ascii="Times New Roman" w:hAnsi="Times New Roman" w:cs="Times New Roman"/>
                <w:bCs/>
                <w:i/>
                <w:color w:val="000000"/>
                <w:sz w:val="20"/>
                <w:szCs w:val="20"/>
              </w:rPr>
            </w:pPr>
            <w:r w:rsidRPr="00D66D2B">
              <w:rPr>
                <w:rFonts w:ascii="Times New Roman" w:hAnsi="Times New Roman" w:cs="Times New Roman"/>
                <w:bCs/>
                <w:i/>
                <w:color w:val="000000"/>
                <w:sz w:val="20"/>
                <w:szCs w:val="20"/>
              </w:rPr>
              <w:t>Záväzky z anonymných vkladov</w:t>
            </w:r>
          </w:p>
        </w:tc>
        <w:tc>
          <w:tcPr>
            <w:tcW w:w="138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0,00</w:t>
            </w:r>
          </w:p>
        </w:tc>
        <w:tc>
          <w:tcPr>
            <w:tcW w:w="138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1 242,2</w:t>
            </w:r>
          </w:p>
        </w:tc>
        <w:tc>
          <w:tcPr>
            <w:tcW w:w="138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1 242,2</w:t>
            </w:r>
          </w:p>
        </w:tc>
      </w:tr>
      <w:tr>
        <w:tblPrEx>
          <w:tblW w:w="9200" w:type="dxa"/>
          <w:tblInd w:w="55" w:type="dxa"/>
          <w:tblCellMar>
            <w:left w:w="70" w:type="dxa"/>
            <w:right w:w="70" w:type="dxa"/>
          </w:tblCellMar>
        </w:tblPrEx>
        <w:trPr>
          <w:trHeight w:val="300"/>
        </w:trPr>
        <w:tc>
          <w:tcPr>
            <w:tcW w:w="5052" w:type="dxa"/>
            <w:tcBorders>
              <w:top w:val="single" w:sz="4" w:space="0" w:color="auto"/>
              <w:left w:val="single" w:sz="8" w:space="0" w:color="auto"/>
              <w:bottom w:val="double" w:sz="6" w:space="0" w:color="auto"/>
              <w:right w:val="single" w:sz="4" w:space="0" w:color="auto"/>
              <w:tl2br w:val="nil"/>
              <w:tr2bl w:val="nil"/>
            </w:tcBorders>
            <w:textDirection w:val="lrTb"/>
            <w:vAlign w:val="top"/>
          </w:tcPr>
          <w:p w:rsidR="00B534F8" w:rsidRPr="00D66D2B" w:rsidP="00B534F8">
            <w:pP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Vnútorný štátny dlh spolu</w:t>
            </w:r>
          </w:p>
        </w:tc>
        <w:tc>
          <w:tcPr>
            <w:tcW w:w="1381" w:type="dxa"/>
            <w:tcBorders>
              <w:top w:val="single" w:sz="4" w:space="0" w:color="auto"/>
              <w:left w:val="single" w:sz="4" w:space="0" w:color="auto"/>
              <w:bottom w:val="double" w:sz="6"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459 567,1</w:t>
            </w:r>
          </w:p>
        </w:tc>
        <w:tc>
          <w:tcPr>
            <w:tcW w:w="1382" w:type="dxa"/>
            <w:tcBorders>
              <w:top w:val="single" w:sz="4" w:space="0" w:color="auto"/>
              <w:left w:val="single" w:sz="4" w:space="0" w:color="auto"/>
              <w:bottom w:val="double" w:sz="6" w:space="0" w:color="auto"/>
              <w:right w:val="single" w:sz="4" w:space="0" w:color="auto"/>
              <w:tl2br w:val="nil"/>
              <w:tr2bl w:val="nil"/>
            </w:tcBorders>
            <w:textDirection w:val="lrTb"/>
            <w:vAlign w:val="top"/>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515 874,8</w:t>
            </w:r>
          </w:p>
        </w:tc>
        <w:tc>
          <w:tcPr>
            <w:tcW w:w="1385" w:type="dxa"/>
            <w:tcBorders>
              <w:top w:val="single" w:sz="4" w:space="0" w:color="auto"/>
              <w:left w:val="single" w:sz="4" w:space="0" w:color="auto"/>
              <w:bottom w:val="double" w:sz="6" w:space="0" w:color="auto"/>
              <w:right w:val="single" w:sz="8" w:space="0" w:color="auto"/>
              <w:tl2br w:val="nil"/>
              <w:tr2bl w:val="nil"/>
            </w:tcBorders>
            <w:textDirection w:val="lrTb"/>
            <w:vAlign w:val="top"/>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56 307,7</w:t>
            </w:r>
          </w:p>
        </w:tc>
      </w:tr>
    </w:tbl>
    <w:p w:rsidR="00B534F8" w:rsidRPr="00D66D2B" w:rsidP="00B534F8">
      <w:pPr>
        <w:spacing w:before="120" w:line="360" w:lineRule="auto"/>
        <w:rPr>
          <w:rFonts w:ascii="Times New Roman" w:hAnsi="Times New Roman" w:cs="Times New Roman"/>
          <w:sz w:val="20"/>
          <w:szCs w:val="20"/>
        </w:rPr>
      </w:pPr>
      <w:r w:rsidRPr="00D66D2B">
        <w:rPr>
          <w:rFonts w:ascii="Times New Roman" w:hAnsi="Times New Roman" w:cs="Times New Roman"/>
          <w:sz w:val="20"/>
          <w:szCs w:val="20"/>
        </w:rPr>
        <w:t>Zdroj: Ministerstvo financií SR</w:t>
      </w:r>
    </w:p>
    <w:p w:rsidR="00B534F8" w:rsidP="00B534F8">
      <w:pPr>
        <w:spacing w:before="120" w:line="360" w:lineRule="auto"/>
        <w:jc w:val="both"/>
        <w:rPr>
          <w:rFonts w:ascii="Times New Roman" w:hAnsi="Times New Roman" w:cs="Times New Roman"/>
        </w:rPr>
      </w:pPr>
      <w:r>
        <w:rPr>
          <w:rFonts w:ascii="Times New Roman" w:hAnsi="Times New Roman" w:cs="Times New Roman"/>
          <w:sz w:val="20"/>
          <w:szCs w:val="20"/>
        </w:rPr>
        <w:tab/>
      </w:r>
      <w:r w:rsidRPr="00E2114E">
        <w:rPr>
          <w:rFonts w:ascii="Times New Roman" w:hAnsi="Times New Roman" w:cs="Times New Roman"/>
        </w:rPr>
        <w:t>V priebehu roka 2006 na financovanie priebežného schodku štátneho rozpočtu neboli emitované žiadne štátne pokladničné poukážky.</w:t>
      </w:r>
      <w:r>
        <w:rPr>
          <w:rFonts w:ascii="Times New Roman" w:hAnsi="Times New Roman" w:cs="Times New Roman"/>
        </w:rPr>
        <w:t xml:space="preserve"> V priebehu roka došlo iba k splateniu štátnych pokladničných poukážok, ktoré boli emitované v roku 2005 vo výške 5 742,1 mil. Sk (obstarávacia cena 5 724,1 mil. Sk a úrok 18,0 mil. Sk)</w:t>
      </w:r>
    </w:p>
    <w:p w:rsidR="00B534F8" w:rsidP="00B534F8">
      <w:pPr>
        <w:spacing w:before="120" w:line="360" w:lineRule="auto"/>
        <w:jc w:val="both"/>
        <w:rPr>
          <w:rFonts w:ascii="Times New Roman" w:hAnsi="Times New Roman" w:cs="Times New Roman"/>
        </w:rPr>
      </w:pPr>
      <w:r>
        <w:rPr>
          <w:rFonts w:ascii="Times New Roman" w:hAnsi="Times New Roman" w:cs="Times New Roman"/>
        </w:rPr>
        <w:tab/>
        <w:t>Pôžičky z emisií štátnych dlhopisov emitovaných na domácom trhu znížili štátny dlh o 2 025,2 mil. Sk, z toho vo forme istín 1 993,4 mil. Sk a vo forme akruálnych úrokov 31,8 mil. Sk. V priebehu roka boli vydané nové štátne dlhopisy v sume 32 2</w:t>
      </w:r>
      <w:r w:rsidR="00387C57">
        <w:rPr>
          <w:rFonts w:ascii="Times New Roman" w:hAnsi="Times New Roman" w:cs="Times New Roman"/>
        </w:rPr>
        <w:t>34</w:t>
      </w:r>
      <w:r>
        <w:rPr>
          <w:rFonts w:ascii="Times New Roman" w:hAnsi="Times New Roman" w:cs="Times New Roman"/>
        </w:rPr>
        <w:t>,</w:t>
      </w:r>
      <w:r w:rsidR="00387C57">
        <w:rPr>
          <w:rFonts w:ascii="Times New Roman" w:hAnsi="Times New Roman" w:cs="Times New Roman"/>
        </w:rPr>
        <w:t>1</w:t>
      </w:r>
      <w:r>
        <w:rPr>
          <w:rFonts w:ascii="Times New Roman" w:hAnsi="Times New Roman" w:cs="Times New Roman"/>
        </w:rPr>
        <w:t xml:space="preserve"> mil. Sk (vrátane prémie a alikvotného úrokového výnosu) a splatené štátne dlhopisy  emitované v predchádzajúcich rokoch v sume 35 400,0 mil. Sk. Po zohľadnení položiek časového rozlíšenia k týmto dlhopisom vo výške 1 1</w:t>
      </w:r>
      <w:r w:rsidR="00387C57">
        <w:rPr>
          <w:rFonts w:ascii="Times New Roman" w:hAnsi="Times New Roman" w:cs="Times New Roman"/>
        </w:rPr>
        <w:t>40</w:t>
      </w:r>
      <w:r>
        <w:rPr>
          <w:rFonts w:ascii="Times New Roman" w:hAnsi="Times New Roman" w:cs="Times New Roman"/>
        </w:rPr>
        <w:t>,</w:t>
      </w:r>
      <w:r w:rsidR="00387C57">
        <w:rPr>
          <w:rFonts w:ascii="Times New Roman" w:hAnsi="Times New Roman" w:cs="Times New Roman"/>
        </w:rPr>
        <w:t>7</w:t>
      </w:r>
      <w:r>
        <w:rPr>
          <w:rFonts w:ascii="Times New Roman" w:hAnsi="Times New Roman" w:cs="Times New Roman"/>
        </w:rPr>
        <w:t xml:space="preserve"> mil. Sk (akruálne úroky) je záväzok štátu z emisií tuzemských dlhopisov  ku koncu roka 360 775,1 mil. Sk.</w:t>
      </w:r>
    </w:p>
    <w:p w:rsidR="00B534F8" w:rsidP="00B534F8">
      <w:pPr>
        <w:spacing w:before="120" w:line="360" w:lineRule="auto"/>
        <w:jc w:val="both"/>
        <w:rPr>
          <w:rFonts w:ascii="Times New Roman" w:hAnsi="Times New Roman" w:cs="Times New Roman"/>
        </w:rPr>
      </w:pPr>
      <w:r>
        <w:rPr>
          <w:rFonts w:ascii="Times New Roman" w:hAnsi="Times New Roman" w:cs="Times New Roman"/>
        </w:rPr>
        <w:tab/>
        <w:t>Stav štátnych rehabilitačných dlhopisov I. a II. určených na odškodnenie občanov podľa nariadenia vlády SR č. 302/1996 Z.z. a zákona č. 305/1997 Z.z., sa medziročne znížil o 0,3 mil. Sk.</w:t>
      </w:r>
    </w:p>
    <w:p w:rsidR="00B534F8" w:rsidP="00B534F8">
      <w:pPr>
        <w:spacing w:before="120" w:line="360" w:lineRule="auto"/>
        <w:jc w:val="both"/>
        <w:rPr>
          <w:rFonts w:ascii="Times New Roman" w:hAnsi="Times New Roman" w:cs="Times New Roman"/>
        </w:rPr>
      </w:pPr>
      <w:r>
        <w:rPr>
          <w:rFonts w:ascii="Times New Roman" w:hAnsi="Times New Roman" w:cs="Times New Roman"/>
        </w:rPr>
        <w:tab/>
        <w:t>Začiatočný stav záväzkov voči Štátnej pokladnici  vo výške 79 389,2 mil. Sk sa v priebehu roka zvýšil z titulu tzv. refinančného systému o 72 557,6 mil. Sk a dosiahol ku koncu roka stav 151 946,8 mil. Sk vrátane úrokov. Tieto záväzky sa rozhodujúcou mierou podieľajú na medziročnom z</w:t>
      </w:r>
      <w:r w:rsidR="00C6741A">
        <w:rPr>
          <w:rFonts w:ascii="Times New Roman" w:hAnsi="Times New Roman" w:cs="Times New Roman"/>
        </w:rPr>
        <w:t>výšení vnútorného štátneho dlhu, na druhej strane však sú kompenzované pohľadávou ŠP voči ARDALu.</w:t>
      </w:r>
      <w:r>
        <w:rPr>
          <w:rFonts w:ascii="Times New Roman" w:hAnsi="Times New Roman" w:cs="Times New Roman"/>
        </w:rPr>
        <w:t xml:space="preserve"> V priebehu roka v tomto bloku záväzkov bola splatená pôžička prijatá v cudzích menách od VÚB, a.s. v sume 2 805,4 mil. Sk </w:t>
      </w:r>
      <w:r w:rsidR="00C6741A">
        <w:rPr>
          <w:rFonts w:ascii="Times New Roman" w:hAnsi="Times New Roman" w:cs="Times New Roman"/>
        </w:rPr>
        <w:t xml:space="preserve">               </w:t>
      </w:r>
      <w:r>
        <w:rPr>
          <w:rFonts w:ascii="Times New Roman" w:hAnsi="Times New Roman" w:cs="Times New Roman"/>
        </w:rPr>
        <w:t>(74,1 mil. EUR).</w:t>
      </w:r>
    </w:p>
    <w:p w:rsidR="00B534F8" w:rsidP="00B534F8">
      <w:pPr>
        <w:spacing w:before="120" w:line="360" w:lineRule="auto"/>
        <w:jc w:val="both"/>
        <w:rPr>
          <w:rFonts w:ascii="Times New Roman" w:hAnsi="Times New Roman" w:cs="Times New Roman"/>
        </w:rPr>
      </w:pPr>
      <w:r>
        <w:rPr>
          <w:rFonts w:ascii="Times New Roman" w:hAnsi="Times New Roman" w:cs="Times New Roman"/>
        </w:rPr>
        <w:tab/>
        <w:t>Z prevzatých záväzkov Železníc SR a Železničnej spoločnosti, a.s. do vnútorného štátneho dlhu sa v priebehu roka zrealizovali splátky úverových istín voči tuzemským komerčným bankám vo výške 7 170,5 mil. Sk, čím sa tento štátny dlh znížil ku koncu roka na 1 658,6 mil. Sk.</w:t>
      </w:r>
    </w:p>
    <w:p w:rsidR="00B534F8" w:rsidP="00B534F8">
      <w:pPr>
        <w:spacing w:before="120" w:line="360" w:lineRule="auto"/>
        <w:jc w:val="both"/>
        <w:rPr>
          <w:rFonts w:ascii="Times New Roman" w:hAnsi="Times New Roman" w:cs="Times New Roman"/>
        </w:rPr>
      </w:pPr>
      <w:r>
        <w:rPr>
          <w:rFonts w:ascii="Times New Roman" w:hAnsi="Times New Roman" w:cs="Times New Roman"/>
        </w:rPr>
        <w:tab/>
        <w:t xml:space="preserve">Na základe uznesenia vlády SR č. 275 z 29.3.2006 </w:t>
      </w:r>
      <w:r w:rsidR="00C6741A">
        <w:rPr>
          <w:rFonts w:ascii="Times New Roman" w:hAnsi="Times New Roman" w:cs="Times New Roman"/>
        </w:rPr>
        <w:t xml:space="preserve">boli </w:t>
      </w:r>
      <w:r>
        <w:rPr>
          <w:rFonts w:ascii="Times New Roman" w:hAnsi="Times New Roman" w:cs="Times New Roman"/>
        </w:rPr>
        <w:t>do vnútorného štátneho dlhu prevzaté záväzky od METRO Bratislava, a.s., ktoré vznikli z poskytnutého úveru  od Všeobecnej úverovej banky, a.s.. Tento delimitovaný záväzok zvýšil štátny dlh o 251,4 mil. Sk, z toho vo forme istiny 247,2 mil. Sk a v úrokov 4,2 mil. Sk.</w:t>
      </w:r>
    </w:p>
    <w:p w:rsidR="00B534F8" w:rsidRPr="00E2114E" w:rsidP="00B534F8">
      <w:pPr>
        <w:spacing w:line="360" w:lineRule="auto"/>
        <w:ind w:firstLine="360"/>
        <w:jc w:val="both"/>
        <w:rPr>
          <w:rFonts w:ascii="Times New Roman" w:hAnsi="Times New Roman" w:cs="Times New Roman"/>
        </w:rPr>
      </w:pPr>
      <w:r>
        <w:rPr>
          <w:rFonts w:ascii="Times New Roman" w:hAnsi="Times New Roman" w:cs="Times New Roman"/>
        </w:rPr>
        <w:t xml:space="preserve">Záväzky štátu z anonymných vkladov vo výške 1 242,2 mil. Sk súvisia s odčerpaním týchto anonymných vkladov obyvateľstva  od komerčných bánk do  štátnych finančných aktív. </w:t>
      </w:r>
    </w:p>
    <w:p w:rsidR="00B534F8" w:rsidP="00B534F8">
      <w:pPr>
        <w:spacing w:after="120" w:line="360" w:lineRule="auto"/>
        <w:jc w:val="center"/>
        <w:rPr>
          <w:rFonts w:ascii="Times New Roman" w:hAnsi="Times New Roman" w:cs="Times New Roman"/>
          <w:b/>
        </w:rPr>
      </w:pPr>
      <w:r w:rsidR="00CD4423">
        <w:rPr>
          <w:rFonts w:ascii="Times New Roman" w:hAnsi="Times New Roman" w:cs="Times New Roman"/>
          <w:b/>
        </w:rPr>
        <w:br w:type="page"/>
      </w:r>
      <w:r w:rsidR="00766559">
        <w:rPr>
          <w:rFonts w:ascii="Times New Roman" w:hAnsi="Times New Roman" w:cs="Times New Roman"/>
          <w:b/>
        </w:rPr>
        <w:t>4</w:t>
      </w:r>
      <w:r w:rsidRPr="006B5935">
        <w:rPr>
          <w:rFonts w:ascii="Times New Roman" w:hAnsi="Times New Roman" w:cs="Times New Roman"/>
          <w:b/>
        </w:rPr>
        <w:t>.3.2.2. Zahraničný dlh</w:t>
      </w:r>
    </w:p>
    <w:p w:rsidR="00B534F8" w:rsidRPr="00D31CBF" w:rsidP="00B534F8">
      <w:pPr>
        <w:spacing w:after="120" w:line="360" w:lineRule="auto"/>
        <w:jc w:val="both"/>
        <w:rPr>
          <w:rFonts w:ascii="Times New Roman" w:hAnsi="Times New Roman" w:cs="Times New Roman"/>
        </w:rPr>
      </w:pPr>
      <w:r>
        <w:rPr>
          <w:rFonts w:ascii="Times New Roman" w:hAnsi="Times New Roman" w:cs="Times New Roman"/>
        </w:rPr>
        <w:tab/>
        <w:t>Stav zahraničného štátneho dlhu a jeho medziročnú zmenu charakterizuje tento prehľad</w:t>
      </w:r>
      <w:r w:rsidR="00C6741A">
        <w:rPr>
          <w:rFonts w:ascii="Times New Roman" w:hAnsi="Times New Roman" w:cs="Times New Roman"/>
        </w:rPr>
        <w:t xml:space="preserve"> (v mil. Sk)</w:t>
      </w:r>
      <w:r>
        <w:rPr>
          <w:rFonts w:ascii="Times New Roman" w:hAnsi="Times New Roman" w:cs="Times New Roman"/>
        </w:rPr>
        <w:t xml:space="preserve">: </w:t>
      </w:r>
    </w:p>
    <w:tbl>
      <w:tblPr>
        <w:tblW w:w="9015" w:type="dxa"/>
        <w:tblInd w:w="55"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CellMar>
          <w:left w:w="70" w:type="dxa"/>
          <w:right w:w="70" w:type="dxa"/>
        </w:tblCellMar>
      </w:tblPr>
      <w:tblGrid>
        <w:gridCol w:w="5178"/>
        <w:gridCol w:w="1317"/>
        <w:gridCol w:w="1285"/>
        <w:gridCol w:w="1235"/>
      </w:tblGrid>
      <w:tr>
        <w:tblPrEx>
          <w:tblW w:w="9015" w:type="dxa"/>
          <w:tblInd w:w="55"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CellMar>
            <w:left w:w="70" w:type="dxa"/>
            <w:right w:w="70" w:type="dxa"/>
          </w:tblCellMar>
        </w:tblPrEx>
        <w:trPr>
          <w:trHeight w:hRule="exact" w:val="567"/>
        </w:trPr>
        <w:tc>
          <w:tcPr>
            <w:tcW w:w="5178"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B534F8" w:rsidRPr="00D66D2B" w:rsidP="006202D9">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Položka pasív</w:t>
            </w:r>
          </w:p>
        </w:tc>
        <w:tc>
          <w:tcPr>
            <w:tcW w:w="1317"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B534F8" w:rsidRPr="00D66D2B" w:rsidP="006202D9">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Stav</w:t>
            </w:r>
          </w:p>
          <w:p w:rsidR="00B534F8" w:rsidRPr="00D66D2B" w:rsidP="006202D9">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k 31.12.2005</w:t>
            </w:r>
          </w:p>
        </w:tc>
        <w:tc>
          <w:tcPr>
            <w:tcW w:w="1285"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B534F8" w:rsidRPr="00D66D2B" w:rsidP="006202D9">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Stav</w:t>
            </w:r>
          </w:p>
          <w:p w:rsidR="00B534F8" w:rsidRPr="00D66D2B" w:rsidP="006202D9">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k 31.12.2006</w:t>
            </w:r>
          </w:p>
        </w:tc>
        <w:tc>
          <w:tcPr>
            <w:tcW w:w="1235"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B534F8" w:rsidRPr="00D66D2B" w:rsidP="006202D9">
            <w:pPr>
              <w:jc w:val="cente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Zmena</w:t>
            </w:r>
          </w:p>
        </w:tc>
      </w:tr>
      <w:tr>
        <w:tblPrEx>
          <w:tblW w:w="9015" w:type="dxa"/>
          <w:tblInd w:w="55" w:type="dxa"/>
          <w:tblCellMar>
            <w:left w:w="70" w:type="dxa"/>
            <w:right w:w="70" w:type="dxa"/>
          </w:tblCellMar>
        </w:tblPrEx>
        <w:trPr>
          <w:trHeight w:val="70"/>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Vládne záväzky voči zahraničiu – pôžičky</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10 043,9</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8 633,2</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-1 410,7</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Pôžička EFSAL od IBRD</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7 648,5</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7 021,4</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-627,1</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Pôžička SAL od JEXIM BANK</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236,8</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0,00</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-236,8</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Pôžička ERL od JEXIM BANK</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640,0</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426,6</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-213,4</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Pôžička RUK BA od RB RE</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107,5</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90,6</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-16,9</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Pôžička PRVF od IBRD</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85,8</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102,8</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17,0</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Pôžička PRSD od IBRD</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159,0</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157,9</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-1,1</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Pôžička TEZSS od RB RE</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166,4</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169,1</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2,7</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00C6741A">
              <w:rPr>
                <w:rFonts w:ascii="Times New Roman" w:hAnsi="Times New Roman" w:cs="Times New Roman"/>
                <w:color w:val="000000"/>
                <w:sz w:val="20"/>
                <w:szCs w:val="20"/>
              </w:rPr>
              <w:t>Pôžička SEC</w:t>
            </w:r>
            <w:r w:rsidRPr="00D66D2B">
              <w:rPr>
                <w:rFonts w:ascii="Times New Roman" w:hAnsi="Times New Roman" w:cs="Times New Roman"/>
                <w:color w:val="000000"/>
                <w:sz w:val="20"/>
                <w:szCs w:val="20"/>
              </w:rPr>
              <w:t>AL od IBRD</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852,7</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432,9</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-419,8</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Pôžička TAL od IBRD</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146,2</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201,4</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55,2</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Pôžička PTĽK/HCTA od IBRD</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1,0</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30,5</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29,5</w:t>
            </w:r>
          </w:p>
        </w:tc>
      </w:tr>
      <w:tr>
        <w:tblPrEx>
          <w:tblW w:w="9015" w:type="dxa"/>
          <w:tblInd w:w="55" w:type="dxa"/>
          <w:tblCellMar>
            <w:left w:w="70" w:type="dxa"/>
            <w:right w:w="70" w:type="dxa"/>
          </w:tblCellMar>
        </w:tblPrEx>
        <w:trPr>
          <w:trHeight w:val="60"/>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Zahraničné záväzky prevzaté od ČSOB</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153,9</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136,1</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-17,8</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i/>
                <w:iCs/>
                <w:color w:val="000000"/>
                <w:sz w:val="20"/>
                <w:szCs w:val="20"/>
              </w:rPr>
            </w:pPr>
            <w:r w:rsidRPr="00D66D2B">
              <w:rPr>
                <w:rFonts w:ascii="Times New Roman" w:hAnsi="Times New Roman" w:cs="Times New Roman"/>
                <w:i/>
                <w:iCs/>
                <w:color w:val="000000"/>
                <w:sz w:val="20"/>
                <w:szCs w:val="20"/>
              </w:rPr>
              <w:t>Záväzky v nekonvertibilných menách</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i/>
                <w:iCs/>
                <w:color w:val="000000"/>
                <w:sz w:val="20"/>
                <w:szCs w:val="20"/>
              </w:rPr>
            </w:pPr>
            <w:r w:rsidRPr="00D66D2B">
              <w:rPr>
                <w:rFonts w:ascii="Times New Roman" w:hAnsi="Times New Roman" w:cs="Times New Roman"/>
                <w:i/>
                <w:iCs/>
                <w:color w:val="000000"/>
                <w:sz w:val="20"/>
                <w:szCs w:val="20"/>
              </w:rPr>
              <w:t>153,9</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center"/>
              <w:rPr>
                <w:rFonts w:ascii="Times New Roman" w:hAnsi="Times New Roman" w:cs="Times New Roman"/>
                <w:i/>
                <w:iCs/>
                <w:color w:val="000000"/>
                <w:sz w:val="20"/>
                <w:szCs w:val="20"/>
              </w:rPr>
            </w:pPr>
            <w:r w:rsidRPr="00D66D2B">
              <w:rPr>
                <w:rFonts w:ascii="Times New Roman" w:hAnsi="Times New Roman" w:cs="Times New Roman"/>
                <w:i/>
                <w:iCs/>
                <w:color w:val="000000"/>
                <w:sz w:val="20"/>
                <w:szCs w:val="20"/>
              </w:rPr>
              <w:t xml:space="preserve">             136,1</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-17,8</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Čína</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147,9</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131,2</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-16,7</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Irán</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6,0</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4,9</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-1,1</w:t>
            </w:r>
          </w:p>
        </w:tc>
      </w:tr>
      <w:tr>
        <w:tblPrEx>
          <w:tblW w:w="9015" w:type="dxa"/>
          <w:tblInd w:w="55" w:type="dxa"/>
          <w:tblCellMar>
            <w:left w:w="70" w:type="dxa"/>
            <w:right w:w="70" w:type="dxa"/>
          </w:tblCellMar>
        </w:tblPrEx>
        <w:trPr>
          <w:trHeight w:val="154"/>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Záväzky voči podnikom zo zahraničných vládnych úverov</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80,6</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31,7</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-48,9</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i/>
                <w:iCs/>
                <w:color w:val="000000"/>
                <w:sz w:val="20"/>
                <w:szCs w:val="20"/>
              </w:rPr>
            </w:pPr>
            <w:r w:rsidRPr="00D66D2B">
              <w:rPr>
                <w:rFonts w:ascii="Times New Roman" w:hAnsi="Times New Roman" w:cs="Times New Roman"/>
                <w:i/>
                <w:iCs/>
                <w:color w:val="000000"/>
                <w:sz w:val="20"/>
                <w:szCs w:val="20"/>
              </w:rPr>
              <w:t>Záväzky VÚ civil – OZO</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i/>
                <w:iCs/>
                <w:color w:val="000000"/>
                <w:sz w:val="20"/>
                <w:szCs w:val="20"/>
              </w:rPr>
            </w:pPr>
            <w:r w:rsidRPr="00D66D2B">
              <w:rPr>
                <w:rFonts w:ascii="Times New Roman" w:hAnsi="Times New Roman" w:cs="Times New Roman"/>
                <w:i/>
                <w:iCs/>
                <w:color w:val="000000"/>
                <w:sz w:val="20"/>
                <w:szCs w:val="20"/>
              </w:rPr>
              <w:t>24,6</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i/>
                <w:iCs/>
                <w:color w:val="000000"/>
                <w:sz w:val="20"/>
                <w:szCs w:val="20"/>
              </w:rPr>
            </w:pPr>
            <w:r w:rsidRPr="00D66D2B">
              <w:rPr>
                <w:rFonts w:ascii="Times New Roman" w:hAnsi="Times New Roman" w:cs="Times New Roman"/>
                <w:i/>
                <w:iCs/>
                <w:color w:val="000000"/>
                <w:sz w:val="20"/>
                <w:szCs w:val="20"/>
              </w:rPr>
              <w:t>7,7</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-16,9</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Alžírsko ( Trade Servis, bývalý TECHNOPOL )</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24,6</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7,7</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-16,9</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i/>
                <w:iCs/>
                <w:color w:val="000000"/>
                <w:sz w:val="20"/>
                <w:szCs w:val="20"/>
              </w:rPr>
            </w:pPr>
            <w:r w:rsidRPr="00D66D2B">
              <w:rPr>
                <w:rFonts w:ascii="Times New Roman" w:hAnsi="Times New Roman" w:cs="Times New Roman"/>
                <w:i/>
                <w:iCs/>
                <w:color w:val="000000"/>
                <w:sz w:val="20"/>
                <w:szCs w:val="20"/>
              </w:rPr>
              <w:t>Záväzky - špeciál – úvery</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i/>
                <w:iCs/>
                <w:color w:val="000000"/>
                <w:sz w:val="20"/>
                <w:szCs w:val="20"/>
              </w:rPr>
            </w:pPr>
            <w:r w:rsidRPr="00D66D2B">
              <w:rPr>
                <w:rFonts w:ascii="Times New Roman" w:hAnsi="Times New Roman" w:cs="Times New Roman"/>
                <w:i/>
                <w:iCs/>
                <w:color w:val="000000"/>
                <w:sz w:val="20"/>
                <w:szCs w:val="20"/>
              </w:rPr>
              <w:t>56,0</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i/>
                <w:iCs/>
                <w:color w:val="000000"/>
                <w:sz w:val="20"/>
                <w:szCs w:val="20"/>
              </w:rPr>
            </w:pPr>
            <w:r w:rsidRPr="00D66D2B">
              <w:rPr>
                <w:rFonts w:ascii="Times New Roman" w:hAnsi="Times New Roman" w:cs="Times New Roman"/>
                <w:i/>
                <w:iCs/>
                <w:color w:val="000000"/>
                <w:sz w:val="20"/>
                <w:szCs w:val="20"/>
              </w:rPr>
              <w:t>24,0</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-32,0</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VÚ špeciál v USD</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56,0</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24,0</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-32,0</w:t>
            </w:r>
          </w:p>
        </w:tc>
      </w:tr>
      <w:tr>
        <w:tblPrEx>
          <w:tblW w:w="9015" w:type="dxa"/>
          <w:tblInd w:w="55" w:type="dxa"/>
          <w:tblCellMar>
            <w:left w:w="70" w:type="dxa"/>
            <w:right w:w="70" w:type="dxa"/>
          </w:tblCellMar>
        </w:tblPrEx>
        <w:trPr>
          <w:trHeight w:val="180"/>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Matra Communication – úver</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470,4</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143,3</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-327,1</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Tovarový úver</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470,4</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143,3</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-327,1</w:t>
            </w:r>
          </w:p>
        </w:tc>
      </w:tr>
      <w:tr>
        <w:tblPrEx>
          <w:tblW w:w="9015" w:type="dxa"/>
          <w:tblInd w:w="55" w:type="dxa"/>
          <w:tblCellMar>
            <w:left w:w="70" w:type="dxa"/>
            <w:right w:w="70" w:type="dxa"/>
          </w:tblCellMar>
        </w:tblPrEx>
        <w:trPr>
          <w:trHeight w:val="132"/>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Záväzky vyplývajúce z úverových vzťahov ŠFCH</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11 897,3</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4 835,7</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-7 061,6</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Európska banka pre obnovu a rozvoj – EBOR</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119,4</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0,00</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-119,4</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Európska investičná banka I – EIB I</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57,6</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17,5</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-40,1</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Európska investičná banka II – EIB II</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674,0</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527,7</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-146,3</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Európska investičná banka III – EIB III</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1 936,7</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1 516,4</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-420,3</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Európska investičná banka IV – EIB IV</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1 264,4</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1 080,5</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-183,9</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Kreditanstalt für Wiederaufbau I - KfW I</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557,8</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0,00</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-557,8</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Kreditanstalt für Wiederaufbau II – KfW II</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668,8</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0,00</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-668,8</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Kreditanstalt für Wiederaufbau III – KfW III</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192,8</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0,00</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-192,8</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Credit Suisse First Boston I - CSFB I</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4 653,2</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0,00</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-4 653,2</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Japan Bank for International Cooperation – JBIC</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1 772,6</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1 693,6</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-79,0</w:t>
            </w:r>
          </w:p>
        </w:tc>
      </w:tr>
      <w:tr>
        <w:tblPrEx>
          <w:tblW w:w="9015" w:type="dxa"/>
          <w:tblInd w:w="55" w:type="dxa"/>
          <w:tblCellMar>
            <w:left w:w="70" w:type="dxa"/>
            <w:right w:w="70" w:type="dxa"/>
          </w:tblCellMar>
        </w:tblPrEx>
        <w:trPr>
          <w:trHeight w:val="172"/>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Záväzky vyplývajúce zo zmluvy medzi MF SR a EIB</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4 908,3</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5 286,3</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378,0</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 xml:space="preserve"> Európská investičná banka - EIB V</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766,2</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944,5</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178,3</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 xml:space="preserve"> Európská investičná banka - EIB VI</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268,5</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455,0</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186,5</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 xml:space="preserve"> Európská investičná banka - EIB VII</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3 646,1</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3 330,6</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-315,5</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8"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 xml:space="preserve"> Európská investičná banka - EIB VIII</w:t>
            </w:r>
          </w:p>
        </w:tc>
        <w:tc>
          <w:tcPr>
            <w:tcW w:w="1317" w:type="dxa"/>
            <w:tcBorders>
              <w:top w:val="single" w:sz="4" w:space="0" w:color="auto"/>
              <w:left w:val="single" w:sz="4" w:space="0" w:color="auto"/>
              <w:bottom w:val="single" w:sz="8"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227,5</w:t>
            </w:r>
          </w:p>
        </w:tc>
        <w:tc>
          <w:tcPr>
            <w:tcW w:w="1285" w:type="dxa"/>
            <w:tcBorders>
              <w:top w:val="single" w:sz="4" w:space="0" w:color="auto"/>
              <w:left w:val="single" w:sz="4" w:space="0" w:color="auto"/>
              <w:bottom w:val="single" w:sz="8"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556,2</w:t>
            </w:r>
          </w:p>
        </w:tc>
        <w:tc>
          <w:tcPr>
            <w:tcW w:w="1235" w:type="dxa"/>
            <w:tcBorders>
              <w:top w:val="single" w:sz="4" w:space="0" w:color="auto"/>
              <w:left w:val="single" w:sz="4" w:space="0" w:color="auto"/>
              <w:bottom w:val="single" w:sz="8"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328,7</w:t>
            </w:r>
          </w:p>
        </w:tc>
      </w:tr>
      <w:tr>
        <w:tblPrEx>
          <w:tblW w:w="9015" w:type="dxa"/>
          <w:tblInd w:w="55" w:type="dxa"/>
          <w:tblCellMar>
            <w:left w:w="70" w:type="dxa"/>
            <w:right w:w="70" w:type="dxa"/>
          </w:tblCellMar>
        </w:tblPrEx>
        <w:trPr>
          <w:trHeight w:val="196"/>
        </w:trPr>
        <w:tc>
          <w:tcPr>
            <w:tcW w:w="5178"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Záv. vyplývajúce z prevzatia úverov od ŽSR a ŽS, a.s.</w:t>
            </w:r>
          </w:p>
        </w:tc>
        <w:tc>
          <w:tcPr>
            <w:tcW w:w="1317"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6 532,3</w:t>
            </w:r>
          </w:p>
        </w:tc>
        <w:tc>
          <w:tcPr>
            <w:tcW w:w="1285"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5 265,1</w:t>
            </w:r>
          </w:p>
        </w:tc>
        <w:tc>
          <w:tcPr>
            <w:tcW w:w="1235"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-1 267,2</w:t>
            </w:r>
          </w:p>
        </w:tc>
      </w:tr>
      <w:tr>
        <w:tblPrEx>
          <w:tblW w:w="9015" w:type="dxa"/>
          <w:tblInd w:w="55" w:type="dxa"/>
          <w:tblCellMar>
            <w:left w:w="70" w:type="dxa"/>
            <w:right w:w="70" w:type="dxa"/>
          </w:tblCellMar>
        </w:tblPrEx>
        <w:trPr>
          <w:trHeight w:val="315"/>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Prevz. záv. od ŽSR a Žsp a.s. voči EIB</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6 532,3</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5 265,1</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-1 267,2</w:t>
            </w:r>
          </w:p>
        </w:tc>
      </w:tr>
      <w:tr>
        <w:tblPrEx>
          <w:tblW w:w="9015" w:type="dxa"/>
          <w:tblInd w:w="55" w:type="dxa"/>
          <w:tblCellMar>
            <w:left w:w="70" w:type="dxa"/>
            <w:right w:w="70" w:type="dxa"/>
          </w:tblCellMar>
        </w:tblPrEx>
        <w:trPr>
          <w:trHeight w:val="60"/>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Záväzky prevzaté od EIB</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0,00</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1 605,1</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1 605,1</w:t>
            </w:r>
          </w:p>
        </w:tc>
      </w:tr>
      <w:tr>
        <w:tblPrEx>
          <w:tblW w:w="9015" w:type="dxa"/>
          <w:tblInd w:w="55" w:type="dxa"/>
          <w:tblCellMar>
            <w:left w:w="70" w:type="dxa"/>
            <w:right w:w="70" w:type="dxa"/>
          </w:tblCellMar>
        </w:tblPrEx>
        <w:trPr>
          <w:trHeight w:val="300"/>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b/>
                <w:bCs/>
                <w:color w:val="000000"/>
                <w:sz w:val="20"/>
                <w:szCs w:val="20"/>
              </w:rPr>
            </w:pPr>
            <w:r w:rsidRPr="00D66D2B">
              <w:rPr>
                <w:rFonts w:ascii="Times New Roman" w:hAnsi="Times New Roman" w:cs="Times New Roman"/>
                <w:color w:val="000000"/>
                <w:sz w:val="20"/>
                <w:szCs w:val="20"/>
              </w:rPr>
              <w:t>Prevz. záv. od sp.METRO a.s. voči  EIB</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0,00</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1 605,1</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bCs/>
                <w:color w:val="000000"/>
                <w:sz w:val="20"/>
                <w:szCs w:val="20"/>
              </w:rPr>
            </w:pPr>
            <w:r w:rsidRPr="00D66D2B">
              <w:rPr>
                <w:rFonts w:ascii="Times New Roman" w:hAnsi="Times New Roman" w:cs="Times New Roman"/>
                <w:bCs/>
                <w:color w:val="000000"/>
                <w:sz w:val="20"/>
                <w:szCs w:val="20"/>
              </w:rPr>
              <w:t>1 605,1</w:t>
            </w:r>
          </w:p>
        </w:tc>
      </w:tr>
      <w:tr>
        <w:tblPrEx>
          <w:tblW w:w="9015" w:type="dxa"/>
          <w:tblInd w:w="55" w:type="dxa"/>
          <w:tblCellMar>
            <w:left w:w="70" w:type="dxa"/>
            <w:right w:w="70" w:type="dxa"/>
          </w:tblCellMar>
        </w:tblPrEx>
        <w:trPr>
          <w:trHeight w:val="128"/>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Štátne dlhopisy v</w:t>
            </w:r>
            <w:r w:rsidR="00AD263C">
              <w:rPr>
                <w:rFonts w:ascii="Times New Roman" w:hAnsi="Times New Roman" w:cs="Times New Roman"/>
                <w:b/>
                <w:bCs/>
                <w:color w:val="000000"/>
                <w:sz w:val="20"/>
                <w:szCs w:val="20"/>
              </w:rPr>
              <w:t> </w:t>
            </w:r>
            <w:r w:rsidRPr="00D66D2B">
              <w:rPr>
                <w:rFonts w:ascii="Times New Roman" w:hAnsi="Times New Roman" w:cs="Times New Roman"/>
                <w:b/>
                <w:bCs/>
                <w:color w:val="000000"/>
                <w:sz w:val="20"/>
                <w:szCs w:val="20"/>
              </w:rPr>
              <w:t>zahraničí</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59 655,0</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89 032,3</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29 377,3</w:t>
            </w:r>
          </w:p>
        </w:tc>
      </w:tr>
      <w:tr>
        <w:tblPrEx>
          <w:tblW w:w="9015" w:type="dxa"/>
          <w:tblInd w:w="55" w:type="dxa"/>
          <w:tblCellMar>
            <w:left w:w="70" w:type="dxa"/>
            <w:right w:w="70" w:type="dxa"/>
          </w:tblCellMar>
        </w:tblPrEx>
        <w:trPr>
          <w:trHeight w:hRule="exact" w:val="397"/>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Záväzok z istiny zo zahr. ŠD emit. v roku 2000 – EUR</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20 294,5</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18 180,5</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-2 114,0</w:t>
            </w:r>
          </w:p>
        </w:tc>
      </w:tr>
      <w:tr>
        <w:tblPrEx>
          <w:tblW w:w="9015" w:type="dxa"/>
          <w:tblInd w:w="55" w:type="dxa"/>
          <w:tblCellMar>
            <w:left w:w="70" w:type="dxa"/>
            <w:right w:w="70" w:type="dxa"/>
          </w:tblCellMar>
        </w:tblPrEx>
        <w:trPr>
          <w:trHeight w:hRule="exact" w:val="397"/>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Záväzok z istiny zo zahr. ŠD emit. v roku 2004 – EUR</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39 360,5</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35 389,1</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-3 971,4</w:t>
            </w:r>
          </w:p>
        </w:tc>
      </w:tr>
      <w:tr>
        <w:tblPrEx>
          <w:tblW w:w="9015" w:type="dxa"/>
          <w:tblInd w:w="55" w:type="dxa"/>
          <w:tblCellMar>
            <w:left w:w="70" w:type="dxa"/>
            <w:right w:w="70" w:type="dxa"/>
          </w:tblCellMar>
        </w:tblPrEx>
        <w:trPr>
          <w:trHeight w:val="300"/>
        </w:trPr>
        <w:tc>
          <w:tcPr>
            <w:tcW w:w="5178"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color w:val="000000"/>
                <w:sz w:val="20"/>
                <w:szCs w:val="20"/>
              </w:rPr>
            </w:pPr>
            <w:r w:rsidRPr="00D66D2B">
              <w:rPr>
                <w:rFonts w:ascii="Times New Roman" w:hAnsi="Times New Roman" w:cs="Times New Roman"/>
                <w:color w:val="000000"/>
                <w:sz w:val="20"/>
                <w:szCs w:val="20"/>
              </w:rPr>
              <w:t>Záväzok z istiny zo zahr. ŠD emit. v roku 2006 – EUR</w:t>
            </w:r>
          </w:p>
        </w:tc>
        <w:tc>
          <w:tcPr>
            <w:tcW w:w="13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35 462,7</w:t>
            </w:r>
          </w:p>
        </w:tc>
        <w:tc>
          <w:tcPr>
            <w:tcW w:w="1235"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color w:val="000000"/>
                <w:sz w:val="20"/>
                <w:szCs w:val="20"/>
              </w:rPr>
            </w:pPr>
            <w:r w:rsidRPr="00D66D2B">
              <w:rPr>
                <w:rFonts w:ascii="Times New Roman" w:hAnsi="Times New Roman" w:cs="Times New Roman"/>
                <w:color w:val="000000"/>
                <w:sz w:val="20"/>
                <w:szCs w:val="20"/>
              </w:rPr>
              <w:t>35 462,7</w:t>
            </w:r>
          </w:p>
        </w:tc>
      </w:tr>
      <w:tr>
        <w:tblPrEx>
          <w:tblW w:w="9015" w:type="dxa"/>
          <w:tblInd w:w="55" w:type="dxa"/>
          <w:tblCellMar>
            <w:left w:w="70" w:type="dxa"/>
            <w:right w:w="70" w:type="dxa"/>
          </w:tblCellMar>
        </w:tblPrEx>
        <w:trPr>
          <w:trHeight w:val="300"/>
        </w:trPr>
        <w:tc>
          <w:tcPr>
            <w:tcW w:w="5178" w:type="dxa"/>
            <w:tcBorders>
              <w:top w:val="single" w:sz="4" w:space="0" w:color="auto"/>
              <w:left w:val="single" w:sz="8" w:space="0" w:color="auto"/>
              <w:bottom w:val="double" w:sz="6" w:space="0" w:color="auto"/>
              <w:right w:val="single" w:sz="4" w:space="0" w:color="auto"/>
              <w:tl2br w:val="nil"/>
              <w:tr2bl w:val="nil"/>
            </w:tcBorders>
            <w:textDirection w:val="lrTb"/>
            <w:vAlign w:val="center"/>
          </w:tcPr>
          <w:p w:rsidR="00B534F8" w:rsidRPr="00D66D2B" w:rsidP="00B534F8">
            <w:pPr>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Zahraničný štátny dlh spolu</w:t>
            </w:r>
          </w:p>
        </w:tc>
        <w:tc>
          <w:tcPr>
            <w:tcW w:w="1317"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93 741,7</w:t>
            </w:r>
          </w:p>
        </w:tc>
        <w:tc>
          <w:tcPr>
            <w:tcW w:w="1285"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114 968,8</w:t>
            </w:r>
          </w:p>
        </w:tc>
        <w:tc>
          <w:tcPr>
            <w:tcW w:w="1235" w:type="dxa"/>
            <w:tcBorders>
              <w:top w:val="single" w:sz="4" w:space="0" w:color="auto"/>
              <w:left w:val="single" w:sz="4" w:space="0" w:color="auto"/>
              <w:bottom w:val="double" w:sz="6" w:space="0" w:color="auto"/>
              <w:right w:val="single" w:sz="8" w:space="0" w:color="auto"/>
              <w:tl2br w:val="nil"/>
              <w:tr2bl w:val="nil"/>
            </w:tcBorders>
            <w:textDirection w:val="lrTb"/>
            <w:vAlign w:val="center"/>
          </w:tcPr>
          <w:p w:rsidR="00B534F8" w:rsidRPr="00D66D2B" w:rsidP="00B534F8">
            <w:pPr>
              <w:jc w:val="right"/>
              <w:rPr>
                <w:rFonts w:ascii="Times New Roman" w:hAnsi="Times New Roman" w:cs="Times New Roman"/>
                <w:b/>
                <w:bCs/>
                <w:color w:val="000000"/>
                <w:sz w:val="20"/>
                <w:szCs w:val="20"/>
              </w:rPr>
            </w:pPr>
            <w:r w:rsidRPr="00D66D2B">
              <w:rPr>
                <w:rFonts w:ascii="Times New Roman" w:hAnsi="Times New Roman" w:cs="Times New Roman"/>
                <w:b/>
                <w:bCs/>
                <w:color w:val="000000"/>
                <w:sz w:val="20"/>
                <w:szCs w:val="20"/>
              </w:rPr>
              <w:t>21 227,1</w:t>
            </w:r>
          </w:p>
        </w:tc>
      </w:tr>
    </w:tbl>
    <w:p w:rsidR="00B534F8" w:rsidRPr="00D66D2B" w:rsidP="00B534F8">
      <w:pPr>
        <w:spacing w:before="120" w:line="360" w:lineRule="auto"/>
        <w:rPr>
          <w:rFonts w:ascii="Times New Roman" w:hAnsi="Times New Roman" w:cs="Times New Roman"/>
          <w:sz w:val="20"/>
          <w:szCs w:val="20"/>
        </w:rPr>
      </w:pPr>
      <w:r w:rsidRPr="00D66D2B">
        <w:rPr>
          <w:rFonts w:ascii="Times New Roman" w:hAnsi="Times New Roman" w:cs="Times New Roman"/>
          <w:sz w:val="20"/>
          <w:szCs w:val="20"/>
        </w:rPr>
        <w:t>Zdroj: Ministerstvo financií SR</w:t>
      </w:r>
    </w:p>
    <w:p w:rsidR="00B534F8" w:rsidP="00B534F8">
      <w:pPr>
        <w:spacing w:line="360" w:lineRule="auto"/>
        <w:jc w:val="both"/>
        <w:rPr>
          <w:rFonts w:ascii="Times New Roman" w:hAnsi="Times New Roman" w:cs="Times New Roman"/>
        </w:rPr>
      </w:pPr>
      <w:r>
        <w:rPr>
          <w:rFonts w:ascii="Times New Roman" w:hAnsi="Times New Roman" w:cs="Times New Roman"/>
        </w:rPr>
        <w:tab/>
        <w:t>Zahraničný štátny dlh z pôžičiek od zahraničných bánk sa v priebehu roka znížil o 1 410,7 mil. Sk.  Toto zníženie štátneho dlhu  bolo spôsobené zrealizovanými splátkami úverov v sume 815,8 mil. Sk, čerpaním nových tranží úverov v sume 266,6 mil. Sk, debetnými kurzovými rozdielmi 890,1 mil. Sk a časovým rozlíšením úrokov  28,9 mil. Sk.</w:t>
      </w:r>
    </w:p>
    <w:p w:rsidR="00B534F8" w:rsidP="00B534F8">
      <w:pPr>
        <w:spacing w:line="360" w:lineRule="auto"/>
        <w:jc w:val="both"/>
        <w:rPr>
          <w:rFonts w:ascii="Times New Roman" w:hAnsi="Times New Roman" w:cs="Times New Roman"/>
        </w:rPr>
      </w:pPr>
      <w:r>
        <w:rPr>
          <w:rFonts w:ascii="Times New Roman" w:hAnsi="Times New Roman" w:cs="Times New Roman"/>
        </w:rPr>
        <w:tab/>
        <w:t>V priebehu roka v týchto záväzkoch nastali tieto zmeny:</w:t>
      </w:r>
    </w:p>
    <w:p w:rsidR="00B534F8" w:rsidP="00B534F8">
      <w:pPr>
        <w:numPr>
          <w:ilvl w:val="0"/>
          <w:numId w:val="47"/>
        </w:numPr>
        <w:tabs>
          <w:tab w:val="left" w:pos="720"/>
        </w:tabs>
        <w:spacing w:line="360" w:lineRule="auto"/>
        <w:jc w:val="both"/>
        <w:rPr>
          <w:rFonts w:ascii="Times New Roman" w:hAnsi="Times New Roman" w:cs="Times New Roman"/>
        </w:rPr>
      </w:pPr>
      <w:r>
        <w:rPr>
          <w:rFonts w:ascii="Times New Roman" w:hAnsi="Times New Roman" w:cs="Times New Roman"/>
        </w:rPr>
        <w:t>záväzky z pôžičky EFSAL od IBRD sa znížili o 627,1 mil. Sk. Toto zníženie záväzku bolo spôsobené debetnými kurzovými rozdielmi 655,7 mil. Sk a predpisom akruálnych úrokov 28,6 mil. Sk,</w:t>
      </w:r>
    </w:p>
    <w:p w:rsidR="00B534F8" w:rsidP="00B534F8">
      <w:pPr>
        <w:numPr>
          <w:ilvl w:val="0"/>
          <w:numId w:val="47"/>
        </w:numPr>
        <w:tabs>
          <w:tab w:val="left" w:pos="720"/>
        </w:tabs>
        <w:spacing w:line="360" w:lineRule="auto"/>
        <w:jc w:val="both"/>
        <w:rPr>
          <w:rFonts w:ascii="Times New Roman" w:hAnsi="Times New Roman" w:cs="Times New Roman"/>
        </w:rPr>
      </w:pPr>
      <w:r>
        <w:rPr>
          <w:rFonts w:ascii="Times New Roman" w:hAnsi="Times New Roman" w:cs="Times New Roman"/>
        </w:rPr>
        <w:t>záväzky z pôžičky SAL od JEXIM BANK sa znížili o 236,8 mil. Sk vplyvom splátky istín vo výške 227,7 mil. Sk a kurzovými debetnými rozdielmi 9,1 mil. Sk,</w:t>
      </w:r>
    </w:p>
    <w:p w:rsidR="00B534F8" w:rsidP="00B534F8">
      <w:pPr>
        <w:numPr>
          <w:ilvl w:val="0"/>
          <w:numId w:val="47"/>
        </w:numPr>
        <w:tabs>
          <w:tab w:val="left" w:pos="720"/>
        </w:tabs>
        <w:spacing w:line="360" w:lineRule="auto"/>
        <w:jc w:val="both"/>
        <w:rPr>
          <w:rFonts w:ascii="Times New Roman" w:hAnsi="Times New Roman" w:cs="Times New Roman"/>
        </w:rPr>
      </w:pPr>
      <w:r>
        <w:rPr>
          <w:rFonts w:ascii="Times New Roman" w:hAnsi="Times New Roman" w:cs="Times New Roman"/>
        </w:rPr>
        <w:t>záväzok z pôžičky  ERL od JEXIM BANK sa znížil o 213,4 mil. Sk vplyvom splátky istín 111,0 mil. Sk a debetnými kurzovými rozdielmi 102,4 mil. Sk,</w:t>
      </w:r>
    </w:p>
    <w:p w:rsidR="00B534F8" w:rsidP="00B534F8">
      <w:pPr>
        <w:numPr>
          <w:ilvl w:val="0"/>
          <w:numId w:val="47"/>
        </w:numPr>
        <w:tabs>
          <w:tab w:val="left" w:pos="720"/>
        </w:tabs>
        <w:spacing w:line="360" w:lineRule="auto"/>
        <w:jc w:val="both"/>
        <w:rPr>
          <w:rFonts w:ascii="Times New Roman" w:hAnsi="Times New Roman" w:cs="Times New Roman"/>
        </w:rPr>
      </w:pPr>
      <w:r>
        <w:rPr>
          <w:rFonts w:ascii="Times New Roman" w:hAnsi="Times New Roman" w:cs="Times New Roman"/>
        </w:rPr>
        <w:t>záväzok z pôžičky RUK BA od RB RE sa znížil o 16,9 mil. Sk vplyvom splátky istín 8,1 mil. Sk a debetnými kurzovými rozdielmi 8,8 mil. Sk,</w:t>
      </w:r>
    </w:p>
    <w:p w:rsidR="00B534F8" w:rsidP="00B534F8">
      <w:pPr>
        <w:numPr>
          <w:ilvl w:val="0"/>
          <w:numId w:val="47"/>
        </w:numPr>
        <w:tabs>
          <w:tab w:val="left" w:pos="720"/>
        </w:tabs>
        <w:spacing w:line="360" w:lineRule="auto"/>
        <w:jc w:val="both"/>
        <w:rPr>
          <w:rFonts w:ascii="Times New Roman" w:hAnsi="Times New Roman" w:cs="Times New Roman"/>
        </w:rPr>
      </w:pPr>
      <w:r>
        <w:rPr>
          <w:rFonts w:ascii="Times New Roman" w:hAnsi="Times New Roman" w:cs="Times New Roman"/>
        </w:rPr>
        <w:t>záväzok z pôžičky PRVF od IBRD sa zvýšil o 17,0 mil. Sk vplyvom čerpania úveru vo výške 51,0 mil. Sk, splátky úveru 25,2 mil. Sk a debetnými kurzovými rozdielmi 8,9 mil. Sk,</w:t>
      </w:r>
    </w:p>
    <w:p w:rsidR="00B534F8" w:rsidP="00B534F8">
      <w:pPr>
        <w:numPr>
          <w:ilvl w:val="0"/>
          <w:numId w:val="47"/>
        </w:numPr>
        <w:tabs>
          <w:tab w:val="left" w:pos="720"/>
        </w:tabs>
        <w:spacing w:line="360" w:lineRule="auto"/>
        <w:jc w:val="both"/>
        <w:rPr>
          <w:rFonts w:ascii="Times New Roman" w:hAnsi="Times New Roman" w:cs="Times New Roman"/>
        </w:rPr>
      </w:pPr>
      <w:r>
        <w:rPr>
          <w:rFonts w:ascii="Times New Roman" w:hAnsi="Times New Roman" w:cs="Times New Roman"/>
        </w:rPr>
        <w:t>záväzok z pôžičky PRSD od IBRD sa znížil o 1,1mil. Sk vplyvom  čerpania úveru 20,9 mil. Sk, splátky úveru 8,4 mil. Sk a debetnými kurzovými rozdielmi 13,6 mil. Sk,</w:t>
      </w:r>
    </w:p>
    <w:p w:rsidR="00B534F8" w:rsidP="00B534F8">
      <w:pPr>
        <w:numPr>
          <w:ilvl w:val="0"/>
          <w:numId w:val="47"/>
        </w:numPr>
        <w:tabs>
          <w:tab w:val="left" w:pos="720"/>
        </w:tabs>
        <w:spacing w:line="360" w:lineRule="auto"/>
        <w:jc w:val="both"/>
        <w:rPr>
          <w:rFonts w:ascii="Times New Roman" w:hAnsi="Times New Roman" w:cs="Times New Roman"/>
        </w:rPr>
      </w:pPr>
      <w:r>
        <w:rPr>
          <w:rFonts w:ascii="Times New Roman" w:hAnsi="Times New Roman" w:cs="Times New Roman"/>
        </w:rPr>
        <w:t>záväzok z pôžičky TEZSS od RB RE sa zvýšil o 2,7 mil. Sk vplyvom čerpania úveru 20,1 mil. Sk, splátky úveru 3,2 mil. Sk a debetnými kurzovými rozdielmi14,2 mil. Sk,</w:t>
      </w:r>
    </w:p>
    <w:p w:rsidR="00B534F8" w:rsidP="00B534F8">
      <w:pPr>
        <w:numPr>
          <w:ilvl w:val="0"/>
          <w:numId w:val="47"/>
        </w:numPr>
        <w:tabs>
          <w:tab w:val="left" w:pos="720"/>
        </w:tabs>
        <w:spacing w:line="360" w:lineRule="auto"/>
        <w:jc w:val="both"/>
        <w:rPr>
          <w:rFonts w:ascii="Times New Roman" w:hAnsi="Times New Roman" w:cs="Times New Roman"/>
        </w:rPr>
      </w:pPr>
      <w:r>
        <w:rPr>
          <w:rFonts w:ascii="Times New Roman" w:hAnsi="Times New Roman" w:cs="Times New Roman"/>
        </w:rPr>
        <w:t>záväzok z pôžičky SEKAL od IBRD  sa znížil o 419,8 mil. Sk vplyvom splátky istiny 365,1 mil. Sk a debetnými kurzovými rozdielmi 54,4 mil. Sk,</w:t>
      </w:r>
    </w:p>
    <w:p w:rsidR="00B534F8" w:rsidP="00B534F8">
      <w:pPr>
        <w:numPr>
          <w:ilvl w:val="0"/>
          <w:numId w:val="47"/>
        </w:numPr>
        <w:tabs>
          <w:tab w:val="left" w:pos="720"/>
        </w:tabs>
        <w:spacing w:line="360" w:lineRule="auto"/>
        <w:jc w:val="both"/>
        <w:rPr>
          <w:rFonts w:ascii="Times New Roman" w:hAnsi="Times New Roman" w:cs="Times New Roman"/>
        </w:rPr>
      </w:pPr>
      <w:r>
        <w:rPr>
          <w:rFonts w:ascii="Times New Roman" w:hAnsi="Times New Roman" w:cs="Times New Roman"/>
        </w:rPr>
        <w:t>záväzok z pôžičky TAL od IBRD sa zvýšil o 55,2 mil. Sk vplyvom čerpania nového úveru 142,7 mil. Sk, splátky úverov 67,1 mil. Sk a debetnými kurzovými rozdielmi 20,4 mil. Sk,</w:t>
      </w:r>
    </w:p>
    <w:p w:rsidR="00B534F8" w:rsidP="00B534F8">
      <w:pPr>
        <w:numPr>
          <w:ilvl w:val="0"/>
          <w:numId w:val="47"/>
        </w:numPr>
        <w:tabs>
          <w:tab w:val="left" w:pos="720"/>
        </w:tabs>
        <w:spacing w:line="360" w:lineRule="auto"/>
        <w:jc w:val="both"/>
        <w:rPr>
          <w:rFonts w:ascii="Times New Roman" w:hAnsi="Times New Roman" w:cs="Times New Roman"/>
        </w:rPr>
      </w:pPr>
      <w:r>
        <w:rPr>
          <w:rFonts w:ascii="Times New Roman" w:hAnsi="Times New Roman" w:cs="Times New Roman"/>
        </w:rPr>
        <w:t>záväzok z pôžičky PTĽK/HCTA od IBRD sa zvýšil o 29,5 mil. Sk vplyvom čerpania úveru 31,8 mil. Sk a debetnými kurzovými rozdielmi 2,3 mil. Sk.</w:t>
      </w:r>
    </w:p>
    <w:p w:rsidR="00B534F8" w:rsidP="00B534F8">
      <w:pPr>
        <w:spacing w:line="360" w:lineRule="auto"/>
        <w:ind w:left="360"/>
        <w:jc w:val="both"/>
        <w:rPr>
          <w:rFonts w:ascii="Times New Roman" w:hAnsi="Times New Roman" w:cs="Times New Roman"/>
        </w:rPr>
      </w:pPr>
    </w:p>
    <w:p w:rsidR="00B534F8" w:rsidP="00B534F8">
      <w:pPr>
        <w:spacing w:line="360" w:lineRule="auto"/>
        <w:ind w:left="360" w:firstLine="348"/>
        <w:jc w:val="both"/>
        <w:rPr>
          <w:rFonts w:ascii="Times New Roman" w:hAnsi="Times New Roman" w:cs="Times New Roman"/>
        </w:rPr>
      </w:pPr>
      <w:r>
        <w:rPr>
          <w:rFonts w:ascii="Times New Roman" w:hAnsi="Times New Roman" w:cs="Times New Roman"/>
        </w:rPr>
        <w:t>V priebehu roka 2006 sa záväzok z úveru Matra Communication od BNP Paríž  znížil o 327,1 mil. Sk splátkou istiny 318,7 mil. Sk a splatnými úrokmi 8,4 mil. Sk.</w:t>
      </w:r>
    </w:p>
    <w:p w:rsidR="00B534F8" w:rsidP="00B534F8">
      <w:pPr>
        <w:spacing w:line="360" w:lineRule="auto"/>
        <w:ind w:left="360" w:firstLine="348"/>
        <w:jc w:val="both"/>
        <w:rPr>
          <w:rFonts w:ascii="Times New Roman" w:hAnsi="Times New Roman" w:cs="Times New Roman"/>
        </w:rPr>
      </w:pPr>
    </w:p>
    <w:p w:rsidR="00B534F8" w:rsidP="00B534F8">
      <w:pPr>
        <w:spacing w:line="360" w:lineRule="auto"/>
        <w:ind w:left="360" w:firstLine="348"/>
        <w:jc w:val="both"/>
        <w:rPr>
          <w:rFonts w:ascii="Times New Roman" w:hAnsi="Times New Roman" w:cs="Times New Roman"/>
        </w:rPr>
      </w:pPr>
      <w:r>
        <w:rPr>
          <w:rFonts w:ascii="Times New Roman" w:hAnsi="Times New Roman" w:cs="Times New Roman"/>
        </w:rPr>
        <w:t>Zahraničné záväzky prevzaté od ČSOB sa medziročne znížili o 17,8 mil. Sk len vplyvom kurzových rozdielov.</w:t>
      </w:r>
    </w:p>
    <w:p w:rsidR="00B534F8" w:rsidP="00B534F8">
      <w:pPr>
        <w:spacing w:line="360" w:lineRule="auto"/>
        <w:ind w:left="360" w:firstLine="348"/>
        <w:jc w:val="both"/>
        <w:rPr>
          <w:rFonts w:ascii="Times New Roman" w:hAnsi="Times New Roman" w:cs="Times New Roman"/>
        </w:rPr>
      </w:pPr>
      <w:r>
        <w:rPr>
          <w:rFonts w:ascii="Times New Roman" w:hAnsi="Times New Roman" w:cs="Times New Roman"/>
        </w:rPr>
        <w:t>Záväzky voči podnikom zo zahraničných vládnych úverov  sa znížili o 48,9 mil. Sk vplyvom  debetných kurzových  rozdielov 8,0 mil. Sk a realizovaných splátok úrokov v sume 40,9 mil. Sk.</w:t>
      </w:r>
    </w:p>
    <w:p w:rsidR="00B534F8" w:rsidP="00B534F8">
      <w:pPr>
        <w:spacing w:line="360" w:lineRule="auto"/>
        <w:ind w:left="360" w:firstLine="348"/>
        <w:jc w:val="both"/>
        <w:rPr>
          <w:rFonts w:ascii="Times New Roman" w:hAnsi="Times New Roman" w:cs="Times New Roman"/>
        </w:rPr>
      </w:pPr>
      <w:r>
        <w:rPr>
          <w:rFonts w:ascii="Times New Roman" w:hAnsi="Times New Roman" w:cs="Times New Roman"/>
        </w:rPr>
        <w:t>Stav zahraničných záväzkov z úverov prevzatých po bývalom Štátnom fonde cestného hospodárstva SR sa v priebehu roka znížil o 7 061,6 mil. Sk. Toto zníženie záväzku bolo spôsobené čerpaním nových tranží úverov v sume 416,6 mil. Sk, splátkami úverov 6 644,6 mil. Sk, debetnými kurzovými rozdielmi 689,2 mil. Sk a znížením predpisu akruálnych úrokov 143,9 mil. Sk.</w:t>
      </w:r>
    </w:p>
    <w:p w:rsidR="00B534F8" w:rsidP="00B534F8">
      <w:pPr>
        <w:spacing w:line="360" w:lineRule="auto"/>
        <w:ind w:left="360" w:firstLine="348"/>
        <w:jc w:val="both"/>
        <w:rPr>
          <w:rFonts w:ascii="Times New Roman" w:hAnsi="Times New Roman" w:cs="Times New Roman"/>
        </w:rPr>
      </w:pPr>
      <w:r>
        <w:rPr>
          <w:rFonts w:ascii="Times New Roman" w:hAnsi="Times New Roman" w:cs="Times New Roman"/>
        </w:rPr>
        <w:t>Záväzky vyplývajúce zo zmlúv medzi MF SR a EIB sa medziročne zvýšili o 378,0 mil. Sk.   V priebehu roka v týchto záväzkoch nastali tieto zmeny:</w:t>
      </w:r>
    </w:p>
    <w:p w:rsidR="00B534F8" w:rsidP="00B534F8">
      <w:pPr>
        <w:numPr>
          <w:ilvl w:val="0"/>
          <w:numId w:val="47"/>
        </w:numPr>
        <w:tabs>
          <w:tab w:val="left" w:pos="720"/>
        </w:tabs>
        <w:spacing w:line="360" w:lineRule="auto"/>
        <w:jc w:val="both"/>
        <w:rPr>
          <w:rFonts w:ascii="Times New Roman" w:hAnsi="Times New Roman" w:cs="Times New Roman"/>
        </w:rPr>
      </w:pPr>
      <w:r>
        <w:rPr>
          <w:rFonts w:ascii="Times New Roman" w:hAnsi="Times New Roman" w:cs="Times New Roman"/>
        </w:rPr>
        <w:t>záväzok z poskytnutého úveru od EIB V sa zvýšil o 178,3 mil. Sk vplyvom čerpaného úveru 262,9 mil. Sk, vplyvom debetných kurzových  rozdielov 86,4 mil. Sk a vplyvom predpisu akruálnych úrokov  1,8 mil. Sk,</w:t>
      </w:r>
    </w:p>
    <w:p w:rsidR="00B534F8" w:rsidP="00B534F8">
      <w:pPr>
        <w:numPr>
          <w:ilvl w:val="0"/>
          <w:numId w:val="47"/>
        </w:numPr>
        <w:tabs>
          <w:tab w:val="left" w:pos="720"/>
        </w:tabs>
        <w:spacing w:line="360" w:lineRule="auto"/>
        <w:jc w:val="both"/>
        <w:rPr>
          <w:rFonts w:ascii="Times New Roman" w:hAnsi="Times New Roman" w:cs="Times New Roman"/>
        </w:rPr>
      </w:pPr>
      <w:r>
        <w:rPr>
          <w:rFonts w:ascii="Times New Roman" w:hAnsi="Times New Roman" w:cs="Times New Roman"/>
        </w:rPr>
        <w:t>záväzok z poskytnutého úveru od EIB VI  sa zvýšil o 186,5 mil. Sk vplyvom čerpaného úveru 224,8 mil. Sk, vplyvom debetných kurzových  rozdielov 40,3 mil. Sk a vplyvom predpisu akruálnych úrokov  2,0 mil. Sk,</w:t>
      </w:r>
    </w:p>
    <w:p w:rsidR="00B534F8" w:rsidP="00B534F8">
      <w:pPr>
        <w:numPr>
          <w:ilvl w:val="0"/>
          <w:numId w:val="47"/>
        </w:numPr>
        <w:tabs>
          <w:tab w:val="left" w:pos="720"/>
        </w:tabs>
        <w:spacing w:line="360" w:lineRule="auto"/>
        <w:jc w:val="both"/>
        <w:rPr>
          <w:rFonts w:ascii="Times New Roman" w:hAnsi="Times New Roman" w:cs="Times New Roman"/>
        </w:rPr>
      </w:pPr>
      <w:r>
        <w:rPr>
          <w:rFonts w:ascii="Times New Roman" w:hAnsi="Times New Roman" w:cs="Times New Roman"/>
        </w:rPr>
        <w:t>záväzok z poskytnutého úveru od EIB VII sa znížil o 315,5 mil. Sk v dôsledku splatenia istiny z úveru 311,1 mil. Sk, vplyvom debetných kurzových  rozdielov 0,3 mil. Sk a znížením predpisu akruálnych úrokov 4,1 mil. Sk,</w:t>
      </w:r>
    </w:p>
    <w:p w:rsidR="00B534F8" w:rsidP="00B534F8">
      <w:pPr>
        <w:numPr>
          <w:ilvl w:val="0"/>
          <w:numId w:val="47"/>
        </w:numPr>
        <w:tabs>
          <w:tab w:val="left" w:pos="720"/>
        </w:tabs>
        <w:spacing w:line="360" w:lineRule="auto"/>
        <w:jc w:val="both"/>
        <w:rPr>
          <w:rFonts w:ascii="Times New Roman" w:hAnsi="Times New Roman" w:cs="Times New Roman"/>
        </w:rPr>
      </w:pPr>
      <w:r>
        <w:rPr>
          <w:rFonts w:ascii="Times New Roman" w:hAnsi="Times New Roman" w:cs="Times New Roman"/>
        </w:rPr>
        <w:t>záväzok z poskytnutého úveru od EIB VIII sa zvýšil o 328,7 mil. Sk vplyvom čerpania ďalšej úverovej tranže vo výške 368,7 mil. Sk, predpisom akruálnych úrokov 2,6 mil. Sk a vplyvom debetných kurzových  rozdielov 42,6 mil. Sk</w:t>
      </w:r>
    </w:p>
    <w:p w:rsidR="00B534F8" w:rsidP="00B534F8">
      <w:pPr>
        <w:spacing w:line="360" w:lineRule="auto"/>
        <w:ind w:left="360"/>
        <w:jc w:val="both"/>
        <w:rPr>
          <w:rFonts w:ascii="Times New Roman" w:hAnsi="Times New Roman" w:cs="Times New Roman"/>
        </w:rPr>
      </w:pPr>
    </w:p>
    <w:p w:rsidR="00B534F8" w:rsidP="00B534F8">
      <w:pPr>
        <w:spacing w:line="360" w:lineRule="auto"/>
        <w:ind w:firstLine="360"/>
        <w:jc w:val="both"/>
        <w:rPr>
          <w:rFonts w:ascii="Times New Roman" w:hAnsi="Times New Roman" w:cs="Times New Roman"/>
        </w:rPr>
      </w:pPr>
      <w:r>
        <w:rPr>
          <w:rFonts w:ascii="Times New Roman" w:hAnsi="Times New Roman" w:cs="Times New Roman"/>
        </w:rPr>
        <w:t xml:space="preserve">Úvery vyplývajúce z prevzatých záväzkov od ŽSR a ŽS, a.s. sa znížili  zo stavu 6 532,3 mil. Sk na 5 265,1 mil. Sk, t.j. o 1 267,2 mil. Sk. Na tomto znížení úverov sa podieľala splátka v sume  749,7 mil.  Sk, debetné kurzové rozdiely 498,5 mil. Sk a predpis akruálnych úrokov 19,0 mil. Sk. </w:t>
      </w:r>
    </w:p>
    <w:p w:rsidR="00B534F8" w:rsidP="00B534F8">
      <w:pPr>
        <w:spacing w:line="360" w:lineRule="auto"/>
        <w:ind w:firstLine="360"/>
        <w:jc w:val="both"/>
        <w:rPr>
          <w:rFonts w:ascii="Times New Roman" w:hAnsi="Times New Roman" w:cs="Times New Roman"/>
        </w:rPr>
      </w:pPr>
      <w:r>
        <w:rPr>
          <w:rFonts w:ascii="Times New Roman" w:hAnsi="Times New Roman" w:cs="Times New Roman"/>
        </w:rPr>
        <w:t>Záväzky prevzaté od EIB vo výške 1 605,1 mil. Sk súvisia s uznesením vlády SR č. 275, na základe ktorého sa prevzali do štátneho dlhu bankové úvery od METRO Bratislava, a.s., ktoré boli poskytnuté tejto spoločnosti  EIB na výstavbu Mosta Košická. Tento záväzok pozostáva z istiny úveru vo výške 1 638,5 mil. Sk, debetných kurzových  rozdielov 82,8 mil. Sk a predpisu  akruálnych úrokov 49,3 mil. Sk.</w:t>
      </w:r>
    </w:p>
    <w:p w:rsidR="00B534F8" w:rsidP="00B534F8">
      <w:pPr>
        <w:spacing w:line="360" w:lineRule="auto"/>
        <w:ind w:firstLine="360"/>
        <w:jc w:val="both"/>
        <w:rPr>
          <w:rFonts w:ascii="Times New Roman" w:hAnsi="Times New Roman" w:cs="Times New Roman"/>
        </w:rPr>
      </w:pPr>
      <w:r>
        <w:rPr>
          <w:rFonts w:ascii="Times New Roman" w:hAnsi="Times New Roman" w:cs="Times New Roman"/>
        </w:rPr>
        <w:t xml:space="preserve">Záväzok zo štátnych dlhopisov emitovaných v zahraničí sa medziročne zvýšil o 29 377,3 mil. Sk. Začiatočný stav zahraničných dlhopisov v sume 59 655,0 mil. Sk sa v priebehu roka zvýšil novou emisiou štátnych dlhopisov vo výške 37 391,3 mil. Sk, akruálnymi úrokmi 3 219,9 mil. Sk a emisným disážiom 48,0 mil. Sk. V priebehu roka stav týchto dlhopisov znížili kurzové rozdiely 8 206,0 mil. Sk a vyplatené úroky 3 075,9 mil. Sk. Stav záväzkov zo zahraničných štátnych dlhopisov v obstarávacej cene  k 31.12.2006  predstavuje 89 032,3 mil. Sk.   </w:t>
      </w:r>
    </w:p>
    <w:p w:rsidR="006202D9" w:rsidP="00AD263C">
      <w:pPr>
        <w:spacing w:line="360" w:lineRule="auto"/>
        <w:jc w:val="both"/>
        <w:rPr>
          <w:rFonts w:ascii="Times New Roman" w:hAnsi="Times New Roman" w:cs="Times New Roman"/>
        </w:rPr>
      </w:pPr>
    </w:p>
    <w:p w:rsidR="006202D9" w:rsidRPr="00D31CBF" w:rsidP="00C6741A">
      <w:pPr>
        <w:spacing w:line="360" w:lineRule="auto"/>
        <w:jc w:val="both"/>
        <w:rPr>
          <w:rFonts w:ascii="Times New Roman" w:hAnsi="Times New Roman" w:cs="Times New Roman"/>
        </w:rPr>
      </w:pPr>
    </w:p>
    <w:p w:rsidR="00B534F8" w:rsidRPr="00D6192D" w:rsidP="00B534F8">
      <w:pPr>
        <w:spacing w:line="360" w:lineRule="auto"/>
        <w:jc w:val="center"/>
        <w:rPr>
          <w:rFonts w:ascii="Times New Roman" w:hAnsi="Times New Roman" w:cs="Times New Roman"/>
          <w:b/>
        </w:rPr>
      </w:pPr>
      <w:r w:rsidR="00644DA1">
        <w:rPr>
          <w:rFonts w:ascii="Times New Roman" w:hAnsi="Times New Roman" w:cs="Times New Roman"/>
          <w:b/>
        </w:rPr>
        <w:t>4</w:t>
      </w:r>
      <w:r w:rsidRPr="00D6192D">
        <w:rPr>
          <w:rFonts w:ascii="Times New Roman" w:hAnsi="Times New Roman" w:cs="Times New Roman"/>
          <w:b/>
        </w:rPr>
        <w:t>.</w:t>
      </w:r>
      <w:r>
        <w:rPr>
          <w:rFonts w:ascii="Times New Roman" w:hAnsi="Times New Roman" w:cs="Times New Roman"/>
          <w:b/>
        </w:rPr>
        <w:t>4</w:t>
      </w:r>
      <w:r w:rsidRPr="00D6192D">
        <w:rPr>
          <w:rFonts w:ascii="Times New Roman" w:hAnsi="Times New Roman" w:cs="Times New Roman"/>
          <w:b/>
        </w:rPr>
        <w:t>. Tabuľkové prílohy</w:t>
      </w:r>
    </w:p>
    <w:p w:rsidR="00B534F8" w:rsidRPr="00D6192D" w:rsidP="006202D9">
      <w:pPr>
        <w:spacing w:line="360" w:lineRule="auto"/>
        <w:jc w:val="center"/>
        <w:rPr>
          <w:rFonts w:ascii="Times New Roman" w:hAnsi="Times New Roman" w:cs="Times New Roman"/>
          <w:b/>
        </w:rPr>
      </w:pPr>
      <w:r w:rsidRPr="00D6192D">
        <w:rPr>
          <w:rFonts w:ascii="Times New Roman" w:hAnsi="Times New Roman" w:cs="Times New Roman"/>
          <w:b/>
        </w:rPr>
        <w:t>Tabuľka č. 1: Prehľad poskytnutých návratných finančných výpomocí podľa príjemcov spolu s pohľadávkami za penále - zostatok k 31.12.200</w:t>
      </w:r>
      <w:r>
        <w:rPr>
          <w:rFonts w:ascii="Times New Roman" w:hAnsi="Times New Roman" w:cs="Times New Roman"/>
          <w:b/>
        </w:rPr>
        <w:t>6</w:t>
      </w:r>
    </w:p>
    <w:tbl>
      <w:tblPr>
        <w:tblW w:w="8835" w:type="dxa"/>
        <w:tblInd w:w="55" w:type="dxa"/>
        <w:tblCellMar>
          <w:left w:w="70" w:type="dxa"/>
          <w:right w:w="70" w:type="dxa"/>
        </w:tblCellMar>
      </w:tblPr>
      <w:tblGrid>
        <w:gridCol w:w="5235"/>
        <w:gridCol w:w="1260"/>
        <w:gridCol w:w="1260"/>
        <w:gridCol w:w="1080"/>
      </w:tblGrid>
      <w:tr>
        <w:tblPrEx>
          <w:tblW w:w="8835" w:type="dxa"/>
          <w:tblInd w:w="55" w:type="dxa"/>
          <w:tblCellMar>
            <w:left w:w="70" w:type="dxa"/>
            <w:right w:w="70" w:type="dxa"/>
          </w:tblCellMar>
        </w:tblPrEx>
        <w:trPr>
          <w:trHeight w:val="315"/>
        </w:trPr>
        <w:tc>
          <w:tcPr>
            <w:tcW w:w="5235" w:type="dxa"/>
            <w:tcBorders>
              <w:top w:val="nil"/>
              <w:left w:val="nil"/>
              <w:bottom w:val="single" w:sz="8" w:space="0" w:color="auto"/>
              <w:right w:val="nil"/>
              <w:tl2br w:val="nil"/>
              <w:tr2bl w:val="nil"/>
            </w:tcBorders>
            <w:textDirection w:val="lrTb"/>
            <w:vAlign w:val="top"/>
          </w:tcPr>
          <w:p w:rsidR="00B534F8" w:rsidRPr="006202D9" w:rsidP="00B534F8">
            <w:pPr>
              <w:jc w:val="right"/>
              <w:rPr>
                <w:rFonts w:ascii="Arial Narrow" w:hAnsi="Arial Narrow" w:cs="Times New Roman"/>
                <w:color w:val="000000"/>
                <w:sz w:val="20"/>
                <w:szCs w:val="20"/>
              </w:rPr>
            </w:pPr>
          </w:p>
        </w:tc>
        <w:tc>
          <w:tcPr>
            <w:tcW w:w="1260" w:type="dxa"/>
            <w:tcBorders>
              <w:top w:val="nil"/>
              <w:left w:val="nil"/>
              <w:bottom w:val="single" w:sz="8" w:space="0" w:color="auto"/>
              <w:right w:val="nil"/>
              <w:tl2br w:val="nil"/>
              <w:tr2bl w:val="nil"/>
            </w:tcBorders>
            <w:textDirection w:val="lrTb"/>
            <w:vAlign w:val="top"/>
          </w:tcPr>
          <w:p w:rsidR="00B534F8" w:rsidRPr="006202D9" w:rsidP="00B534F8">
            <w:pPr>
              <w:jc w:val="right"/>
              <w:rPr>
                <w:rFonts w:ascii="Arial Narrow" w:hAnsi="Arial Narrow" w:cs="Times New Roman"/>
                <w:color w:val="000000"/>
                <w:sz w:val="20"/>
                <w:szCs w:val="20"/>
              </w:rPr>
            </w:pPr>
          </w:p>
        </w:tc>
        <w:tc>
          <w:tcPr>
            <w:tcW w:w="1260" w:type="dxa"/>
            <w:tcBorders>
              <w:top w:val="nil"/>
              <w:left w:val="nil"/>
              <w:bottom w:val="single" w:sz="8" w:space="0" w:color="auto"/>
              <w:right w:val="nil"/>
              <w:tl2br w:val="nil"/>
              <w:tr2bl w:val="nil"/>
            </w:tcBorders>
            <w:textDirection w:val="lrTb"/>
            <w:vAlign w:val="top"/>
          </w:tcPr>
          <w:p w:rsidR="00B534F8" w:rsidRPr="006202D9" w:rsidP="00B534F8">
            <w:pPr>
              <w:jc w:val="right"/>
              <w:rPr>
                <w:rFonts w:ascii="Arial Narrow" w:hAnsi="Arial Narrow" w:cs="Times New Roman"/>
                <w:color w:val="000000"/>
                <w:sz w:val="20"/>
                <w:szCs w:val="20"/>
              </w:rPr>
            </w:pPr>
          </w:p>
        </w:tc>
        <w:tc>
          <w:tcPr>
            <w:tcW w:w="1080" w:type="dxa"/>
            <w:tcBorders>
              <w:top w:val="nil"/>
              <w:left w:val="nil"/>
              <w:bottom w:val="single" w:sz="8" w:space="0" w:color="auto"/>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v mil. Sk</w:t>
            </w:r>
          </w:p>
        </w:tc>
      </w:tr>
      <w:tr>
        <w:tblPrEx>
          <w:tblW w:w="8835" w:type="dxa"/>
          <w:tblInd w:w="55" w:type="dxa"/>
          <w:tblCellMar>
            <w:left w:w="70" w:type="dxa"/>
            <w:right w:w="70" w:type="dxa"/>
          </w:tblCellMar>
        </w:tblPrEx>
        <w:trPr>
          <w:trHeight w:hRule="exact" w:val="567"/>
        </w:trPr>
        <w:tc>
          <w:tcPr>
            <w:tcW w:w="5235" w:type="dxa"/>
            <w:tcBorders>
              <w:top w:val="single" w:sz="8" w:space="0" w:color="auto"/>
              <w:left w:val="single" w:sz="8" w:space="0" w:color="auto"/>
              <w:bottom w:val="single" w:sz="4" w:space="0" w:color="auto"/>
              <w:right w:val="single" w:sz="8" w:space="0" w:color="auto"/>
              <w:tl2br w:val="nil"/>
              <w:tr2bl w:val="nil"/>
            </w:tcBorders>
            <w:textDirection w:val="lrTb"/>
            <w:vAlign w:val="center"/>
          </w:tcPr>
          <w:p w:rsidR="00B534F8" w:rsidRPr="006202D9" w:rsidP="006202D9">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Položka aktív</w:t>
            </w:r>
          </w:p>
        </w:tc>
        <w:tc>
          <w:tcPr>
            <w:tcW w:w="1260" w:type="dxa"/>
            <w:tcBorders>
              <w:top w:val="single" w:sz="8" w:space="0" w:color="auto"/>
              <w:left w:val="nil"/>
              <w:bottom w:val="single" w:sz="4" w:space="0" w:color="auto"/>
              <w:right w:val="single" w:sz="8" w:space="0" w:color="auto"/>
              <w:tl2br w:val="nil"/>
              <w:tr2bl w:val="nil"/>
            </w:tcBorders>
            <w:textDirection w:val="lrTb"/>
            <w:vAlign w:val="center"/>
          </w:tcPr>
          <w:p w:rsidR="00B534F8" w:rsidRPr="006202D9" w:rsidP="006202D9">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Stav  k</w:t>
            </w:r>
          </w:p>
          <w:p w:rsidR="00B534F8" w:rsidRPr="006202D9" w:rsidP="006202D9">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31.12.2005</w:t>
            </w:r>
          </w:p>
        </w:tc>
        <w:tc>
          <w:tcPr>
            <w:tcW w:w="1260" w:type="dxa"/>
            <w:tcBorders>
              <w:top w:val="single" w:sz="8" w:space="0" w:color="auto"/>
              <w:left w:val="nil"/>
              <w:bottom w:val="single" w:sz="4" w:space="0" w:color="auto"/>
              <w:right w:val="single" w:sz="8" w:space="0" w:color="auto"/>
              <w:tl2br w:val="nil"/>
              <w:tr2bl w:val="nil"/>
            </w:tcBorders>
            <w:textDirection w:val="lrTb"/>
            <w:vAlign w:val="center"/>
          </w:tcPr>
          <w:p w:rsidR="00B534F8" w:rsidRPr="006202D9" w:rsidP="006202D9">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Stav  k</w:t>
            </w:r>
          </w:p>
          <w:p w:rsidR="00B534F8" w:rsidRPr="006202D9" w:rsidP="006202D9">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31.12.2006</w:t>
            </w:r>
          </w:p>
        </w:tc>
        <w:tc>
          <w:tcPr>
            <w:tcW w:w="1080" w:type="dxa"/>
            <w:tcBorders>
              <w:top w:val="single" w:sz="8" w:space="0" w:color="auto"/>
              <w:left w:val="single" w:sz="8" w:space="0" w:color="auto"/>
              <w:bottom w:val="single" w:sz="4" w:space="0" w:color="auto"/>
              <w:right w:val="single" w:sz="8" w:space="0" w:color="auto"/>
              <w:tl2br w:val="nil"/>
              <w:tr2bl w:val="nil"/>
            </w:tcBorders>
            <w:textDirection w:val="lrTb"/>
            <w:vAlign w:val="center"/>
          </w:tcPr>
          <w:p w:rsidR="00B534F8" w:rsidRPr="006202D9" w:rsidP="006202D9">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Zmena</w:t>
            </w:r>
          </w:p>
        </w:tc>
      </w:tr>
      <w:tr>
        <w:tblPrEx>
          <w:tblW w:w="8835" w:type="dxa"/>
          <w:tblInd w:w="55" w:type="dxa"/>
          <w:tblCellMar>
            <w:left w:w="70" w:type="dxa"/>
            <w:right w:w="70" w:type="dxa"/>
          </w:tblCellMar>
        </w:tblPrEx>
        <w:trPr>
          <w:trHeight w:hRule="exact" w:val="396"/>
        </w:trPr>
        <w:tc>
          <w:tcPr>
            <w:tcW w:w="5235" w:type="dxa"/>
            <w:tcBorders>
              <w:top w:val="single" w:sz="4" w:space="0" w:color="auto"/>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Pohľadávky z poskytnutých NFV a</w:t>
            </w:r>
            <w:r w:rsidR="00AD263C">
              <w:rPr>
                <w:rFonts w:ascii="Times New Roman" w:hAnsi="Times New Roman" w:cs="Times New Roman"/>
                <w:b/>
                <w:bCs/>
                <w:color w:val="000000"/>
                <w:sz w:val="20"/>
                <w:szCs w:val="20"/>
              </w:rPr>
              <w:t> </w:t>
            </w:r>
            <w:r w:rsidRPr="006202D9">
              <w:rPr>
                <w:rFonts w:ascii="Times New Roman" w:hAnsi="Times New Roman" w:cs="Times New Roman"/>
                <w:b/>
                <w:bCs/>
                <w:color w:val="000000"/>
                <w:sz w:val="20"/>
                <w:szCs w:val="20"/>
              </w:rPr>
              <w:t>penále</w:t>
            </w:r>
          </w:p>
        </w:tc>
        <w:tc>
          <w:tcPr>
            <w:tcW w:w="1260" w:type="dxa"/>
            <w:tcBorders>
              <w:top w:val="single" w:sz="4"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29 943,1</w:t>
            </w:r>
          </w:p>
        </w:tc>
        <w:tc>
          <w:tcPr>
            <w:tcW w:w="1260" w:type="dxa"/>
            <w:tcBorders>
              <w:top w:val="single" w:sz="4"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2 376,6</w:t>
            </w:r>
          </w:p>
        </w:tc>
        <w:tc>
          <w:tcPr>
            <w:tcW w:w="1080" w:type="dxa"/>
            <w:tcBorders>
              <w:top w:val="single" w:sz="4"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-27 566,5</w:t>
            </w:r>
          </w:p>
        </w:tc>
      </w:tr>
      <w:tr>
        <w:tblPrEx>
          <w:tblW w:w="8835" w:type="dxa"/>
          <w:tblInd w:w="55" w:type="dxa"/>
          <w:tblCellMar>
            <w:left w:w="70" w:type="dxa"/>
            <w:right w:w="70" w:type="dxa"/>
          </w:tblCellMar>
        </w:tblPrEx>
        <w:trPr>
          <w:trHeight w:hRule="exact" w:val="388"/>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a)  Pohľadávky z poskytnutých NFV</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29 939,1</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2 372,6</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-27 566,5</w:t>
            </w:r>
          </w:p>
        </w:tc>
      </w:tr>
      <w:tr>
        <w:tblPrEx>
          <w:tblW w:w="8835" w:type="dxa"/>
          <w:tblInd w:w="55" w:type="dxa"/>
          <w:tblCellMar>
            <w:left w:w="70" w:type="dxa"/>
            <w:right w:w="70" w:type="dxa"/>
          </w:tblCellMar>
        </w:tblPrEx>
        <w:trPr>
          <w:trHeight w:hRule="exact" w:val="342"/>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Rok 1990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567,0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567,0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0,0</w:t>
            </w:r>
          </w:p>
        </w:tc>
      </w:tr>
      <w:tr>
        <w:tblPrEx>
          <w:tblW w:w="8835" w:type="dxa"/>
          <w:tblInd w:w="55" w:type="dxa"/>
          <w:tblCellMar>
            <w:left w:w="70" w:type="dxa"/>
            <w:right w:w="70" w:type="dxa"/>
          </w:tblCellMar>
        </w:tblPrEx>
        <w:trPr>
          <w:trHeight w:hRule="exact" w:val="352"/>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Severoslovenské tehelne a.s. Žilina v</w:t>
            </w:r>
            <w:r w:rsidR="00AD263C">
              <w:rPr>
                <w:rFonts w:ascii="Times New Roman" w:hAnsi="Times New Roman" w:cs="Times New Roman"/>
                <w:color w:val="000000"/>
                <w:sz w:val="20"/>
                <w:szCs w:val="20"/>
              </w:rPr>
              <w:t> </w:t>
            </w:r>
            <w:r w:rsidRPr="006202D9">
              <w:rPr>
                <w:rFonts w:ascii="Times New Roman" w:hAnsi="Times New Roman" w:cs="Times New Roman"/>
                <w:color w:val="000000"/>
                <w:sz w:val="20"/>
                <w:szCs w:val="20"/>
              </w:rPr>
              <w:t>likvidácií</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11,9</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11,9</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hRule="exact" w:val="362"/>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FERRENIT Nitra a.s.</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32,5</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32,5</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val="498"/>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Lom cementáreň vápenka Werk 7 s.r.o., Nové Mesto nad Váhom</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22,7</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22,7</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val="534"/>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Technické a servisné závody kameňopriemyslu a.s. v konkurze, Levice</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3,8</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3,8</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Strana slobody</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0,1</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0,1</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ZŤS Nova, a.s. Nová  Dubnica</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2,7</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2,7</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Bardejovské strojárne, a.s. v konkurze, Bardejov</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9,0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9,0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Východoslovenské strojárne, a.s. v konkurze, Košice</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18,5</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18,5</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Podpolianske strojárne, a.s. v konkurze, Detva</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63,5</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63,5</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val="315"/>
        </w:trPr>
        <w:tc>
          <w:tcPr>
            <w:tcW w:w="5235"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ZŤS a.s. v konkurze, Dubnica nad Váhom</w:t>
            </w:r>
          </w:p>
        </w:tc>
        <w:tc>
          <w:tcPr>
            <w:tcW w:w="1260" w:type="dxa"/>
            <w:tcBorders>
              <w:top w:val="single" w:sz="8"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105,4</w:t>
            </w:r>
          </w:p>
        </w:tc>
        <w:tc>
          <w:tcPr>
            <w:tcW w:w="1260" w:type="dxa"/>
            <w:tcBorders>
              <w:top w:val="single" w:sz="8"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105,4</w:t>
            </w:r>
          </w:p>
        </w:tc>
        <w:tc>
          <w:tcPr>
            <w:tcW w:w="1080" w:type="dxa"/>
            <w:tcBorders>
              <w:top w:val="single" w:sz="8"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val="315"/>
        </w:trPr>
        <w:tc>
          <w:tcPr>
            <w:tcW w:w="5235"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ZŤS, a.s. v konkurze,  Martin</w:t>
            </w:r>
          </w:p>
        </w:tc>
        <w:tc>
          <w:tcPr>
            <w:tcW w:w="1260" w:type="dxa"/>
            <w:tcBorders>
              <w:top w:val="single" w:sz="8"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188,0</w:t>
            </w:r>
          </w:p>
        </w:tc>
        <w:tc>
          <w:tcPr>
            <w:tcW w:w="1260" w:type="dxa"/>
            <w:tcBorders>
              <w:top w:val="single" w:sz="8"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188,0</w:t>
            </w:r>
          </w:p>
        </w:tc>
        <w:tc>
          <w:tcPr>
            <w:tcW w:w="1080" w:type="dxa"/>
            <w:tcBorders>
              <w:top w:val="single" w:sz="8"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Správa hmotných rezerv  SR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97,5</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97,5</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ZŤS  Prakovce, š.p. v</w:t>
            </w:r>
            <w:r w:rsidR="00AD263C">
              <w:rPr>
                <w:rFonts w:ascii="Times New Roman" w:hAnsi="Times New Roman" w:cs="Times New Roman"/>
                <w:color w:val="000000"/>
                <w:sz w:val="20"/>
                <w:szCs w:val="20"/>
              </w:rPr>
              <w:t> </w:t>
            </w:r>
            <w:r w:rsidRPr="006202D9">
              <w:rPr>
                <w:rFonts w:ascii="Times New Roman" w:hAnsi="Times New Roman" w:cs="Times New Roman"/>
                <w:color w:val="000000"/>
                <w:sz w:val="20"/>
                <w:szCs w:val="20"/>
              </w:rPr>
              <w:t>likvidácii</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11,4</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11,4</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val="300"/>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Rok 1991</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1,4</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1,4</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0,0</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K + S MANAGEMENT, s.r.o. Žilina</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Cs/>
                <w:color w:val="000000"/>
                <w:sz w:val="20"/>
                <w:szCs w:val="20"/>
              </w:rPr>
            </w:pPr>
            <w:r w:rsidRPr="006202D9">
              <w:rPr>
                <w:rFonts w:ascii="Times New Roman" w:hAnsi="Times New Roman" w:cs="Times New Roman"/>
                <w:bCs/>
                <w:color w:val="000000"/>
                <w:sz w:val="20"/>
                <w:szCs w:val="20"/>
              </w:rPr>
              <w:t>0,0</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ASBO s.r.o. v likvidácii, Bratislava</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0,4</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0,4</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Cs/>
                <w:color w:val="000000"/>
                <w:sz w:val="20"/>
                <w:szCs w:val="20"/>
              </w:rPr>
            </w:pPr>
            <w:r w:rsidRPr="006202D9">
              <w:rPr>
                <w:rFonts w:ascii="Times New Roman" w:hAnsi="Times New Roman" w:cs="Times New Roman"/>
                <w:bCs/>
                <w:color w:val="000000"/>
                <w:sz w:val="20"/>
                <w:szCs w:val="20"/>
              </w:rPr>
              <w:t>0,0</w:t>
            </w:r>
          </w:p>
        </w:tc>
      </w:tr>
      <w:tr>
        <w:tblPrEx>
          <w:tblW w:w="8835" w:type="dxa"/>
          <w:tblInd w:w="55" w:type="dxa"/>
          <w:tblCellMar>
            <w:left w:w="70" w:type="dxa"/>
            <w:right w:w="70" w:type="dxa"/>
          </w:tblCellMar>
        </w:tblPrEx>
        <w:trPr>
          <w:trHeight w:val="300"/>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Rok 1994</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0,9</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0,9</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0,0</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Pozemné stavby Banská Bystrica, š.p. v likvidácii</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0,9</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0,9</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val="300"/>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Rok 1996</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3,0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3,0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0,0</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ZUTE s.r.o. Trnava</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3,0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3,0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val="300"/>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Rok 2001</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975,0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0,0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-975,0</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Železnice SR Bratislava</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975,0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-975,0</w:t>
            </w:r>
          </w:p>
        </w:tc>
      </w:tr>
      <w:tr>
        <w:tblPrEx>
          <w:tblW w:w="8835" w:type="dxa"/>
          <w:tblInd w:w="55" w:type="dxa"/>
          <w:tblCellMar>
            <w:left w:w="70" w:type="dxa"/>
            <w:right w:w="70" w:type="dxa"/>
          </w:tblCellMar>
        </w:tblPrEx>
        <w:trPr>
          <w:trHeight w:val="300"/>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Rok 2002</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482,6</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441,0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-41,6</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Mesto Košice</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482,6</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441,0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-41,6</w:t>
            </w:r>
          </w:p>
        </w:tc>
      </w:tr>
      <w:tr>
        <w:tblPrEx>
          <w:tblW w:w="8835" w:type="dxa"/>
          <w:tblInd w:w="55" w:type="dxa"/>
          <w:tblCellMar>
            <w:left w:w="70" w:type="dxa"/>
            <w:right w:w="70" w:type="dxa"/>
          </w:tblCellMar>
        </w:tblPrEx>
        <w:trPr>
          <w:trHeight w:val="300"/>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Rok 2003</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6,7</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2,9</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-3,8</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Medzevská drevárska fabrika, s.r.o. v Medzeve</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1,3</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1,3</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Bytenerg, spol. s r.o. Medzilaborce</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0,2</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-0,2</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ENERGIA, s.r.o. Slavošovce</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1,5</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-0,5</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RADEN s.r.o. Košice</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0,9</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-0,9</w:t>
            </w:r>
          </w:p>
        </w:tc>
      </w:tr>
      <w:tr>
        <w:tblPrEx>
          <w:tblW w:w="8835" w:type="dxa"/>
          <w:tblInd w:w="55" w:type="dxa"/>
          <w:tblCellMar>
            <w:left w:w="70" w:type="dxa"/>
            <w:right w:w="70" w:type="dxa"/>
          </w:tblCellMar>
        </w:tblPrEx>
        <w:trPr>
          <w:trHeight w:val="315"/>
        </w:trPr>
        <w:tc>
          <w:tcPr>
            <w:tcW w:w="5235"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TS GEOTHERM, s.r.o. Dolný Kubín</w:t>
            </w:r>
          </w:p>
        </w:tc>
        <w:tc>
          <w:tcPr>
            <w:tcW w:w="1260" w:type="dxa"/>
            <w:tcBorders>
              <w:top w:val="single" w:sz="8"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0,9</w:t>
            </w:r>
          </w:p>
        </w:tc>
        <w:tc>
          <w:tcPr>
            <w:tcW w:w="1260" w:type="dxa"/>
            <w:tcBorders>
              <w:top w:val="single" w:sz="8"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c>
          <w:tcPr>
            <w:tcW w:w="1080" w:type="dxa"/>
            <w:tcBorders>
              <w:top w:val="single" w:sz="8"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-0,9</w:t>
            </w:r>
          </w:p>
        </w:tc>
      </w:tr>
      <w:tr>
        <w:tblPrEx>
          <w:tblW w:w="8835" w:type="dxa"/>
          <w:tblInd w:w="55" w:type="dxa"/>
          <w:tblCellMar>
            <w:left w:w="70" w:type="dxa"/>
            <w:right w:w="70" w:type="dxa"/>
          </w:tblCellMar>
        </w:tblPrEx>
        <w:trPr>
          <w:trHeight w:val="315"/>
        </w:trPr>
        <w:tc>
          <w:tcPr>
            <w:tcW w:w="5235"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ALCO Slovakia, a.s. Snina</w:t>
            </w:r>
          </w:p>
        </w:tc>
        <w:tc>
          <w:tcPr>
            <w:tcW w:w="1260" w:type="dxa"/>
            <w:tcBorders>
              <w:top w:val="single" w:sz="8"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0,6</w:t>
            </w:r>
          </w:p>
        </w:tc>
        <w:tc>
          <w:tcPr>
            <w:tcW w:w="1260" w:type="dxa"/>
            <w:tcBorders>
              <w:top w:val="single" w:sz="8"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0,6</w:t>
            </w:r>
          </w:p>
        </w:tc>
        <w:tc>
          <w:tcPr>
            <w:tcW w:w="1080" w:type="dxa"/>
            <w:tcBorders>
              <w:top w:val="single" w:sz="8"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ENERGOBYT, spol. s r.o. Humenné</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1,3</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-1,3</w:t>
            </w:r>
          </w:p>
        </w:tc>
      </w:tr>
      <w:tr>
        <w:tblPrEx>
          <w:tblW w:w="8835" w:type="dxa"/>
          <w:tblInd w:w="55" w:type="dxa"/>
          <w:tblCellMar>
            <w:left w:w="70" w:type="dxa"/>
            <w:right w:w="70" w:type="dxa"/>
          </w:tblCellMar>
        </w:tblPrEx>
        <w:trPr>
          <w:trHeight w:val="300"/>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Rok 2004</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1 989,9</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827,0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-1 162,9</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Železnice MF/15683/2004-442</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1 162,9</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-1 162,9</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Žilina  č. MF/4966/2004</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827,0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827,0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val="300"/>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Rok 2005</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25 912,6</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529,4</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-25 383,2</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OU Kechnec</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104,4</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-104,4</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Slovenská inkasná, s.r.o./CSOB</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25 278,8</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-25 278,8</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Mesto Žilina</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529,4</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529,4</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val="58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b) Pohľadávky z titulu penále za návratné finančné výpomoci</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4,0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4,0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0,0</w:t>
            </w:r>
          </w:p>
        </w:tc>
      </w:tr>
      <w:tr>
        <w:tblPrEx>
          <w:tblW w:w="8835" w:type="dxa"/>
          <w:tblInd w:w="55" w:type="dxa"/>
          <w:tblCellMar>
            <w:left w:w="70" w:type="dxa"/>
            <w:right w:w="70" w:type="dxa"/>
          </w:tblCellMar>
        </w:tblPrEx>
        <w:trPr>
          <w:trHeight w:val="5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Lom cementáreň vápenka Werk 7 s.r.o. Nové Mesto nad Váhom</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0,1</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0,1</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val="537"/>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Technické a servisné závody kameňopriemyslu a.s. v konkurze, Levice</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ASBO, s.r.o. v likvidácii Bratislava</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0,9</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0,9</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val="315"/>
        </w:trPr>
        <w:tc>
          <w:tcPr>
            <w:tcW w:w="5235" w:type="dxa"/>
            <w:tcBorders>
              <w:top w:val="nil"/>
              <w:left w:val="single" w:sz="8" w:space="0" w:color="auto"/>
              <w:bottom w:val="nil"/>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FERRENIT Nitra</w:t>
            </w:r>
          </w:p>
        </w:tc>
        <w:tc>
          <w:tcPr>
            <w:tcW w:w="1260" w:type="dxa"/>
            <w:tcBorders>
              <w:top w:val="nil"/>
              <w:left w:val="nil"/>
              <w:bottom w:val="nil"/>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1,0</w:t>
            </w:r>
          </w:p>
        </w:tc>
        <w:tc>
          <w:tcPr>
            <w:tcW w:w="1260" w:type="dxa"/>
            <w:tcBorders>
              <w:top w:val="nil"/>
              <w:left w:val="nil"/>
              <w:bottom w:val="nil"/>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8835" w:type="dxa"/>
          <w:tblInd w:w="55" w:type="dxa"/>
          <w:tblCellMar>
            <w:left w:w="70" w:type="dxa"/>
            <w:right w:w="70" w:type="dxa"/>
          </w:tblCellMar>
        </w:tblPrEx>
        <w:trPr>
          <w:trHeight w:val="315"/>
        </w:trPr>
        <w:tc>
          <w:tcPr>
            <w:tcW w:w="5235"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K + S MANAGEMENT, s.r.o. Žilina</w:t>
            </w:r>
          </w:p>
        </w:tc>
        <w:tc>
          <w:tcPr>
            <w:tcW w:w="1260" w:type="dxa"/>
            <w:tcBorders>
              <w:top w:val="single" w:sz="8" w:space="0" w:color="auto"/>
              <w:left w:val="nil"/>
              <w:bottom w:val="single" w:sz="8" w:space="0" w:color="auto"/>
              <w:right w:val="single" w:sz="8" w:space="0" w:color="auto"/>
              <w:tl2br w:val="nil"/>
              <w:tr2bl w:val="nil"/>
            </w:tcBorders>
            <w:noWrap/>
            <w:textDirection w:val="lrTb"/>
            <w:vAlign w:val="top"/>
          </w:tcPr>
          <w:p w:rsidR="00B534F8" w:rsidRPr="006202D9" w:rsidP="00DE0BCD">
            <w:pPr>
              <w:jc w:val="right"/>
              <w:rPr>
                <w:rFonts w:ascii="Times New Roman" w:hAnsi="Times New Roman" w:cs="Times New Roman"/>
                <w:sz w:val="20"/>
                <w:szCs w:val="20"/>
              </w:rPr>
            </w:pPr>
            <w:r w:rsidRPr="006202D9">
              <w:rPr>
                <w:rFonts w:ascii="Times New Roman" w:hAnsi="Times New Roman" w:cs="Times New Roman"/>
                <w:sz w:val="20"/>
                <w:szCs w:val="20"/>
              </w:rPr>
              <w:t>2,0</w:t>
            </w:r>
          </w:p>
        </w:tc>
        <w:tc>
          <w:tcPr>
            <w:tcW w:w="1260" w:type="dxa"/>
            <w:tcBorders>
              <w:top w:val="single" w:sz="8" w:space="0" w:color="auto"/>
              <w:left w:val="nil"/>
              <w:bottom w:val="single" w:sz="8" w:space="0" w:color="auto"/>
              <w:right w:val="single" w:sz="8" w:space="0" w:color="auto"/>
              <w:tl2br w:val="nil"/>
              <w:tr2bl w:val="nil"/>
            </w:tcBorders>
            <w:noWrap/>
            <w:textDirection w:val="lrTb"/>
            <w:vAlign w:val="top"/>
          </w:tcPr>
          <w:p w:rsidR="00B534F8" w:rsidRPr="006202D9" w:rsidP="00DE0BCD">
            <w:pPr>
              <w:jc w:val="right"/>
              <w:rPr>
                <w:rFonts w:ascii="Times New Roman" w:hAnsi="Times New Roman" w:cs="Times New Roman"/>
                <w:sz w:val="20"/>
                <w:szCs w:val="20"/>
              </w:rPr>
            </w:pPr>
            <w:r w:rsidRPr="006202D9">
              <w:rPr>
                <w:rFonts w:ascii="Times New Roman" w:hAnsi="Times New Roman" w:cs="Times New Roman"/>
                <w:sz w:val="20"/>
                <w:szCs w:val="20"/>
              </w:rPr>
              <w:t>2,0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bl>
    <w:p w:rsidR="00B534F8" w:rsidRPr="00D6192D" w:rsidP="00B534F8">
      <w:pPr>
        <w:spacing w:line="360" w:lineRule="auto"/>
        <w:rPr>
          <w:rFonts w:ascii="Times New Roman" w:hAnsi="Times New Roman" w:cs="Times New Roman"/>
          <w:b/>
          <w:sz w:val="22"/>
          <w:szCs w:val="22"/>
        </w:rPr>
      </w:pPr>
    </w:p>
    <w:p w:rsidR="00B534F8" w:rsidP="00B534F8">
      <w:pPr>
        <w:spacing w:line="360" w:lineRule="auto"/>
        <w:rPr>
          <w:rFonts w:ascii="Times New Roman" w:hAnsi="Times New Roman" w:cs="Times New Roman"/>
          <w:b/>
          <w:sz w:val="22"/>
          <w:szCs w:val="22"/>
        </w:rPr>
      </w:pPr>
    </w:p>
    <w:p w:rsidR="00B534F8" w:rsidP="006202D9">
      <w:pPr>
        <w:spacing w:line="360" w:lineRule="auto"/>
        <w:jc w:val="center"/>
        <w:rPr>
          <w:rFonts w:ascii="Times New Roman" w:hAnsi="Times New Roman" w:cs="Times New Roman"/>
          <w:b/>
        </w:rPr>
      </w:pPr>
      <w:r w:rsidR="00AD263C">
        <w:rPr>
          <w:rFonts w:ascii="Times New Roman" w:hAnsi="Times New Roman" w:cs="Times New Roman"/>
          <w:b/>
        </w:rPr>
        <w:br w:type="page"/>
      </w:r>
      <w:r w:rsidRPr="00D6192D">
        <w:rPr>
          <w:rFonts w:ascii="Times New Roman" w:hAnsi="Times New Roman" w:cs="Times New Roman"/>
          <w:b/>
        </w:rPr>
        <w:t>Tabuľka č. 2: Prehľad pohľadávok z zrealizovaných záruk podľa príjemcov spolu s úrokmi a penále – zostatok k 31.12.200</w:t>
      </w:r>
      <w:r>
        <w:rPr>
          <w:rFonts w:ascii="Times New Roman" w:hAnsi="Times New Roman" w:cs="Times New Roman"/>
          <w:b/>
        </w:rPr>
        <w:t>6</w:t>
      </w:r>
    </w:p>
    <w:p w:rsidR="00B534F8" w:rsidP="00B534F8">
      <w:pPr>
        <w:spacing w:line="360" w:lineRule="auto"/>
        <w:rPr>
          <w:rFonts w:ascii="Times New Roman" w:hAnsi="Times New Roman" w:cs="Times New Roman"/>
          <w:b/>
        </w:rPr>
      </w:pPr>
    </w:p>
    <w:tbl>
      <w:tblPr>
        <w:tblW w:w="8835" w:type="dxa"/>
        <w:tblInd w:w="55" w:type="dxa"/>
        <w:tblCellMar>
          <w:left w:w="70" w:type="dxa"/>
          <w:right w:w="70" w:type="dxa"/>
        </w:tblCellMar>
      </w:tblPr>
      <w:tblGrid>
        <w:gridCol w:w="5235"/>
        <w:gridCol w:w="1260"/>
        <w:gridCol w:w="1260"/>
        <w:gridCol w:w="1080"/>
      </w:tblGrid>
      <w:tr>
        <w:tblPrEx>
          <w:tblW w:w="8835" w:type="dxa"/>
          <w:tblInd w:w="55" w:type="dxa"/>
          <w:tblCellMar>
            <w:left w:w="70" w:type="dxa"/>
            <w:right w:w="70" w:type="dxa"/>
          </w:tblCellMar>
        </w:tblPrEx>
        <w:trPr>
          <w:trHeight w:val="545"/>
        </w:trPr>
        <w:tc>
          <w:tcPr>
            <w:tcW w:w="5235" w:type="dxa"/>
            <w:tcBorders>
              <w:top w:val="single" w:sz="8" w:space="0" w:color="auto"/>
              <w:left w:val="single" w:sz="8" w:space="0" w:color="auto"/>
              <w:bottom w:val="single" w:sz="4" w:space="0" w:color="auto"/>
              <w:right w:val="single" w:sz="8" w:space="0" w:color="auto"/>
              <w:tl2br w:val="nil"/>
              <w:tr2bl w:val="nil"/>
            </w:tcBorders>
            <w:noWrap/>
            <w:textDirection w:val="lrTb"/>
            <w:vAlign w:val="center"/>
          </w:tcPr>
          <w:p w:rsidR="00B534F8" w:rsidRPr="006202D9" w:rsidP="00B534F8">
            <w:pPr>
              <w:jc w:val="center"/>
              <w:rPr>
                <w:rFonts w:ascii="Times New Roman" w:hAnsi="Times New Roman" w:cs="Times New Roman"/>
                <w:b/>
                <w:bCs/>
                <w:sz w:val="20"/>
                <w:szCs w:val="20"/>
              </w:rPr>
            </w:pPr>
            <w:r w:rsidRPr="006202D9">
              <w:rPr>
                <w:rFonts w:ascii="Times New Roman" w:hAnsi="Times New Roman" w:cs="Times New Roman"/>
                <w:b/>
                <w:bCs/>
                <w:sz w:val="20"/>
                <w:szCs w:val="20"/>
              </w:rPr>
              <w:t>Položka aktív</w:t>
            </w:r>
          </w:p>
        </w:tc>
        <w:tc>
          <w:tcPr>
            <w:tcW w:w="1260" w:type="dxa"/>
            <w:tcBorders>
              <w:top w:val="single" w:sz="8" w:space="0" w:color="auto"/>
              <w:left w:val="nil"/>
              <w:bottom w:val="single" w:sz="4" w:space="0" w:color="auto"/>
              <w:right w:val="single" w:sz="8" w:space="0" w:color="auto"/>
              <w:tl2br w:val="nil"/>
              <w:tr2bl w:val="nil"/>
            </w:tcBorders>
            <w:noWrap/>
            <w:textDirection w:val="lrTb"/>
            <w:vAlign w:val="center"/>
          </w:tcPr>
          <w:p w:rsidR="00B534F8" w:rsidRPr="006202D9" w:rsidP="00B534F8">
            <w:pPr>
              <w:jc w:val="center"/>
              <w:rPr>
                <w:rFonts w:ascii="Times New Roman" w:hAnsi="Times New Roman" w:cs="Times New Roman"/>
                <w:b/>
                <w:bCs/>
                <w:sz w:val="20"/>
                <w:szCs w:val="20"/>
              </w:rPr>
            </w:pPr>
            <w:r w:rsidRPr="006202D9">
              <w:rPr>
                <w:rFonts w:ascii="Times New Roman" w:hAnsi="Times New Roman" w:cs="Times New Roman"/>
                <w:b/>
                <w:bCs/>
                <w:sz w:val="20"/>
                <w:szCs w:val="20"/>
              </w:rPr>
              <w:t>Stav k 31.12.2005</w:t>
            </w:r>
          </w:p>
        </w:tc>
        <w:tc>
          <w:tcPr>
            <w:tcW w:w="1260" w:type="dxa"/>
            <w:tcBorders>
              <w:top w:val="single" w:sz="8" w:space="0" w:color="auto"/>
              <w:left w:val="nil"/>
              <w:bottom w:val="single" w:sz="4" w:space="0" w:color="auto"/>
              <w:right w:val="single" w:sz="8" w:space="0" w:color="auto"/>
              <w:tl2br w:val="nil"/>
              <w:tr2bl w:val="nil"/>
            </w:tcBorders>
            <w:noWrap/>
            <w:textDirection w:val="lrTb"/>
            <w:vAlign w:val="center"/>
          </w:tcPr>
          <w:p w:rsidR="00B534F8" w:rsidRPr="006202D9" w:rsidP="00B534F8">
            <w:pPr>
              <w:jc w:val="center"/>
              <w:rPr>
                <w:rFonts w:ascii="Times New Roman" w:hAnsi="Times New Roman" w:cs="Times New Roman"/>
                <w:b/>
                <w:bCs/>
                <w:sz w:val="20"/>
                <w:szCs w:val="20"/>
              </w:rPr>
            </w:pPr>
            <w:r w:rsidRPr="006202D9">
              <w:rPr>
                <w:rFonts w:ascii="Times New Roman" w:hAnsi="Times New Roman" w:cs="Times New Roman"/>
                <w:b/>
                <w:bCs/>
                <w:sz w:val="20"/>
                <w:szCs w:val="20"/>
              </w:rPr>
              <w:t>Stav k</w:t>
            </w:r>
          </w:p>
          <w:p w:rsidR="00B534F8" w:rsidRPr="006202D9" w:rsidP="00B534F8">
            <w:pPr>
              <w:jc w:val="center"/>
              <w:rPr>
                <w:rFonts w:ascii="Times New Roman" w:hAnsi="Times New Roman" w:cs="Times New Roman"/>
                <w:b/>
                <w:bCs/>
                <w:sz w:val="20"/>
                <w:szCs w:val="20"/>
              </w:rPr>
            </w:pPr>
            <w:r w:rsidRPr="006202D9">
              <w:rPr>
                <w:rFonts w:ascii="Times New Roman" w:hAnsi="Times New Roman" w:cs="Times New Roman"/>
                <w:b/>
                <w:bCs/>
                <w:sz w:val="20"/>
                <w:szCs w:val="20"/>
              </w:rPr>
              <w:t>31.12.2006</w:t>
            </w:r>
          </w:p>
        </w:tc>
        <w:tc>
          <w:tcPr>
            <w:tcW w:w="1080" w:type="dxa"/>
            <w:tcBorders>
              <w:top w:val="single" w:sz="8" w:space="0" w:color="auto"/>
              <w:left w:val="nil"/>
              <w:bottom w:val="single" w:sz="4" w:space="0" w:color="auto"/>
              <w:right w:val="single" w:sz="8" w:space="0" w:color="auto"/>
              <w:tl2br w:val="nil"/>
              <w:tr2bl w:val="nil"/>
            </w:tcBorders>
            <w:noWrap/>
            <w:textDirection w:val="lrTb"/>
            <w:vAlign w:val="center"/>
          </w:tcPr>
          <w:p w:rsidR="00B534F8" w:rsidRPr="006202D9" w:rsidP="00B534F8">
            <w:pPr>
              <w:jc w:val="center"/>
              <w:rPr>
                <w:rFonts w:ascii="Times New Roman" w:hAnsi="Times New Roman" w:cs="Times New Roman"/>
                <w:b/>
                <w:bCs/>
                <w:sz w:val="20"/>
                <w:szCs w:val="20"/>
              </w:rPr>
            </w:pPr>
            <w:r w:rsidRPr="006202D9">
              <w:rPr>
                <w:rFonts w:ascii="Times New Roman" w:hAnsi="Times New Roman" w:cs="Times New Roman"/>
                <w:b/>
                <w:bCs/>
                <w:sz w:val="20"/>
                <w:szCs w:val="20"/>
              </w:rPr>
              <w:t>Zmena</w:t>
            </w:r>
          </w:p>
        </w:tc>
      </w:tr>
      <w:tr>
        <w:tblPrEx>
          <w:tblW w:w="8835" w:type="dxa"/>
          <w:tblInd w:w="55" w:type="dxa"/>
          <w:tblCellMar>
            <w:left w:w="70" w:type="dxa"/>
            <w:right w:w="70" w:type="dxa"/>
          </w:tblCellMar>
        </w:tblPrEx>
        <w:trPr>
          <w:trHeight w:val="270"/>
        </w:trPr>
        <w:tc>
          <w:tcPr>
            <w:tcW w:w="5235" w:type="dxa"/>
            <w:tcBorders>
              <w:top w:val="single" w:sz="4" w:space="0" w:color="auto"/>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b/>
                <w:bCs/>
                <w:sz w:val="20"/>
                <w:szCs w:val="20"/>
              </w:rPr>
            </w:pPr>
            <w:r w:rsidRPr="006202D9">
              <w:rPr>
                <w:rFonts w:ascii="Times New Roman" w:hAnsi="Times New Roman" w:cs="Times New Roman"/>
                <w:b/>
                <w:bCs/>
                <w:sz w:val="20"/>
                <w:szCs w:val="20"/>
              </w:rPr>
              <w:t>Pohľadávky z realizovaných štátnych záruk, úroky,  penále</w:t>
            </w:r>
          </w:p>
        </w:tc>
        <w:tc>
          <w:tcPr>
            <w:tcW w:w="1260" w:type="dxa"/>
            <w:tcBorders>
              <w:top w:val="single" w:sz="4" w:space="0" w:color="auto"/>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b/>
                <w:bCs/>
                <w:sz w:val="20"/>
                <w:szCs w:val="20"/>
              </w:rPr>
            </w:pPr>
            <w:r w:rsidRPr="006202D9">
              <w:rPr>
                <w:rFonts w:ascii="Times New Roman" w:hAnsi="Times New Roman" w:cs="Times New Roman"/>
                <w:b/>
                <w:bCs/>
                <w:sz w:val="20"/>
                <w:szCs w:val="20"/>
              </w:rPr>
              <w:t>24 301,3</w:t>
            </w:r>
          </w:p>
        </w:tc>
        <w:tc>
          <w:tcPr>
            <w:tcW w:w="1260" w:type="dxa"/>
            <w:tcBorders>
              <w:top w:val="single" w:sz="4" w:space="0" w:color="auto"/>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b/>
                <w:bCs/>
                <w:sz w:val="20"/>
                <w:szCs w:val="20"/>
              </w:rPr>
            </w:pPr>
            <w:r w:rsidRPr="006202D9">
              <w:rPr>
                <w:rFonts w:ascii="Times New Roman" w:hAnsi="Times New Roman" w:cs="Times New Roman"/>
                <w:b/>
                <w:bCs/>
                <w:sz w:val="20"/>
                <w:szCs w:val="20"/>
              </w:rPr>
              <w:t>18 131,7</w:t>
            </w:r>
          </w:p>
        </w:tc>
        <w:tc>
          <w:tcPr>
            <w:tcW w:w="1080" w:type="dxa"/>
            <w:tcBorders>
              <w:top w:val="single" w:sz="4" w:space="0" w:color="auto"/>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b/>
                <w:bCs/>
                <w:sz w:val="20"/>
                <w:szCs w:val="20"/>
              </w:rPr>
            </w:pPr>
            <w:r w:rsidRPr="006202D9">
              <w:rPr>
                <w:rFonts w:ascii="Times New Roman" w:hAnsi="Times New Roman" w:cs="Times New Roman"/>
                <w:b/>
                <w:bCs/>
                <w:sz w:val="20"/>
                <w:szCs w:val="20"/>
              </w:rPr>
              <w:t>-6 169,6</w:t>
            </w:r>
          </w:p>
        </w:tc>
      </w:tr>
      <w:tr>
        <w:tblPrEx>
          <w:tblW w:w="8835" w:type="dxa"/>
          <w:tblInd w:w="55" w:type="dxa"/>
          <w:tblCellMar>
            <w:left w:w="70" w:type="dxa"/>
            <w:right w:w="70" w:type="dxa"/>
          </w:tblCellMar>
        </w:tblPrEx>
        <w:trPr>
          <w:trHeight w:val="285"/>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DE0BCD" w:rsidP="00B534F8">
            <w:pPr>
              <w:rPr>
                <w:rFonts w:ascii="Times New Roman" w:hAnsi="Times New Roman" w:cs="Times New Roman"/>
                <w:b/>
                <w:bCs/>
                <w:iCs/>
                <w:color w:val="000000"/>
                <w:sz w:val="20"/>
                <w:szCs w:val="20"/>
              </w:rPr>
            </w:pPr>
            <w:r w:rsidRPr="00DE0BCD">
              <w:rPr>
                <w:rFonts w:ascii="Times New Roman" w:hAnsi="Times New Roman" w:cs="Times New Roman"/>
                <w:b/>
                <w:bCs/>
                <w:iCs/>
                <w:color w:val="000000"/>
                <w:sz w:val="20"/>
                <w:szCs w:val="20"/>
              </w:rPr>
              <w:t>Pohľadávky z realizovaných štátnych záruk</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b/>
                <w:bCs/>
                <w:sz w:val="20"/>
                <w:szCs w:val="20"/>
              </w:rPr>
            </w:pPr>
            <w:r w:rsidRPr="006202D9">
              <w:rPr>
                <w:rFonts w:ascii="Times New Roman" w:hAnsi="Times New Roman" w:cs="Times New Roman"/>
                <w:b/>
                <w:bCs/>
                <w:sz w:val="20"/>
                <w:szCs w:val="20"/>
              </w:rPr>
              <w:t>20 339,9</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b/>
                <w:bCs/>
                <w:sz w:val="20"/>
                <w:szCs w:val="20"/>
              </w:rPr>
            </w:pPr>
            <w:r w:rsidRPr="006202D9">
              <w:rPr>
                <w:rFonts w:ascii="Times New Roman" w:hAnsi="Times New Roman" w:cs="Times New Roman"/>
                <w:b/>
                <w:bCs/>
                <w:sz w:val="20"/>
                <w:szCs w:val="20"/>
              </w:rPr>
              <w:t>14 170,3</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b/>
                <w:bCs/>
                <w:sz w:val="20"/>
                <w:szCs w:val="20"/>
              </w:rPr>
            </w:pPr>
            <w:r w:rsidRPr="006202D9">
              <w:rPr>
                <w:rFonts w:ascii="Times New Roman" w:hAnsi="Times New Roman" w:cs="Times New Roman"/>
                <w:b/>
                <w:bCs/>
                <w:sz w:val="20"/>
                <w:szCs w:val="20"/>
              </w:rPr>
              <w:t>-6 169,6</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Šiesta realitná spoločnosť, s.r.o. Fiľakovo</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143,1</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143,1</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 xml:space="preserve">IMUNA, š.p. v konkurze Šarišské Michaľany </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27,0</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27,0</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Calex, a.s. v konkurze Zlaté Moravce</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5 329,8</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5 329,8</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Vodohospodárska výstavba, š.p. Bratislava</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6 185,7</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5 735,7</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-450,0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ORWEL, š.p. v likv.  Námestovo</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23,0</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23,0</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 xml:space="preserve">ZŤS Strojárne, a.s. Námestovo  </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46,0</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46,0</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LUNA, š.p. v likv. Nitra</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26,0</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26,0</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Pleta Móda, a.s. v konkurze  Banská Štiavnica</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60,9</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60,9</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 xml:space="preserve">TOPEX, a.s. v likv. Vranov nad Topľou </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25,0</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25,0</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CEBO HOLDING SLOVAKIA, a.s. v konkurze Partizánske</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200,0</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200,0</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Pôdorys, s.r.o. v konkurze Trenčín</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4,0</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4,0</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ZVL-PM, a.s. v konkurze Dolný Kubín</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15,2</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15,2</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 xml:space="preserve">PT, a.s. v konkurze Žilina </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1 280,9</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1 280,9</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 xml:space="preserve">ZŤS, a.s. v konkurze  Dubnica nad Váhom </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473,8</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473,8</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00DE0BCD">
              <w:rPr>
                <w:rFonts w:ascii="Times New Roman" w:hAnsi="Times New Roman" w:cs="Times New Roman"/>
                <w:color w:val="000000"/>
                <w:sz w:val="20"/>
                <w:szCs w:val="20"/>
              </w:rPr>
              <w:t>Pozemné stavby, š.p.  v likv</w:t>
            </w:r>
            <w:r w:rsidRPr="006202D9">
              <w:rPr>
                <w:rFonts w:ascii="Times New Roman" w:hAnsi="Times New Roman" w:cs="Times New Roman"/>
                <w:color w:val="000000"/>
                <w:sz w:val="20"/>
                <w:szCs w:val="20"/>
              </w:rPr>
              <w:t>. Banská Bystrica</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101,4</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101,4</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ZTS TEES, a.s. v konkurze Martin</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583,0</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583,0</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CHIRANA - PREMA, a.s. v konkurze  Stará Turá</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87,5</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87,5</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single" w:sz="8" w:space="0" w:color="auto"/>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OTF, a.s. v konkurze Nižná</w:t>
            </w:r>
          </w:p>
        </w:tc>
        <w:tc>
          <w:tcPr>
            <w:tcW w:w="1260" w:type="dxa"/>
            <w:tcBorders>
              <w:top w:val="single" w:sz="8" w:space="0" w:color="auto"/>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6,2</w:t>
            </w:r>
          </w:p>
        </w:tc>
        <w:tc>
          <w:tcPr>
            <w:tcW w:w="1260" w:type="dxa"/>
            <w:tcBorders>
              <w:top w:val="single" w:sz="8" w:space="0" w:color="auto"/>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6,0</w:t>
            </w:r>
          </w:p>
        </w:tc>
        <w:tc>
          <w:tcPr>
            <w:tcW w:w="1080" w:type="dxa"/>
            <w:tcBorders>
              <w:top w:val="single" w:sz="8" w:space="0" w:color="auto"/>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-0,2</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ZŤS, š.p. v likv. Rimavská Sobota</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2,0</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2,0</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Slovenská konsolidačná, a.s. Bratislava</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5 719,4</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-5 719,4</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Pohľadávky z realizovaných štátnych záruk - úroky</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b/>
                <w:bCs/>
                <w:sz w:val="20"/>
                <w:szCs w:val="20"/>
              </w:rPr>
            </w:pPr>
            <w:r w:rsidRPr="006202D9">
              <w:rPr>
                <w:rFonts w:ascii="Times New Roman" w:hAnsi="Times New Roman" w:cs="Times New Roman"/>
                <w:b/>
                <w:bCs/>
                <w:sz w:val="20"/>
                <w:szCs w:val="20"/>
              </w:rPr>
              <w:t>1 725,9</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b/>
                <w:bCs/>
                <w:sz w:val="20"/>
                <w:szCs w:val="20"/>
              </w:rPr>
            </w:pPr>
            <w:r w:rsidRPr="006202D9">
              <w:rPr>
                <w:rFonts w:ascii="Times New Roman" w:hAnsi="Times New Roman" w:cs="Times New Roman"/>
                <w:b/>
                <w:bCs/>
                <w:sz w:val="20"/>
                <w:szCs w:val="20"/>
              </w:rPr>
              <w:t>1 725,9</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b/>
                <w:bCs/>
                <w:sz w:val="20"/>
                <w:szCs w:val="20"/>
              </w:rPr>
            </w:pPr>
            <w:r w:rsidRPr="006202D9">
              <w:rPr>
                <w:rFonts w:ascii="Times New Roman" w:hAnsi="Times New Roman" w:cs="Times New Roman"/>
                <w:b/>
                <w:bCs/>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TOPEX, a.s. v likvid. Vranov nad Topľou</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12,7</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12,7</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Calex, a.s. v konkurze Zlaté Moravce</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1 492,3</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1 492,3</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PT, a.s. v konkurze Žilina</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157,0</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157,0</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IMUNA, š.p. v konkurze Šarišské. Michaľany</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8,1</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8,1</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CEBO HOLDING SLOVAKIA, a.s. v konkurze Partizánske</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7,8</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7,8</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Pôdorys, s.r.o. v konkurze Trenčín</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1,7</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1,7</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ZŤS, a.s. v konkurze Dubnica nad Váhom</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19,4</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19,4</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ZTS TEES, a.s. v konkurze Martin</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26,9</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26,9</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Pohľadávky z  realizovaných štátnych záruk - penále</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b/>
                <w:bCs/>
                <w:sz w:val="20"/>
                <w:szCs w:val="20"/>
              </w:rPr>
            </w:pPr>
            <w:r w:rsidRPr="006202D9">
              <w:rPr>
                <w:rFonts w:ascii="Times New Roman" w:hAnsi="Times New Roman" w:cs="Times New Roman"/>
                <w:b/>
                <w:bCs/>
                <w:sz w:val="20"/>
                <w:szCs w:val="20"/>
              </w:rPr>
              <w:t>2 235,5</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b/>
                <w:bCs/>
                <w:sz w:val="20"/>
                <w:szCs w:val="20"/>
              </w:rPr>
            </w:pPr>
            <w:r w:rsidRPr="006202D9">
              <w:rPr>
                <w:rFonts w:ascii="Times New Roman" w:hAnsi="Times New Roman" w:cs="Times New Roman"/>
                <w:b/>
                <w:bCs/>
                <w:sz w:val="20"/>
                <w:szCs w:val="20"/>
              </w:rPr>
              <w:t>2 235,5</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b/>
                <w:bCs/>
                <w:sz w:val="20"/>
                <w:szCs w:val="20"/>
              </w:rPr>
            </w:pPr>
            <w:r w:rsidRPr="006202D9">
              <w:rPr>
                <w:rFonts w:ascii="Times New Roman" w:hAnsi="Times New Roman" w:cs="Times New Roman"/>
                <w:b/>
                <w:bCs/>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Šiesta realitná spoločnosť, s.r.o. Fiľakovo</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225,2</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225,2</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LUNA, š.p. v likv. Nitra</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3,1</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3,1</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Pleta Móda, a.s. v konkurze Banská Štiavnica</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23,2</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23,2</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ZŤS Strojárne, a.s. Námestovo</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51,4</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51,4</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Calex, a.s. v konkurze  Zlaté Moravce</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1 877,1</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1 877,1</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8835" w:type="dxa"/>
          <w:tblInd w:w="55" w:type="dxa"/>
          <w:tblCellMar>
            <w:left w:w="70" w:type="dxa"/>
            <w:right w:w="70" w:type="dxa"/>
          </w:tblCellMar>
        </w:tblPrEx>
        <w:trPr>
          <w:trHeight w:val="270"/>
        </w:trPr>
        <w:tc>
          <w:tcPr>
            <w:tcW w:w="5235" w:type="dxa"/>
            <w:tcBorders>
              <w:top w:val="nil"/>
              <w:left w:val="single" w:sz="8" w:space="0" w:color="auto"/>
              <w:bottom w:val="single" w:sz="8" w:space="0" w:color="auto"/>
              <w:right w:val="single" w:sz="8" w:space="0" w:color="auto"/>
              <w:tl2br w:val="nil"/>
              <w:tr2bl w:val="nil"/>
            </w:tcBorders>
            <w:noWrap/>
            <w:textDirection w:val="lrTb"/>
            <w:vAlign w:val="bottom"/>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PT, a.s. v konkurze Žilina</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55,5</w:t>
            </w:r>
          </w:p>
        </w:tc>
        <w:tc>
          <w:tcPr>
            <w:tcW w:w="126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55,5</w:t>
            </w:r>
          </w:p>
        </w:tc>
        <w:tc>
          <w:tcPr>
            <w:tcW w:w="1080" w:type="dxa"/>
            <w:tcBorders>
              <w:top w:val="nil"/>
              <w:left w:val="nil"/>
              <w:bottom w:val="single" w:sz="8" w:space="0" w:color="auto"/>
              <w:right w:val="single" w:sz="8" w:space="0" w:color="auto"/>
              <w:tl2br w:val="nil"/>
              <w:tr2bl w:val="nil"/>
            </w:tcBorders>
            <w:noWrap/>
            <w:textDirection w:val="lrTb"/>
            <w:vAlign w:val="bottom"/>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bl>
    <w:p w:rsidR="00B534F8" w:rsidRPr="003A5C2C" w:rsidP="00B534F8">
      <w:pPr>
        <w:spacing w:line="360" w:lineRule="auto"/>
        <w:rPr>
          <w:rFonts w:ascii="Arial Narrow" w:hAnsi="Arial Narrow" w:cs="Times New Roman"/>
          <w:b/>
          <w:sz w:val="22"/>
          <w:szCs w:val="22"/>
        </w:rPr>
      </w:pPr>
    </w:p>
    <w:p w:rsidR="00B534F8" w:rsidP="00DE0BCD">
      <w:pPr>
        <w:spacing w:line="360" w:lineRule="auto"/>
        <w:jc w:val="center"/>
        <w:rPr>
          <w:rFonts w:ascii="Times New Roman" w:hAnsi="Times New Roman" w:cs="Times New Roman"/>
          <w:b/>
        </w:rPr>
      </w:pPr>
      <w:r w:rsidR="00AD263C">
        <w:rPr>
          <w:rFonts w:ascii="Times New Roman" w:hAnsi="Times New Roman" w:cs="Times New Roman"/>
          <w:b/>
        </w:rPr>
        <w:br w:type="page"/>
      </w:r>
      <w:r w:rsidRPr="00D6192D">
        <w:rPr>
          <w:rFonts w:ascii="Times New Roman" w:hAnsi="Times New Roman" w:cs="Times New Roman"/>
          <w:b/>
        </w:rPr>
        <w:t>Tabuľka č. 3: Prehľad poskytnutých záruk podľa príjemcov  – zostatok k 31.12.200</w:t>
      </w:r>
      <w:r>
        <w:rPr>
          <w:rFonts w:ascii="Times New Roman" w:hAnsi="Times New Roman" w:cs="Times New Roman"/>
          <w:b/>
        </w:rPr>
        <w:t>6</w:t>
      </w:r>
    </w:p>
    <w:p w:rsidR="00B534F8" w:rsidP="00B534F8">
      <w:pPr>
        <w:spacing w:line="360" w:lineRule="auto"/>
        <w:rPr>
          <w:rFonts w:ascii="Times New Roman" w:hAnsi="Times New Roman" w:cs="Times New Roman"/>
          <w:b/>
        </w:rPr>
      </w:pPr>
    </w:p>
    <w:tbl>
      <w:tblPr>
        <w:tblW w:w="9195" w:type="dxa"/>
        <w:tblInd w:w="55" w:type="dxa"/>
        <w:tblCellMar>
          <w:left w:w="70" w:type="dxa"/>
          <w:right w:w="70" w:type="dxa"/>
        </w:tblCellMar>
      </w:tblPr>
      <w:tblGrid>
        <w:gridCol w:w="3435"/>
        <w:gridCol w:w="1440"/>
        <w:gridCol w:w="1080"/>
        <w:gridCol w:w="720"/>
        <w:gridCol w:w="1260"/>
        <w:gridCol w:w="1260"/>
      </w:tblGrid>
      <w:tr>
        <w:tblPrEx>
          <w:tblW w:w="9195" w:type="dxa"/>
          <w:tblInd w:w="55" w:type="dxa"/>
          <w:tblCellMar>
            <w:left w:w="70" w:type="dxa"/>
            <w:right w:w="70" w:type="dxa"/>
          </w:tblCellMar>
        </w:tblPrEx>
        <w:trPr>
          <w:trHeight w:val="300"/>
        </w:trPr>
        <w:tc>
          <w:tcPr>
            <w:tcW w:w="3435" w:type="dxa"/>
            <w:tcBorders>
              <w:top w:val="nil"/>
              <w:left w:val="nil"/>
              <w:bottom w:val="nil"/>
              <w:right w:val="nil"/>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Záruky poskytnuté v roku 1993</w:t>
            </w:r>
          </w:p>
        </w:tc>
        <w:tc>
          <w:tcPr>
            <w:tcW w:w="144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08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72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v mil. Sk</w:t>
            </w:r>
          </w:p>
        </w:tc>
      </w:tr>
      <w:tr>
        <w:tblPrEx>
          <w:tblW w:w="9195" w:type="dxa"/>
          <w:tblInd w:w="55" w:type="dxa"/>
          <w:tblCellMar>
            <w:left w:w="70" w:type="dxa"/>
            <w:right w:w="70" w:type="dxa"/>
          </w:tblCellMar>
        </w:tblPrEx>
        <w:trPr>
          <w:trHeight w:val="585"/>
        </w:trPr>
        <w:tc>
          <w:tcPr>
            <w:tcW w:w="343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B534F8" w:rsidRPr="006202D9" w:rsidP="00DE0BCD">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Organizácia</w:t>
            </w:r>
          </w:p>
        </w:tc>
        <w:tc>
          <w:tcPr>
            <w:tcW w:w="144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DE0BCD">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Záručná listina</w:t>
            </w:r>
          </w:p>
        </w:tc>
        <w:tc>
          <w:tcPr>
            <w:tcW w:w="108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DE0BCD">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Druh záruky</w:t>
            </w:r>
          </w:p>
        </w:tc>
        <w:tc>
          <w:tcPr>
            <w:tcW w:w="72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DE0BCD">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Mena</w:t>
            </w:r>
          </w:p>
        </w:tc>
        <w:tc>
          <w:tcPr>
            <w:tcW w:w="126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DE0BCD">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Suma v CM k 31.12.2006</w:t>
            </w:r>
          </w:p>
        </w:tc>
        <w:tc>
          <w:tcPr>
            <w:tcW w:w="126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DE0BCD">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Stav v SKK        k 31.12.2006</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Pozagas a.s. Malacky-Láb IV</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FI Nr.1.6671</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8,3</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285,2</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Pozagas a.s. Malacky-Láb IV</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FI Nr.1.6671</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0,5</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18,0</w:t>
            </w:r>
          </w:p>
        </w:tc>
      </w:tr>
      <w:tr>
        <w:tblPrEx>
          <w:tblW w:w="9195" w:type="dxa"/>
          <w:tblInd w:w="55" w:type="dxa"/>
          <w:tblCellMar>
            <w:left w:w="70" w:type="dxa"/>
            <w:right w:w="70" w:type="dxa"/>
          </w:tblCellMar>
        </w:tblPrEx>
        <w:trPr>
          <w:trHeight w:val="302"/>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Slovenské telekomunikácie, a.s. EIB 1</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FI Nr.1.6670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9195" w:type="dxa"/>
          <w:tblInd w:w="55" w:type="dxa"/>
          <w:tblCellMar>
            <w:left w:w="70" w:type="dxa"/>
            <w:right w:w="70" w:type="dxa"/>
          </w:tblCellMar>
        </w:tblPrEx>
        <w:trPr>
          <w:trHeight w:val="37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Slovenské telekomunikácie, a.s. EIB 1</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FI Nr.1.6670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Slovenské telekomunikácie, a.s. WB</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3637SK</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USD</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Slovenské telekomunikácie, a.s. WB</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3637SK</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USD</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Slovenské telekomunikácie, a.s. WB</w:t>
            </w:r>
          </w:p>
        </w:tc>
        <w:tc>
          <w:tcPr>
            <w:tcW w:w="1440" w:type="dxa"/>
            <w:tcBorders>
              <w:top w:val="nil"/>
              <w:left w:val="nil"/>
              <w:bottom w:val="single" w:sz="8" w:space="0" w:color="auto"/>
              <w:right w:val="nil"/>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3637SK</w:t>
            </w:r>
          </w:p>
        </w:tc>
        <w:tc>
          <w:tcPr>
            <w:tcW w:w="1080"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single" w:sz="8" w:space="0" w:color="auto"/>
              <w:right w:val="nil"/>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PUN</w:t>
            </w:r>
          </w:p>
        </w:tc>
        <w:tc>
          <w:tcPr>
            <w:tcW w:w="1260"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Slovenské telekomunikácie, a.s. WB</w:t>
            </w:r>
          </w:p>
        </w:tc>
        <w:tc>
          <w:tcPr>
            <w:tcW w:w="1440" w:type="dxa"/>
            <w:tcBorders>
              <w:top w:val="nil"/>
              <w:left w:val="nil"/>
              <w:bottom w:val="single" w:sz="8" w:space="0" w:color="auto"/>
              <w:right w:val="nil"/>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3637SK</w:t>
            </w:r>
          </w:p>
        </w:tc>
        <w:tc>
          <w:tcPr>
            <w:tcW w:w="1080" w:type="dxa"/>
            <w:tcBorders>
              <w:top w:val="nil"/>
              <w:left w:val="single" w:sz="8" w:space="0" w:color="auto"/>
              <w:bottom w:val="single" w:sz="8" w:space="0" w:color="auto"/>
              <w:right w:val="single" w:sz="8" w:space="0" w:color="auto"/>
              <w:tl2br w:val="nil"/>
              <w:tr2bl w:val="nil"/>
            </w:tcBorders>
            <w:shd w:val="clear" w:color="auto" w:fill="FFFFFF"/>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w:t>
            </w:r>
          </w:p>
        </w:tc>
        <w:tc>
          <w:tcPr>
            <w:tcW w:w="720" w:type="dxa"/>
            <w:tcBorders>
              <w:top w:val="nil"/>
              <w:left w:val="nil"/>
              <w:bottom w:val="single" w:sz="8" w:space="0" w:color="auto"/>
              <w:right w:val="nil"/>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PUN</w:t>
            </w:r>
          </w:p>
        </w:tc>
        <w:tc>
          <w:tcPr>
            <w:tcW w:w="1260"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9195" w:type="dxa"/>
          <w:tblInd w:w="55" w:type="dxa"/>
          <w:tblCellMar>
            <w:left w:w="70" w:type="dxa"/>
            <w:right w:w="70" w:type="dxa"/>
          </w:tblCellMar>
        </w:tblPrEx>
        <w:trPr>
          <w:trHeight w:val="300"/>
        </w:trPr>
        <w:tc>
          <w:tcPr>
            <w:tcW w:w="3435"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44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08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72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b/>
                <w:bCs/>
                <w:sz w:val="20"/>
                <w:szCs w:val="20"/>
              </w:rPr>
            </w:pPr>
            <w:r w:rsidRPr="006202D9">
              <w:rPr>
                <w:rFonts w:ascii="Times New Roman" w:hAnsi="Times New Roman" w:cs="Times New Roman"/>
                <w:b/>
                <w:bCs/>
                <w:sz w:val="20"/>
                <w:szCs w:val="20"/>
              </w:rPr>
              <w:t>303,2</w:t>
            </w:r>
          </w:p>
        </w:tc>
      </w:tr>
      <w:tr>
        <w:tblPrEx>
          <w:tblW w:w="9195" w:type="dxa"/>
          <w:tblInd w:w="55" w:type="dxa"/>
          <w:tblCellMar>
            <w:left w:w="70" w:type="dxa"/>
            <w:right w:w="70" w:type="dxa"/>
          </w:tblCellMar>
        </w:tblPrEx>
        <w:trPr>
          <w:trHeight w:val="300"/>
        </w:trPr>
        <w:tc>
          <w:tcPr>
            <w:tcW w:w="3435" w:type="dxa"/>
            <w:tcBorders>
              <w:top w:val="nil"/>
              <w:left w:val="nil"/>
              <w:bottom w:val="nil"/>
              <w:right w:val="nil"/>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Záruky poskytnuté v roku 1994</w:t>
            </w:r>
          </w:p>
        </w:tc>
        <w:tc>
          <w:tcPr>
            <w:tcW w:w="144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08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72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r>
      <w:tr>
        <w:tblPrEx>
          <w:tblW w:w="9195" w:type="dxa"/>
          <w:tblInd w:w="55" w:type="dxa"/>
          <w:tblCellMar>
            <w:left w:w="70" w:type="dxa"/>
            <w:right w:w="70" w:type="dxa"/>
          </w:tblCellMar>
        </w:tblPrEx>
        <w:trPr>
          <w:trHeight w:val="585"/>
        </w:trPr>
        <w:tc>
          <w:tcPr>
            <w:tcW w:w="343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Organizácia</w:t>
            </w:r>
          </w:p>
        </w:tc>
        <w:tc>
          <w:tcPr>
            <w:tcW w:w="144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Záručná listina</w:t>
            </w:r>
          </w:p>
        </w:tc>
        <w:tc>
          <w:tcPr>
            <w:tcW w:w="108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Druh záruky</w:t>
            </w:r>
          </w:p>
        </w:tc>
        <w:tc>
          <w:tcPr>
            <w:tcW w:w="72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Mena</w:t>
            </w:r>
          </w:p>
        </w:tc>
        <w:tc>
          <w:tcPr>
            <w:tcW w:w="126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Suma v CM k 31.12.2006</w:t>
            </w:r>
          </w:p>
        </w:tc>
        <w:tc>
          <w:tcPr>
            <w:tcW w:w="126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Stav v SKK        k 31.12.2006</w:t>
            </w:r>
          </w:p>
        </w:tc>
      </w:tr>
      <w:tr>
        <w:tblPrEx>
          <w:tblW w:w="9195" w:type="dxa"/>
          <w:tblInd w:w="55" w:type="dxa"/>
          <w:tblCellMar>
            <w:left w:w="70" w:type="dxa"/>
            <w:right w:w="70" w:type="dxa"/>
          </w:tblCellMar>
        </w:tblPrEx>
        <w:trPr>
          <w:trHeight w:val="37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Slovenské telekomunikácie, a.s. EIB 2</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54-2927/94</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9195" w:type="dxa"/>
          <w:tblInd w:w="55" w:type="dxa"/>
          <w:tblCellMar>
            <w:left w:w="70" w:type="dxa"/>
            <w:right w:w="70" w:type="dxa"/>
          </w:tblCellMar>
        </w:tblPrEx>
        <w:trPr>
          <w:trHeight w:val="34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Slovenské telekomunikácie,  a.s. EIB 2</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54-2927/94</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9195" w:type="dxa"/>
          <w:tblInd w:w="55" w:type="dxa"/>
          <w:tblCellMar>
            <w:left w:w="70" w:type="dxa"/>
            <w:right w:w="70" w:type="dxa"/>
          </w:tblCellMar>
        </w:tblPrEx>
        <w:trPr>
          <w:trHeight w:val="300"/>
        </w:trPr>
        <w:tc>
          <w:tcPr>
            <w:tcW w:w="3435"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44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08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72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0,0</w:t>
            </w:r>
          </w:p>
        </w:tc>
      </w:tr>
    </w:tbl>
    <w:p w:rsidR="0088143A">
      <w:pPr>
        <w:rPr>
          <w:rFonts w:ascii="Times New Roman" w:hAnsi="Times New Roman" w:cs="Times New Roman"/>
        </w:rPr>
      </w:pPr>
    </w:p>
    <w:tbl>
      <w:tblPr>
        <w:tblW w:w="9195" w:type="dxa"/>
        <w:tblInd w:w="55" w:type="dxa"/>
        <w:tblCellMar>
          <w:left w:w="70" w:type="dxa"/>
          <w:right w:w="70" w:type="dxa"/>
        </w:tblCellMar>
      </w:tblPr>
      <w:tblGrid>
        <w:gridCol w:w="3435"/>
        <w:gridCol w:w="1440"/>
        <w:gridCol w:w="1080"/>
        <w:gridCol w:w="720"/>
        <w:gridCol w:w="1260"/>
        <w:gridCol w:w="1260"/>
      </w:tblGrid>
      <w:tr>
        <w:tblPrEx>
          <w:tblW w:w="9195" w:type="dxa"/>
          <w:tblInd w:w="55" w:type="dxa"/>
          <w:tblCellMar>
            <w:left w:w="70" w:type="dxa"/>
            <w:right w:w="70" w:type="dxa"/>
          </w:tblCellMar>
        </w:tblPrEx>
        <w:trPr>
          <w:trHeight w:val="300"/>
        </w:trPr>
        <w:tc>
          <w:tcPr>
            <w:tcW w:w="3435" w:type="dxa"/>
            <w:tcBorders>
              <w:top w:val="nil"/>
              <w:left w:val="nil"/>
              <w:bottom w:val="nil"/>
              <w:right w:val="nil"/>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Záruky poskytnuté v roku 1996</w:t>
            </w:r>
          </w:p>
        </w:tc>
        <w:tc>
          <w:tcPr>
            <w:tcW w:w="144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08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72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r>
      <w:tr>
        <w:tblPrEx>
          <w:tblW w:w="9195" w:type="dxa"/>
          <w:tblInd w:w="55" w:type="dxa"/>
          <w:tblCellMar>
            <w:left w:w="70" w:type="dxa"/>
            <w:right w:w="70" w:type="dxa"/>
          </w:tblCellMar>
        </w:tblPrEx>
        <w:trPr>
          <w:trHeight w:val="585"/>
        </w:trPr>
        <w:tc>
          <w:tcPr>
            <w:tcW w:w="343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Organizácia</w:t>
            </w:r>
          </w:p>
        </w:tc>
        <w:tc>
          <w:tcPr>
            <w:tcW w:w="144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Záručná listina</w:t>
            </w:r>
          </w:p>
        </w:tc>
        <w:tc>
          <w:tcPr>
            <w:tcW w:w="108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Druh záruky</w:t>
            </w:r>
          </w:p>
        </w:tc>
        <w:tc>
          <w:tcPr>
            <w:tcW w:w="72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Mena</w:t>
            </w:r>
          </w:p>
        </w:tc>
        <w:tc>
          <w:tcPr>
            <w:tcW w:w="126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Suma v CM k 31.12.2006</w:t>
            </w:r>
          </w:p>
        </w:tc>
        <w:tc>
          <w:tcPr>
            <w:tcW w:w="126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Stav v SKK        k 31.12.2006</w:t>
            </w:r>
          </w:p>
        </w:tc>
      </w:tr>
      <w:tr>
        <w:tblPrEx>
          <w:tblW w:w="9195" w:type="dxa"/>
          <w:tblInd w:w="55" w:type="dxa"/>
          <w:tblCellMar>
            <w:left w:w="70" w:type="dxa"/>
            <w:right w:w="70" w:type="dxa"/>
          </w:tblCellMar>
        </w:tblPrEx>
        <w:trPr>
          <w:trHeight w:val="405"/>
        </w:trPr>
        <w:tc>
          <w:tcPr>
            <w:tcW w:w="3435"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Vodohosp.výst.-BTL fiduc.úver</w:t>
            </w:r>
          </w:p>
        </w:tc>
        <w:tc>
          <w:tcPr>
            <w:tcW w:w="1440" w:type="dxa"/>
            <w:tcBorders>
              <w:top w:val="single" w:sz="4" w:space="0" w:color="auto"/>
              <w:left w:val="nil"/>
              <w:bottom w:val="single" w:sz="4"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*16.12.1996</w:t>
            </w:r>
          </w:p>
        </w:tc>
        <w:tc>
          <w:tcPr>
            <w:tcW w:w="1080" w:type="dxa"/>
            <w:tcBorders>
              <w:top w:val="single" w:sz="4" w:space="0" w:color="auto"/>
              <w:left w:val="nil"/>
              <w:bottom w:val="single" w:sz="4"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single" w:sz="4" w:space="0" w:color="auto"/>
              <w:left w:val="nil"/>
              <w:bottom w:val="single" w:sz="4"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USD</w:t>
            </w:r>
          </w:p>
        </w:tc>
        <w:tc>
          <w:tcPr>
            <w:tcW w:w="1260" w:type="dxa"/>
            <w:tcBorders>
              <w:top w:val="single" w:sz="4" w:space="0" w:color="auto"/>
              <w:left w:val="nil"/>
              <w:bottom w:val="single" w:sz="4"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c>
          <w:tcPr>
            <w:tcW w:w="1260" w:type="dxa"/>
            <w:tcBorders>
              <w:top w:val="single" w:sz="4" w:space="0" w:color="auto"/>
              <w:left w:val="nil"/>
              <w:bottom w:val="single" w:sz="4" w:space="0" w:color="auto"/>
              <w:right w:val="single" w:sz="4"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9195" w:type="dxa"/>
          <w:tblInd w:w="55" w:type="dxa"/>
          <w:tblCellMar>
            <w:left w:w="70" w:type="dxa"/>
            <w:right w:w="70" w:type="dxa"/>
          </w:tblCellMar>
        </w:tblPrEx>
        <w:trPr>
          <w:trHeight w:val="360"/>
        </w:trPr>
        <w:tc>
          <w:tcPr>
            <w:tcW w:w="3435" w:type="dxa"/>
            <w:tcBorders>
              <w:top w:val="single" w:sz="4" w:space="0" w:color="auto"/>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Vodohosp.výst.-BTL fiduc.úver</w:t>
            </w:r>
          </w:p>
        </w:tc>
        <w:tc>
          <w:tcPr>
            <w:tcW w:w="1440" w:type="dxa"/>
            <w:tcBorders>
              <w:top w:val="single" w:sz="4" w:space="0" w:color="auto"/>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*16.12.1996</w:t>
            </w:r>
          </w:p>
        </w:tc>
        <w:tc>
          <w:tcPr>
            <w:tcW w:w="1080" w:type="dxa"/>
            <w:tcBorders>
              <w:top w:val="single" w:sz="4" w:space="0" w:color="auto"/>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w:t>
            </w:r>
          </w:p>
        </w:tc>
        <w:tc>
          <w:tcPr>
            <w:tcW w:w="720" w:type="dxa"/>
            <w:tcBorders>
              <w:top w:val="single" w:sz="4" w:space="0" w:color="auto"/>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USD</w:t>
            </w:r>
          </w:p>
        </w:tc>
        <w:tc>
          <w:tcPr>
            <w:tcW w:w="1260" w:type="dxa"/>
            <w:tcBorders>
              <w:top w:val="single" w:sz="4"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c>
          <w:tcPr>
            <w:tcW w:w="1260" w:type="dxa"/>
            <w:tcBorders>
              <w:top w:val="single" w:sz="4"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0,0</w:t>
            </w:r>
          </w:p>
        </w:tc>
      </w:tr>
      <w:tr>
        <w:tblPrEx>
          <w:tblW w:w="9195" w:type="dxa"/>
          <w:tblInd w:w="55" w:type="dxa"/>
          <w:tblCellMar>
            <w:left w:w="70" w:type="dxa"/>
            <w:right w:w="70" w:type="dxa"/>
          </w:tblCellMar>
        </w:tblPrEx>
        <w:trPr>
          <w:trHeight w:val="300"/>
        </w:trPr>
        <w:tc>
          <w:tcPr>
            <w:tcW w:w="3435"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44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08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72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0,0</w:t>
            </w:r>
          </w:p>
        </w:tc>
      </w:tr>
      <w:tr>
        <w:tblPrEx>
          <w:tblW w:w="9195" w:type="dxa"/>
          <w:tblInd w:w="55" w:type="dxa"/>
          <w:tblCellMar>
            <w:left w:w="70" w:type="dxa"/>
            <w:right w:w="70" w:type="dxa"/>
          </w:tblCellMar>
        </w:tblPrEx>
        <w:trPr>
          <w:trHeight w:val="300"/>
        </w:trPr>
        <w:tc>
          <w:tcPr>
            <w:tcW w:w="3435" w:type="dxa"/>
            <w:tcBorders>
              <w:top w:val="nil"/>
              <w:left w:val="nil"/>
              <w:bottom w:val="nil"/>
              <w:right w:val="nil"/>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Záruky poskytnuté v roku 1998</w:t>
            </w:r>
          </w:p>
        </w:tc>
        <w:tc>
          <w:tcPr>
            <w:tcW w:w="144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08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72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r>
      <w:tr>
        <w:tblPrEx>
          <w:tblW w:w="9195" w:type="dxa"/>
          <w:tblInd w:w="55" w:type="dxa"/>
          <w:tblCellMar>
            <w:left w:w="70" w:type="dxa"/>
            <w:right w:w="70" w:type="dxa"/>
          </w:tblCellMar>
        </w:tblPrEx>
        <w:trPr>
          <w:trHeight w:val="585"/>
        </w:trPr>
        <w:tc>
          <w:tcPr>
            <w:tcW w:w="343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Organizácia</w:t>
            </w:r>
          </w:p>
        </w:tc>
        <w:tc>
          <w:tcPr>
            <w:tcW w:w="144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Záručná listina</w:t>
            </w:r>
          </w:p>
        </w:tc>
        <w:tc>
          <w:tcPr>
            <w:tcW w:w="108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Druh záruky</w:t>
            </w:r>
          </w:p>
        </w:tc>
        <w:tc>
          <w:tcPr>
            <w:tcW w:w="72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Mena</w:t>
            </w:r>
          </w:p>
        </w:tc>
        <w:tc>
          <w:tcPr>
            <w:tcW w:w="126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Suma v CM k 31.12.2006</w:t>
            </w:r>
          </w:p>
        </w:tc>
        <w:tc>
          <w:tcPr>
            <w:tcW w:w="126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Stav v SKK        k 31.12.2006</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 zár.a rozv.banka, KfW I.</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*10.9.1998</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1,3</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45,8</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 zár.a rozv.banka, KfW I.</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*10.9.1998</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1,0</w:t>
            </w:r>
          </w:p>
        </w:tc>
      </w:tr>
      <w:tr>
        <w:tblPrEx>
          <w:tblW w:w="9195" w:type="dxa"/>
          <w:tblInd w:w="55" w:type="dxa"/>
          <w:tblCellMar>
            <w:left w:w="70" w:type="dxa"/>
            <w:right w:w="70" w:type="dxa"/>
          </w:tblCellMar>
        </w:tblPrEx>
        <w:trPr>
          <w:trHeight w:val="300"/>
        </w:trPr>
        <w:tc>
          <w:tcPr>
            <w:tcW w:w="3435"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44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08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72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FF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b/>
                <w:bCs/>
                <w:sz w:val="20"/>
                <w:szCs w:val="20"/>
              </w:rPr>
            </w:pPr>
            <w:r w:rsidRPr="006202D9">
              <w:rPr>
                <w:rFonts w:ascii="Times New Roman" w:hAnsi="Times New Roman" w:cs="Times New Roman"/>
                <w:b/>
                <w:bCs/>
                <w:sz w:val="20"/>
                <w:szCs w:val="20"/>
              </w:rPr>
              <w:t>46,8</w:t>
            </w:r>
          </w:p>
        </w:tc>
      </w:tr>
      <w:tr>
        <w:tblPrEx>
          <w:tblW w:w="9195" w:type="dxa"/>
          <w:tblInd w:w="55" w:type="dxa"/>
          <w:tblCellMar>
            <w:left w:w="70" w:type="dxa"/>
            <w:right w:w="70" w:type="dxa"/>
          </w:tblCellMar>
        </w:tblPrEx>
        <w:trPr>
          <w:trHeight w:val="300"/>
        </w:trPr>
        <w:tc>
          <w:tcPr>
            <w:tcW w:w="3435" w:type="dxa"/>
            <w:tcBorders>
              <w:top w:val="nil"/>
              <w:left w:val="nil"/>
              <w:bottom w:val="nil"/>
              <w:right w:val="nil"/>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Záruky poskytnuté v roku 1999</w:t>
            </w:r>
          </w:p>
        </w:tc>
        <w:tc>
          <w:tcPr>
            <w:tcW w:w="144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08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72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r>
      <w:tr>
        <w:tblPrEx>
          <w:tblW w:w="9195" w:type="dxa"/>
          <w:tblInd w:w="55" w:type="dxa"/>
          <w:tblCellMar>
            <w:left w:w="70" w:type="dxa"/>
            <w:right w:w="70" w:type="dxa"/>
          </w:tblCellMar>
        </w:tblPrEx>
        <w:trPr>
          <w:trHeight w:val="585"/>
        </w:trPr>
        <w:tc>
          <w:tcPr>
            <w:tcW w:w="343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Organizácia</w:t>
            </w:r>
          </w:p>
        </w:tc>
        <w:tc>
          <w:tcPr>
            <w:tcW w:w="144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Záručná listina</w:t>
            </w:r>
          </w:p>
        </w:tc>
        <w:tc>
          <w:tcPr>
            <w:tcW w:w="108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Druh záruky</w:t>
            </w:r>
          </w:p>
        </w:tc>
        <w:tc>
          <w:tcPr>
            <w:tcW w:w="72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Mena</w:t>
            </w:r>
          </w:p>
        </w:tc>
        <w:tc>
          <w:tcPr>
            <w:tcW w:w="126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Suma v CM k 31.12.2006</w:t>
            </w:r>
          </w:p>
        </w:tc>
        <w:tc>
          <w:tcPr>
            <w:tcW w:w="126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Stav v SKK        k 31.12.2006</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Paroplynový cyklus, a.s. Blava EIB</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FIN 0.2146</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28,5</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986,4</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Paroplynový cyklus, a.s. Blava EIB</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FIN 0.2146</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3,7</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127,9</w:t>
            </w:r>
          </w:p>
        </w:tc>
      </w:tr>
      <w:tr>
        <w:tblPrEx>
          <w:tblW w:w="9195" w:type="dxa"/>
          <w:tblInd w:w="55" w:type="dxa"/>
          <w:tblCellMar>
            <w:left w:w="70" w:type="dxa"/>
            <w:right w:w="70" w:type="dxa"/>
          </w:tblCellMar>
        </w:tblPrEx>
        <w:trPr>
          <w:trHeight w:val="300"/>
        </w:trPr>
        <w:tc>
          <w:tcPr>
            <w:tcW w:w="3435"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44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08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72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b/>
                <w:bCs/>
                <w:sz w:val="20"/>
                <w:szCs w:val="20"/>
              </w:rPr>
            </w:pPr>
            <w:r w:rsidRPr="006202D9">
              <w:rPr>
                <w:rFonts w:ascii="Times New Roman" w:hAnsi="Times New Roman" w:cs="Times New Roman"/>
                <w:b/>
                <w:bCs/>
                <w:sz w:val="20"/>
                <w:szCs w:val="20"/>
              </w:rPr>
              <w:t>1 114,3</w:t>
            </w:r>
          </w:p>
        </w:tc>
      </w:tr>
    </w:tbl>
    <w:p w:rsidR="00AD263C">
      <w:pPr>
        <w:rPr>
          <w:rFonts w:ascii="Times New Roman" w:hAnsi="Times New Roman" w:cs="Times New Roman"/>
        </w:rPr>
      </w:pPr>
      <w:r>
        <w:rPr>
          <w:rFonts w:ascii="Times New Roman" w:hAnsi="Times New Roman" w:cs="Times New Roman"/>
        </w:rPr>
        <w:br w:type="page"/>
      </w:r>
    </w:p>
    <w:tbl>
      <w:tblPr>
        <w:tblW w:w="9195" w:type="dxa"/>
        <w:tblInd w:w="55" w:type="dxa"/>
        <w:tblCellMar>
          <w:left w:w="70" w:type="dxa"/>
          <w:right w:w="70" w:type="dxa"/>
        </w:tblCellMar>
      </w:tblPr>
      <w:tblGrid>
        <w:gridCol w:w="3435"/>
        <w:gridCol w:w="1440"/>
        <w:gridCol w:w="1080"/>
        <w:gridCol w:w="720"/>
        <w:gridCol w:w="1260"/>
        <w:gridCol w:w="1260"/>
      </w:tblGrid>
      <w:tr>
        <w:tblPrEx>
          <w:tblW w:w="9195" w:type="dxa"/>
          <w:tblInd w:w="55" w:type="dxa"/>
          <w:tblCellMar>
            <w:left w:w="70" w:type="dxa"/>
            <w:right w:w="70" w:type="dxa"/>
          </w:tblCellMar>
        </w:tblPrEx>
        <w:trPr>
          <w:trHeight w:val="300"/>
        </w:trPr>
        <w:tc>
          <w:tcPr>
            <w:tcW w:w="3435" w:type="dxa"/>
            <w:tcBorders>
              <w:top w:val="nil"/>
              <w:left w:val="nil"/>
              <w:bottom w:val="nil"/>
              <w:right w:val="nil"/>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Záruky poskytnuté v roku 2000</w:t>
            </w:r>
          </w:p>
        </w:tc>
        <w:tc>
          <w:tcPr>
            <w:tcW w:w="144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08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72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r>
      <w:tr>
        <w:tblPrEx>
          <w:tblW w:w="9195" w:type="dxa"/>
          <w:tblInd w:w="55" w:type="dxa"/>
          <w:tblCellMar>
            <w:left w:w="70" w:type="dxa"/>
            <w:right w:w="70" w:type="dxa"/>
          </w:tblCellMar>
        </w:tblPrEx>
        <w:trPr>
          <w:trHeight w:val="585"/>
        </w:trPr>
        <w:tc>
          <w:tcPr>
            <w:tcW w:w="343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Organizácia</w:t>
            </w:r>
          </w:p>
        </w:tc>
        <w:tc>
          <w:tcPr>
            <w:tcW w:w="144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Záručná listina</w:t>
            </w:r>
          </w:p>
        </w:tc>
        <w:tc>
          <w:tcPr>
            <w:tcW w:w="108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Druh záruky</w:t>
            </w:r>
          </w:p>
        </w:tc>
        <w:tc>
          <w:tcPr>
            <w:tcW w:w="72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Mena</w:t>
            </w:r>
          </w:p>
        </w:tc>
        <w:tc>
          <w:tcPr>
            <w:tcW w:w="126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Suma v CM k 31.12.2006</w:t>
            </w:r>
          </w:p>
        </w:tc>
        <w:tc>
          <w:tcPr>
            <w:tcW w:w="126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Stav v SKK        k 31.12.2006</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Železnice SR, J.P.Morgan</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26.5.2000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200,0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6 914,6</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Železnice SR, J.P.Morgan</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26.5.2000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16,0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553,2</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 xml:space="preserve">Slov.vod.podnik Rozv.Banka RE         </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27.6.2000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28,8</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994,7</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 xml:space="preserve">Slov.vod.podnik Rozv.Banka RE        </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27.6.2000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1,5</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51,9</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 zár. a rozvoj. banka KfW II.</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21.12.2000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21,0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726,0</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 zár. a rozvoj. banka KfW II.</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21.12.2000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1,3</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44,9</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 zár. a rozvoj. banka KfW III.</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21.12.2000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4,4</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151,3</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 zár. a rozvoj. banka KfW III.</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21.12.2000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0,5</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15,9</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 zár. a rozvoj. banka KfW IV.</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21.12.2000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4,7</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162,1</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 zár. a rozvoj. banka KfW IV.</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21.12.2000</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0,7</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24,7</w:t>
            </w:r>
          </w:p>
        </w:tc>
      </w:tr>
      <w:tr>
        <w:tblPrEx>
          <w:tblW w:w="9195" w:type="dxa"/>
          <w:tblInd w:w="55" w:type="dxa"/>
          <w:tblCellMar>
            <w:left w:w="70" w:type="dxa"/>
            <w:right w:w="70" w:type="dxa"/>
          </w:tblCellMar>
        </w:tblPrEx>
        <w:trPr>
          <w:trHeight w:val="300"/>
        </w:trPr>
        <w:tc>
          <w:tcPr>
            <w:tcW w:w="3435" w:type="dxa"/>
            <w:tcBorders>
              <w:top w:val="nil"/>
              <w:left w:val="nil"/>
              <w:bottom w:val="nil"/>
              <w:right w:val="nil"/>
              <w:tl2br w:val="nil"/>
              <w:tr2bl w:val="nil"/>
            </w:tcBorders>
            <w:textDirection w:val="lrTb"/>
            <w:vAlign w:val="top"/>
          </w:tcPr>
          <w:p w:rsidR="0088143A" w:rsidRPr="006202D9" w:rsidP="00B534F8">
            <w:pPr>
              <w:rPr>
                <w:rFonts w:ascii="Times New Roman" w:hAnsi="Times New Roman" w:cs="Times New Roman"/>
                <w:color w:val="000000"/>
                <w:sz w:val="20"/>
                <w:szCs w:val="20"/>
              </w:rPr>
            </w:pPr>
          </w:p>
        </w:tc>
        <w:tc>
          <w:tcPr>
            <w:tcW w:w="1440" w:type="dxa"/>
            <w:tcBorders>
              <w:top w:val="nil"/>
              <w:left w:val="nil"/>
              <w:bottom w:val="nil"/>
              <w:right w:val="nil"/>
              <w:tl2br w:val="nil"/>
              <w:tr2bl w:val="nil"/>
            </w:tcBorders>
            <w:textDirection w:val="lrTb"/>
            <w:vAlign w:val="top"/>
          </w:tcPr>
          <w:p w:rsidR="0088143A" w:rsidRPr="006202D9" w:rsidP="00B534F8">
            <w:pPr>
              <w:jc w:val="right"/>
              <w:rPr>
                <w:rFonts w:ascii="Times New Roman" w:hAnsi="Times New Roman" w:cs="Times New Roman"/>
                <w:color w:val="000000"/>
                <w:sz w:val="20"/>
                <w:szCs w:val="20"/>
              </w:rPr>
            </w:pPr>
          </w:p>
        </w:tc>
        <w:tc>
          <w:tcPr>
            <w:tcW w:w="1080" w:type="dxa"/>
            <w:tcBorders>
              <w:top w:val="nil"/>
              <w:left w:val="nil"/>
              <w:bottom w:val="nil"/>
              <w:right w:val="nil"/>
              <w:tl2br w:val="nil"/>
              <w:tr2bl w:val="nil"/>
            </w:tcBorders>
            <w:textDirection w:val="lrTb"/>
            <w:vAlign w:val="top"/>
          </w:tcPr>
          <w:p w:rsidR="0088143A" w:rsidRPr="006202D9" w:rsidP="00B534F8">
            <w:pPr>
              <w:jc w:val="right"/>
              <w:rPr>
                <w:rFonts w:ascii="Times New Roman" w:hAnsi="Times New Roman" w:cs="Times New Roman"/>
                <w:color w:val="000000"/>
                <w:sz w:val="20"/>
                <w:szCs w:val="20"/>
              </w:rPr>
            </w:pPr>
          </w:p>
        </w:tc>
        <w:tc>
          <w:tcPr>
            <w:tcW w:w="720" w:type="dxa"/>
            <w:tcBorders>
              <w:top w:val="nil"/>
              <w:left w:val="nil"/>
              <w:bottom w:val="nil"/>
              <w:right w:val="nil"/>
              <w:tl2br w:val="nil"/>
              <w:tr2bl w:val="nil"/>
            </w:tcBorders>
            <w:textDirection w:val="lrTb"/>
            <w:vAlign w:val="top"/>
          </w:tcPr>
          <w:p w:rsidR="0088143A"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88143A"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88143A" w:rsidRPr="0088143A" w:rsidP="00B534F8">
            <w:pPr>
              <w:jc w:val="right"/>
              <w:rPr>
                <w:rFonts w:ascii="Times New Roman" w:hAnsi="Times New Roman" w:cs="Times New Roman"/>
                <w:b/>
                <w:color w:val="000000"/>
                <w:sz w:val="20"/>
                <w:szCs w:val="20"/>
              </w:rPr>
            </w:pPr>
            <w:r w:rsidRPr="0088143A">
              <w:rPr>
                <w:rFonts w:ascii="Times New Roman" w:hAnsi="Times New Roman" w:cs="Times New Roman"/>
                <w:b/>
                <w:color w:val="000000"/>
                <w:sz w:val="20"/>
                <w:szCs w:val="20"/>
              </w:rPr>
              <w:t>9</w:t>
            </w:r>
            <w:r>
              <w:rPr>
                <w:rFonts w:ascii="Times New Roman" w:hAnsi="Times New Roman" w:cs="Times New Roman"/>
                <w:b/>
                <w:color w:val="000000"/>
                <w:sz w:val="20"/>
                <w:szCs w:val="20"/>
              </w:rPr>
              <w:t xml:space="preserve"> </w:t>
            </w:r>
            <w:r w:rsidRPr="0088143A">
              <w:rPr>
                <w:rFonts w:ascii="Times New Roman" w:hAnsi="Times New Roman" w:cs="Times New Roman"/>
                <w:b/>
                <w:color w:val="000000"/>
                <w:sz w:val="20"/>
                <w:szCs w:val="20"/>
              </w:rPr>
              <w:t>639,3</w:t>
            </w:r>
          </w:p>
        </w:tc>
      </w:tr>
      <w:tr>
        <w:tblPrEx>
          <w:tblW w:w="9195" w:type="dxa"/>
          <w:tblInd w:w="55" w:type="dxa"/>
          <w:tblCellMar>
            <w:left w:w="70" w:type="dxa"/>
            <w:right w:w="70" w:type="dxa"/>
          </w:tblCellMar>
        </w:tblPrEx>
        <w:trPr>
          <w:trHeight w:val="300"/>
        </w:trPr>
        <w:tc>
          <w:tcPr>
            <w:tcW w:w="3435" w:type="dxa"/>
            <w:tcBorders>
              <w:top w:val="nil"/>
              <w:left w:val="nil"/>
              <w:bottom w:val="nil"/>
              <w:right w:val="nil"/>
              <w:tl2br w:val="nil"/>
              <w:tr2bl w:val="nil"/>
            </w:tcBorders>
            <w:textDirection w:val="lrTb"/>
            <w:vAlign w:val="top"/>
          </w:tcPr>
          <w:p w:rsidR="00B534F8" w:rsidRPr="006202D9" w:rsidP="00B534F8">
            <w:pPr>
              <w:rPr>
                <w:rFonts w:ascii="Times New Roman" w:hAnsi="Times New Roman" w:cs="Times New Roman"/>
                <w:color w:val="000000"/>
                <w:sz w:val="20"/>
                <w:szCs w:val="20"/>
              </w:rPr>
            </w:pPr>
            <w:bookmarkStart w:id="4" w:name="RANGE!A92:F150"/>
            <w:r w:rsidRPr="006202D9">
              <w:rPr>
                <w:rFonts w:ascii="Times New Roman" w:hAnsi="Times New Roman" w:cs="Times New Roman"/>
                <w:color w:val="000000"/>
                <w:sz w:val="20"/>
                <w:szCs w:val="20"/>
              </w:rPr>
              <w:t>Záruky poskytnuté v roku 2001</w:t>
            </w:r>
            <w:bookmarkEnd w:id="4"/>
          </w:p>
        </w:tc>
        <w:tc>
          <w:tcPr>
            <w:tcW w:w="144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08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72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r>
      <w:tr>
        <w:tblPrEx>
          <w:tblW w:w="9195" w:type="dxa"/>
          <w:tblInd w:w="55" w:type="dxa"/>
          <w:tblCellMar>
            <w:left w:w="70" w:type="dxa"/>
            <w:right w:w="70" w:type="dxa"/>
          </w:tblCellMar>
        </w:tblPrEx>
        <w:trPr>
          <w:trHeight w:val="585"/>
        </w:trPr>
        <w:tc>
          <w:tcPr>
            <w:tcW w:w="343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Organizácia</w:t>
            </w:r>
          </w:p>
        </w:tc>
        <w:tc>
          <w:tcPr>
            <w:tcW w:w="144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Záručná listina</w:t>
            </w:r>
          </w:p>
        </w:tc>
        <w:tc>
          <w:tcPr>
            <w:tcW w:w="108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Druh záruky</w:t>
            </w:r>
          </w:p>
        </w:tc>
        <w:tc>
          <w:tcPr>
            <w:tcW w:w="72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Mena</w:t>
            </w:r>
          </w:p>
        </w:tc>
        <w:tc>
          <w:tcPr>
            <w:tcW w:w="126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Suma v CM k 31.12.2006</w:t>
            </w:r>
          </w:p>
        </w:tc>
        <w:tc>
          <w:tcPr>
            <w:tcW w:w="126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Stav v SKK        k 31.12.2006</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Sl.elektrárne, a.s. , IRB,a.s.</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28.12.2001</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SKK</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FF0000"/>
                <w:sz w:val="20"/>
                <w:szCs w:val="20"/>
              </w:rPr>
            </w:pPr>
            <w:r w:rsidRPr="006202D9">
              <w:rPr>
                <w:rFonts w:ascii="Times New Roman" w:hAnsi="Times New Roman" w:cs="Times New Roman"/>
                <w:color w:val="FF0000"/>
                <w:sz w:val="20"/>
                <w:szCs w:val="20"/>
              </w:rPr>
              <w:t> </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 xml:space="preserve">Sl.elektrárne, a.s. , IRB,a.s.     </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c.142196001</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SKK</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FF0000"/>
                <w:sz w:val="20"/>
                <w:szCs w:val="20"/>
              </w:rPr>
            </w:pPr>
            <w:r w:rsidRPr="006202D9">
              <w:rPr>
                <w:rFonts w:ascii="Times New Roman" w:hAnsi="Times New Roman" w:cs="Times New Roman"/>
                <w:color w:val="FF0000"/>
                <w:sz w:val="20"/>
                <w:szCs w:val="20"/>
              </w:rPr>
              <w:t> </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Sl.elektrárne, a.s. , IRB,a.s..</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28.12.2001</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SKK</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FF0000"/>
                <w:sz w:val="20"/>
                <w:szCs w:val="20"/>
              </w:rPr>
            </w:pPr>
            <w:r w:rsidRPr="006202D9">
              <w:rPr>
                <w:rFonts w:ascii="Times New Roman" w:hAnsi="Times New Roman" w:cs="Times New Roman"/>
                <w:color w:val="FF0000"/>
                <w:sz w:val="20"/>
                <w:szCs w:val="20"/>
              </w:rPr>
              <w:t> </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9195" w:type="dxa"/>
          <w:tblInd w:w="55" w:type="dxa"/>
          <w:tblCellMar>
            <w:left w:w="70" w:type="dxa"/>
            <w:right w:w="70" w:type="dxa"/>
          </w:tblCellMar>
        </w:tblPrEx>
        <w:trPr>
          <w:trHeight w:val="360"/>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Sl.elektrárne, a.s. , IRB,a.s.</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c.142196001</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SKK</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FF0000"/>
                <w:sz w:val="20"/>
                <w:szCs w:val="20"/>
              </w:rPr>
            </w:pPr>
            <w:r w:rsidRPr="006202D9">
              <w:rPr>
                <w:rFonts w:ascii="Times New Roman" w:hAnsi="Times New Roman" w:cs="Times New Roman"/>
                <w:color w:val="FF0000"/>
                <w:sz w:val="20"/>
                <w:szCs w:val="20"/>
              </w:rPr>
              <w:t> </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9195" w:type="dxa"/>
          <w:tblInd w:w="55" w:type="dxa"/>
          <w:tblCellMar>
            <w:left w:w="70" w:type="dxa"/>
            <w:right w:w="70" w:type="dxa"/>
          </w:tblCellMar>
        </w:tblPrEx>
        <w:trPr>
          <w:trHeight w:val="390"/>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Most Košická,METRO, a.s.- EIB, Luxemb.</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10.12.2001</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9195" w:type="dxa"/>
          <w:tblInd w:w="55" w:type="dxa"/>
          <w:tblCellMar>
            <w:left w:w="70" w:type="dxa"/>
            <w:right w:w="70" w:type="dxa"/>
          </w:tblCellMar>
        </w:tblPrEx>
        <w:trPr>
          <w:trHeight w:val="420"/>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Most Košická,METRO, a.s.- EIB, Luxemb.</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10.12.2001</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9195" w:type="dxa"/>
          <w:tblInd w:w="55" w:type="dxa"/>
          <w:tblCellMar>
            <w:left w:w="70" w:type="dxa"/>
            <w:right w:w="70" w:type="dxa"/>
          </w:tblCellMar>
        </w:tblPrEx>
        <w:trPr>
          <w:trHeight w:val="315"/>
        </w:trPr>
        <w:tc>
          <w:tcPr>
            <w:tcW w:w="3435"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ŽSR - Tatra Banka, a.s.</w:t>
            </w:r>
          </w:p>
        </w:tc>
        <w:tc>
          <w:tcPr>
            <w:tcW w:w="1440" w:type="dxa"/>
            <w:tcBorders>
              <w:top w:val="single" w:sz="8"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4.6.2001</w:t>
            </w:r>
          </w:p>
        </w:tc>
        <w:tc>
          <w:tcPr>
            <w:tcW w:w="1080" w:type="dxa"/>
            <w:tcBorders>
              <w:top w:val="single" w:sz="8" w:space="0" w:color="auto"/>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single" w:sz="8" w:space="0" w:color="auto"/>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SKK</w:t>
            </w:r>
          </w:p>
        </w:tc>
        <w:tc>
          <w:tcPr>
            <w:tcW w:w="1260" w:type="dxa"/>
            <w:tcBorders>
              <w:top w:val="single" w:sz="8"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FF0000"/>
                <w:sz w:val="20"/>
                <w:szCs w:val="20"/>
              </w:rPr>
            </w:pPr>
            <w:r w:rsidRPr="006202D9">
              <w:rPr>
                <w:rFonts w:ascii="Times New Roman" w:hAnsi="Times New Roman" w:cs="Times New Roman"/>
                <w:color w:val="FF0000"/>
                <w:sz w:val="20"/>
                <w:szCs w:val="20"/>
              </w:rPr>
              <w:t> </w:t>
            </w:r>
          </w:p>
        </w:tc>
        <w:tc>
          <w:tcPr>
            <w:tcW w:w="1260" w:type="dxa"/>
            <w:tcBorders>
              <w:top w:val="single" w:sz="8"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1 350,5</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ŽSR - Tatra Banka, a.s.</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4.6.2001</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SKK</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FF0000"/>
                <w:sz w:val="20"/>
                <w:szCs w:val="20"/>
              </w:rPr>
            </w:pPr>
            <w:r w:rsidRPr="006202D9">
              <w:rPr>
                <w:rFonts w:ascii="Times New Roman" w:hAnsi="Times New Roman" w:cs="Times New Roman"/>
                <w:color w:val="FF0000"/>
                <w:sz w:val="20"/>
                <w:szCs w:val="20"/>
              </w:rPr>
              <w:t> </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125,6</w:t>
            </w:r>
          </w:p>
        </w:tc>
      </w:tr>
      <w:tr>
        <w:tblPrEx>
          <w:tblW w:w="9195" w:type="dxa"/>
          <w:tblInd w:w="55" w:type="dxa"/>
          <w:tblCellMar>
            <w:left w:w="70" w:type="dxa"/>
            <w:right w:w="70" w:type="dxa"/>
          </w:tblCellMar>
        </w:tblPrEx>
        <w:trPr>
          <w:trHeight w:val="300"/>
        </w:trPr>
        <w:tc>
          <w:tcPr>
            <w:tcW w:w="3435"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44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08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72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FF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b/>
                <w:bCs/>
                <w:sz w:val="20"/>
                <w:szCs w:val="20"/>
              </w:rPr>
            </w:pPr>
            <w:r w:rsidRPr="006202D9">
              <w:rPr>
                <w:rFonts w:ascii="Times New Roman" w:hAnsi="Times New Roman" w:cs="Times New Roman"/>
                <w:b/>
                <w:bCs/>
                <w:sz w:val="20"/>
                <w:szCs w:val="20"/>
              </w:rPr>
              <w:t>1 476,1</w:t>
            </w:r>
          </w:p>
        </w:tc>
      </w:tr>
      <w:tr>
        <w:tblPrEx>
          <w:tblW w:w="9195" w:type="dxa"/>
          <w:tblInd w:w="55" w:type="dxa"/>
          <w:tblCellMar>
            <w:left w:w="70" w:type="dxa"/>
            <w:right w:w="70" w:type="dxa"/>
          </w:tblCellMar>
        </w:tblPrEx>
        <w:trPr>
          <w:trHeight w:val="300"/>
        </w:trPr>
        <w:tc>
          <w:tcPr>
            <w:tcW w:w="3435" w:type="dxa"/>
            <w:tcBorders>
              <w:top w:val="nil"/>
              <w:left w:val="nil"/>
              <w:bottom w:val="nil"/>
              <w:right w:val="nil"/>
              <w:tl2br w:val="nil"/>
              <w:tr2bl w:val="nil"/>
            </w:tcBorders>
            <w:textDirection w:val="lrTb"/>
            <w:vAlign w:val="top"/>
          </w:tcPr>
          <w:p w:rsidR="0088143A" w:rsidP="00B534F8">
            <w:pPr>
              <w:rPr>
                <w:rFonts w:ascii="Times New Roman" w:hAnsi="Times New Roman" w:cs="Times New Roman"/>
                <w:color w:val="000000"/>
                <w:sz w:val="20"/>
                <w:szCs w:val="20"/>
              </w:rPr>
            </w:pPr>
          </w:p>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 xml:space="preserve">Záruky poskytnuté v roku 2002 </w:t>
            </w:r>
          </w:p>
        </w:tc>
        <w:tc>
          <w:tcPr>
            <w:tcW w:w="144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08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72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r>
      <w:tr>
        <w:tblPrEx>
          <w:tblW w:w="9195" w:type="dxa"/>
          <w:tblInd w:w="55" w:type="dxa"/>
          <w:tblCellMar>
            <w:left w:w="70" w:type="dxa"/>
            <w:right w:w="70" w:type="dxa"/>
          </w:tblCellMar>
        </w:tblPrEx>
        <w:trPr>
          <w:trHeight w:val="585"/>
        </w:trPr>
        <w:tc>
          <w:tcPr>
            <w:tcW w:w="343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Organizácia</w:t>
            </w:r>
          </w:p>
        </w:tc>
        <w:tc>
          <w:tcPr>
            <w:tcW w:w="144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Záručná listina</w:t>
            </w:r>
          </w:p>
        </w:tc>
        <w:tc>
          <w:tcPr>
            <w:tcW w:w="108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Druh záruky</w:t>
            </w:r>
          </w:p>
        </w:tc>
        <w:tc>
          <w:tcPr>
            <w:tcW w:w="72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Mena</w:t>
            </w:r>
          </w:p>
        </w:tc>
        <w:tc>
          <w:tcPr>
            <w:tcW w:w="126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Suma v CM k 31.12.2006</w:t>
            </w:r>
          </w:p>
        </w:tc>
        <w:tc>
          <w:tcPr>
            <w:tcW w:w="126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Stav v SKK        k 31.12.2006</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Most Košická,METRO, a.s.- VÚB, a.s.</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1.3.2002</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SKK</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 </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Most Košická,METRO, a.s.- VÚB, a.s.</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1.3.2002</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úroky</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SKK</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 </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0,0</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ŽSR - Ľudová banka, a.s.</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29.4.2002</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SKK</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FF0000"/>
                <w:sz w:val="20"/>
                <w:szCs w:val="20"/>
              </w:rPr>
            </w:pPr>
            <w:r w:rsidRPr="006202D9">
              <w:rPr>
                <w:rFonts w:ascii="Times New Roman" w:hAnsi="Times New Roman" w:cs="Times New Roman"/>
                <w:color w:val="FF0000"/>
                <w:sz w:val="20"/>
                <w:szCs w:val="20"/>
              </w:rPr>
              <w:t> </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1 818,5</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ŽSR - Ľudová banka, a.s.</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29.4.2002</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úroky</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SKK</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FF0000"/>
                <w:sz w:val="20"/>
                <w:szCs w:val="20"/>
              </w:rPr>
            </w:pPr>
            <w:r w:rsidRPr="006202D9">
              <w:rPr>
                <w:rFonts w:ascii="Times New Roman" w:hAnsi="Times New Roman" w:cs="Times New Roman"/>
                <w:color w:val="FF0000"/>
                <w:sz w:val="20"/>
                <w:szCs w:val="20"/>
              </w:rPr>
              <w:t> </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255,2</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ŽSR - J.P.Morgan</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11.6.2002</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SKK</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FF0000"/>
                <w:sz w:val="20"/>
                <w:szCs w:val="20"/>
              </w:rPr>
            </w:pPr>
            <w:r w:rsidRPr="006202D9">
              <w:rPr>
                <w:rFonts w:ascii="Times New Roman" w:hAnsi="Times New Roman" w:cs="Times New Roman"/>
                <w:color w:val="FF0000"/>
                <w:sz w:val="20"/>
                <w:szCs w:val="20"/>
              </w:rPr>
              <w:t> </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6 840,0</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ŽSR - J.P.Morgan</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11.6.2002</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úroky</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SKK</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FF0000"/>
                <w:sz w:val="20"/>
                <w:szCs w:val="20"/>
              </w:rPr>
            </w:pPr>
            <w:r w:rsidRPr="006202D9">
              <w:rPr>
                <w:rFonts w:ascii="Times New Roman" w:hAnsi="Times New Roman" w:cs="Times New Roman"/>
                <w:color w:val="FF0000"/>
                <w:sz w:val="20"/>
                <w:szCs w:val="20"/>
              </w:rPr>
              <w:t> </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2 831,8</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ŽSR-Konzorcium,Tatrabanka,SLSP</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3.9.2002</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SKK</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FF0000"/>
                <w:sz w:val="20"/>
                <w:szCs w:val="20"/>
              </w:rPr>
            </w:pPr>
            <w:r w:rsidRPr="006202D9">
              <w:rPr>
                <w:rFonts w:ascii="Times New Roman" w:hAnsi="Times New Roman" w:cs="Times New Roman"/>
                <w:color w:val="FF0000"/>
                <w:sz w:val="20"/>
                <w:szCs w:val="20"/>
              </w:rPr>
              <w:t> </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1 188,0</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ŽSR-Konzorcium,Tatrabanka,SLSP</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3.9.2002</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úroky</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SKK</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FF0000"/>
                <w:sz w:val="20"/>
                <w:szCs w:val="20"/>
              </w:rPr>
            </w:pPr>
            <w:r w:rsidRPr="006202D9">
              <w:rPr>
                <w:rFonts w:ascii="Times New Roman" w:hAnsi="Times New Roman" w:cs="Times New Roman"/>
                <w:color w:val="FF0000"/>
                <w:sz w:val="20"/>
                <w:szCs w:val="20"/>
              </w:rPr>
              <w:t> </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113,5</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ŽSR - ČSOB a.s.</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20.12.2002</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SKK</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FF0000"/>
                <w:sz w:val="20"/>
                <w:szCs w:val="20"/>
              </w:rPr>
            </w:pPr>
            <w:r w:rsidRPr="006202D9">
              <w:rPr>
                <w:rFonts w:ascii="Times New Roman" w:hAnsi="Times New Roman" w:cs="Times New Roman"/>
                <w:color w:val="FF0000"/>
                <w:sz w:val="20"/>
                <w:szCs w:val="20"/>
              </w:rPr>
              <w:t> </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1 810,0</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ŽSR - ČSOB a.s.</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20.12.2002</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úroky</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SKK</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FF0000"/>
                <w:sz w:val="20"/>
                <w:szCs w:val="20"/>
              </w:rPr>
            </w:pPr>
            <w:r w:rsidRPr="006202D9">
              <w:rPr>
                <w:rFonts w:ascii="Times New Roman" w:hAnsi="Times New Roman" w:cs="Times New Roman"/>
                <w:color w:val="FF0000"/>
                <w:sz w:val="20"/>
                <w:szCs w:val="20"/>
              </w:rPr>
              <w:t> </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237,1</w:t>
            </w:r>
          </w:p>
        </w:tc>
      </w:tr>
      <w:tr>
        <w:tblPrEx>
          <w:tblW w:w="9195" w:type="dxa"/>
          <w:tblInd w:w="55" w:type="dxa"/>
          <w:tblCellMar>
            <w:left w:w="70" w:type="dxa"/>
            <w:right w:w="70" w:type="dxa"/>
          </w:tblCellMar>
        </w:tblPrEx>
        <w:trPr>
          <w:trHeight w:val="300"/>
        </w:trPr>
        <w:tc>
          <w:tcPr>
            <w:tcW w:w="3435"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44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08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72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FF0000"/>
                <w:sz w:val="20"/>
                <w:szCs w:val="20"/>
              </w:rPr>
            </w:pPr>
          </w:p>
        </w:tc>
        <w:tc>
          <w:tcPr>
            <w:tcW w:w="126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b/>
                <w:bCs/>
                <w:sz w:val="20"/>
                <w:szCs w:val="20"/>
              </w:rPr>
            </w:pPr>
            <w:r w:rsidRPr="006202D9">
              <w:rPr>
                <w:rFonts w:ascii="Times New Roman" w:hAnsi="Times New Roman" w:cs="Times New Roman"/>
                <w:b/>
                <w:bCs/>
                <w:sz w:val="20"/>
                <w:szCs w:val="20"/>
              </w:rPr>
              <w:t>15 094,1</w:t>
            </w:r>
          </w:p>
        </w:tc>
      </w:tr>
      <w:tr>
        <w:tblPrEx>
          <w:tblW w:w="9195" w:type="dxa"/>
          <w:tblInd w:w="55" w:type="dxa"/>
          <w:tblCellMar>
            <w:left w:w="70" w:type="dxa"/>
            <w:right w:w="70" w:type="dxa"/>
          </w:tblCellMar>
        </w:tblPrEx>
        <w:trPr>
          <w:trHeight w:val="300"/>
        </w:trPr>
        <w:tc>
          <w:tcPr>
            <w:tcW w:w="3435" w:type="dxa"/>
            <w:tcBorders>
              <w:top w:val="nil"/>
              <w:left w:val="nil"/>
              <w:bottom w:val="nil"/>
              <w:right w:val="nil"/>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 xml:space="preserve">Záruky poskytnuté v roku 2003 </w:t>
            </w:r>
          </w:p>
        </w:tc>
        <w:tc>
          <w:tcPr>
            <w:tcW w:w="1440" w:type="dxa"/>
            <w:tcBorders>
              <w:top w:val="nil"/>
              <w:left w:val="nil"/>
              <w:bottom w:val="nil"/>
              <w:right w:val="nil"/>
              <w:tl2br w:val="nil"/>
              <w:tr2bl w:val="nil"/>
            </w:tcBorders>
            <w:textDirection w:val="lrTb"/>
            <w:vAlign w:val="center"/>
          </w:tcPr>
          <w:p w:rsidR="00B534F8" w:rsidRPr="006202D9" w:rsidP="00B534F8">
            <w:pPr>
              <w:rPr>
                <w:rFonts w:ascii="Times New Roman" w:hAnsi="Times New Roman" w:cs="Times New Roman"/>
                <w:color w:val="000000"/>
                <w:sz w:val="20"/>
                <w:szCs w:val="20"/>
              </w:rPr>
            </w:pPr>
          </w:p>
        </w:tc>
        <w:tc>
          <w:tcPr>
            <w:tcW w:w="1080" w:type="dxa"/>
            <w:tcBorders>
              <w:top w:val="nil"/>
              <w:left w:val="nil"/>
              <w:bottom w:val="nil"/>
              <w:right w:val="nil"/>
              <w:tl2br w:val="nil"/>
              <w:tr2bl w:val="nil"/>
            </w:tcBorders>
            <w:textDirection w:val="lrTb"/>
            <w:vAlign w:val="center"/>
          </w:tcPr>
          <w:p w:rsidR="00B534F8" w:rsidRPr="006202D9" w:rsidP="00B534F8">
            <w:pPr>
              <w:rPr>
                <w:rFonts w:ascii="Times New Roman" w:hAnsi="Times New Roman" w:cs="Times New Roman"/>
                <w:color w:val="000000"/>
                <w:sz w:val="20"/>
                <w:szCs w:val="20"/>
              </w:rPr>
            </w:pPr>
          </w:p>
        </w:tc>
        <w:tc>
          <w:tcPr>
            <w:tcW w:w="720" w:type="dxa"/>
            <w:tcBorders>
              <w:top w:val="nil"/>
              <w:left w:val="nil"/>
              <w:bottom w:val="nil"/>
              <w:right w:val="nil"/>
              <w:tl2br w:val="nil"/>
              <w:tr2bl w:val="nil"/>
            </w:tcBorders>
            <w:textDirection w:val="lrTb"/>
            <w:vAlign w:val="center"/>
          </w:tcPr>
          <w:p w:rsidR="00B534F8" w:rsidRPr="006202D9" w:rsidP="00B534F8">
            <w:pPr>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center"/>
          </w:tcPr>
          <w:p w:rsidR="00B534F8" w:rsidRPr="006202D9" w:rsidP="00B534F8">
            <w:pPr>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center"/>
          </w:tcPr>
          <w:p w:rsidR="00B534F8" w:rsidRPr="006202D9" w:rsidP="00B534F8">
            <w:pPr>
              <w:rPr>
                <w:rFonts w:ascii="Times New Roman" w:hAnsi="Times New Roman" w:cs="Times New Roman"/>
                <w:color w:val="000000"/>
                <w:sz w:val="20"/>
                <w:szCs w:val="20"/>
              </w:rPr>
            </w:pPr>
          </w:p>
        </w:tc>
      </w:tr>
      <w:tr>
        <w:tblPrEx>
          <w:tblW w:w="9195" w:type="dxa"/>
          <w:tblInd w:w="55" w:type="dxa"/>
          <w:tblCellMar>
            <w:left w:w="70" w:type="dxa"/>
            <w:right w:w="70" w:type="dxa"/>
          </w:tblCellMar>
        </w:tblPrEx>
        <w:trPr>
          <w:trHeight w:val="585"/>
        </w:trPr>
        <w:tc>
          <w:tcPr>
            <w:tcW w:w="343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Organizácia</w:t>
            </w:r>
          </w:p>
        </w:tc>
        <w:tc>
          <w:tcPr>
            <w:tcW w:w="144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Záručná listina</w:t>
            </w:r>
          </w:p>
        </w:tc>
        <w:tc>
          <w:tcPr>
            <w:tcW w:w="108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Druh záruky</w:t>
            </w:r>
          </w:p>
        </w:tc>
        <w:tc>
          <w:tcPr>
            <w:tcW w:w="72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Mena</w:t>
            </w:r>
          </w:p>
        </w:tc>
        <w:tc>
          <w:tcPr>
            <w:tcW w:w="126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Suma v CM k 31.12.2006</w:t>
            </w:r>
          </w:p>
        </w:tc>
        <w:tc>
          <w:tcPr>
            <w:tcW w:w="126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Stav v SKK        k 31.12.2006</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 záruč. a rozvojová banka,a.s.-EIB I.</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18.11.2002</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9,5</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328,4</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 záruč. a rozvojová banka,a.s.-EIB I.</w:t>
            </w:r>
          </w:p>
        </w:tc>
        <w:tc>
          <w:tcPr>
            <w:tcW w:w="144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18.11.2002</w:t>
            </w:r>
          </w:p>
        </w:tc>
        <w:tc>
          <w:tcPr>
            <w:tcW w:w="108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w:t>
            </w:r>
          </w:p>
        </w:tc>
        <w:tc>
          <w:tcPr>
            <w:tcW w:w="720" w:type="dxa"/>
            <w:tcBorders>
              <w:top w:val="nil"/>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3,9</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134,4</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 záruč. a rozvojová banka,a.s.-EIB II.</w:t>
            </w:r>
          </w:p>
        </w:tc>
        <w:tc>
          <w:tcPr>
            <w:tcW w:w="1440" w:type="dxa"/>
            <w:tcBorders>
              <w:top w:val="nil"/>
              <w:left w:val="nil"/>
              <w:bottom w:val="nil"/>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18.11.2002</w:t>
            </w:r>
          </w:p>
        </w:tc>
        <w:tc>
          <w:tcPr>
            <w:tcW w:w="1080"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nil"/>
              <w:right w:val="nil"/>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20,5</w:t>
            </w:r>
          </w:p>
        </w:tc>
        <w:tc>
          <w:tcPr>
            <w:tcW w:w="1260" w:type="dxa"/>
            <w:tcBorders>
              <w:top w:val="nil"/>
              <w:left w:val="nil"/>
              <w:bottom w:val="nil"/>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708,7</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 záruč. a rozvojová banka,a.s.-EIB II.</w:t>
            </w:r>
          </w:p>
        </w:tc>
        <w:tc>
          <w:tcPr>
            <w:tcW w:w="1440" w:type="dxa"/>
            <w:tcBorders>
              <w:top w:val="single" w:sz="8"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18.11.2002</w:t>
            </w:r>
          </w:p>
        </w:tc>
        <w:tc>
          <w:tcPr>
            <w:tcW w:w="1080" w:type="dxa"/>
            <w:tcBorders>
              <w:top w:val="nil"/>
              <w:left w:val="nil"/>
              <w:bottom w:val="single" w:sz="8" w:space="0" w:color="auto"/>
              <w:right w:val="nil"/>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w:t>
            </w:r>
          </w:p>
        </w:tc>
        <w:tc>
          <w:tcPr>
            <w:tcW w:w="72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10,1</w:t>
            </w:r>
          </w:p>
        </w:tc>
        <w:tc>
          <w:tcPr>
            <w:tcW w:w="1260" w:type="dxa"/>
            <w:tcBorders>
              <w:top w:val="single" w:sz="8"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347,8</w:t>
            </w:r>
          </w:p>
        </w:tc>
      </w:tr>
      <w:tr>
        <w:tblPrEx>
          <w:tblW w:w="9195" w:type="dxa"/>
          <w:tblInd w:w="55" w:type="dxa"/>
          <w:tblCellMar>
            <w:left w:w="70" w:type="dxa"/>
            <w:right w:w="70" w:type="dxa"/>
          </w:tblCellMar>
        </w:tblPrEx>
        <w:trPr>
          <w:trHeight w:val="255"/>
        </w:trPr>
        <w:tc>
          <w:tcPr>
            <w:tcW w:w="3435" w:type="dxa"/>
            <w:tcBorders>
              <w:top w:val="nil"/>
              <w:left w:val="nil"/>
              <w:bottom w:val="nil"/>
              <w:right w:val="nil"/>
              <w:tl2br w:val="nil"/>
              <w:tr2bl w:val="nil"/>
            </w:tcBorders>
            <w:noWrap/>
            <w:textDirection w:val="lrTb"/>
            <w:vAlign w:val="bottom"/>
          </w:tcPr>
          <w:p w:rsidR="00B534F8" w:rsidRPr="006202D9" w:rsidP="00B534F8">
            <w:pPr>
              <w:rPr>
                <w:rFonts w:ascii="Arial" w:hAnsi="Arial" w:cs="Arial"/>
                <w:sz w:val="20"/>
                <w:szCs w:val="20"/>
              </w:rPr>
            </w:pPr>
          </w:p>
        </w:tc>
        <w:tc>
          <w:tcPr>
            <w:tcW w:w="1440" w:type="dxa"/>
            <w:tcBorders>
              <w:top w:val="nil"/>
              <w:left w:val="nil"/>
              <w:bottom w:val="nil"/>
              <w:right w:val="nil"/>
              <w:tl2br w:val="nil"/>
              <w:tr2bl w:val="nil"/>
            </w:tcBorders>
            <w:noWrap/>
            <w:textDirection w:val="lrTb"/>
            <w:vAlign w:val="bottom"/>
          </w:tcPr>
          <w:p w:rsidR="00B534F8" w:rsidRPr="006202D9" w:rsidP="00B534F8">
            <w:pPr>
              <w:rPr>
                <w:rFonts w:ascii="Arial" w:hAnsi="Arial" w:cs="Arial"/>
                <w:sz w:val="20"/>
                <w:szCs w:val="20"/>
              </w:rPr>
            </w:pPr>
          </w:p>
        </w:tc>
        <w:tc>
          <w:tcPr>
            <w:tcW w:w="1080" w:type="dxa"/>
            <w:tcBorders>
              <w:top w:val="nil"/>
              <w:left w:val="nil"/>
              <w:bottom w:val="nil"/>
              <w:right w:val="nil"/>
              <w:tl2br w:val="nil"/>
              <w:tr2bl w:val="nil"/>
            </w:tcBorders>
            <w:noWrap/>
            <w:textDirection w:val="lrTb"/>
            <w:vAlign w:val="bottom"/>
          </w:tcPr>
          <w:p w:rsidR="00B534F8" w:rsidRPr="006202D9" w:rsidP="00B534F8">
            <w:pPr>
              <w:rPr>
                <w:rFonts w:ascii="Arial" w:hAnsi="Arial" w:cs="Arial"/>
                <w:sz w:val="20"/>
                <w:szCs w:val="20"/>
              </w:rPr>
            </w:pPr>
          </w:p>
        </w:tc>
        <w:tc>
          <w:tcPr>
            <w:tcW w:w="720" w:type="dxa"/>
            <w:tcBorders>
              <w:top w:val="nil"/>
              <w:left w:val="nil"/>
              <w:bottom w:val="nil"/>
              <w:right w:val="nil"/>
              <w:tl2br w:val="nil"/>
              <w:tr2bl w:val="nil"/>
            </w:tcBorders>
            <w:noWrap/>
            <w:textDirection w:val="lrTb"/>
            <w:vAlign w:val="bottom"/>
          </w:tcPr>
          <w:p w:rsidR="00B534F8" w:rsidRPr="006202D9" w:rsidP="00B534F8">
            <w:pPr>
              <w:rPr>
                <w:rFonts w:ascii="Arial" w:hAnsi="Arial" w:cs="Arial"/>
                <w:sz w:val="20"/>
                <w:szCs w:val="20"/>
              </w:rPr>
            </w:pPr>
          </w:p>
        </w:tc>
        <w:tc>
          <w:tcPr>
            <w:tcW w:w="1260" w:type="dxa"/>
            <w:tcBorders>
              <w:top w:val="nil"/>
              <w:left w:val="nil"/>
              <w:bottom w:val="nil"/>
              <w:right w:val="nil"/>
              <w:tl2br w:val="nil"/>
              <w:tr2bl w:val="nil"/>
            </w:tcBorders>
            <w:noWrap/>
            <w:textDirection w:val="lrTb"/>
            <w:vAlign w:val="bottom"/>
          </w:tcPr>
          <w:p w:rsidR="00B534F8" w:rsidRPr="006202D9" w:rsidP="00B534F8">
            <w:pPr>
              <w:rPr>
                <w:rFonts w:ascii="Arial" w:hAnsi="Arial" w:cs="Arial"/>
                <w:sz w:val="20"/>
                <w:szCs w:val="20"/>
              </w:rPr>
            </w:pPr>
          </w:p>
        </w:tc>
        <w:tc>
          <w:tcPr>
            <w:tcW w:w="1260" w:type="dxa"/>
            <w:tcBorders>
              <w:top w:val="nil"/>
              <w:left w:val="nil"/>
              <w:bottom w:val="nil"/>
              <w:right w:val="nil"/>
              <w:tl2br w:val="nil"/>
              <w:tr2bl w:val="nil"/>
            </w:tcBorders>
            <w:noWrap/>
            <w:textDirection w:val="lrTb"/>
            <w:vAlign w:val="bottom"/>
          </w:tcPr>
          <w:p w:rsidR="00B534F8" w:rsidRPr="006202D9" w:rsidP="00B534F8">
            <w:pPr>
              <w:jc w:val="right"/>
              <w:rPr>
                <w:rFonts w:ascii="Times New Roman" w:hAnsi="Times New Roman" w:cs="Times New Roman"/>
                <w:b/>
                <w:bCs/>
                <w:sz w:val="20"/>
                <w:szCs w:val="20"/>
              </w:rPr>
            </w:pPr>
            <w:r w:rsidRPr="006202D9">
              <w:rPr>
                <w:rFonts w:ascii="Times New Roman" w:hAnsi="Times New Roman" w:cs="Times New Roman"/>
                <w:b/>
                <w:bCs/>
                <w:sz w:val="20"/>
                <w:szCs w:val="20"/>
              </w:rPr>
              <w:t>1 519,3</w:t>
            </w:r>
          </w:p>
        </w:tc>
      </w:tr>
      <w:tr>
        <w:tblPrEx>
          <w:tblW w:w="9195" w:type="dxa"/>
          <w:tblInd w:w="55" w:type="dxa"/>
          <w:tblCellMar>
            <w:left w:w="70" w:type="dxa"/>
            <w:right w:w="70" w:type="dxa"/>
          </w:tblCellMar>
        </w:tblPrEx>
        <w:trPr>
          <w:trHeight w:val="300"/>
        </w:trPr>
        <w:tc>
          <w:tcPr>
            <w:tcW w:w="3435" w:type="dxa"/>
            <w:tcBorders>
              <w:top w:val="nil"/>
              <w:left w:val="nil"/>
              <w:bottom w:val="nil"/>
              <w:right w:val="nil"/>
              <w:tl2br w:val="nil"/>
              <w:tr2bl w:val="nil"/>
            </w:tcBorders>
            <w:textDirection w:val="lrTb"/>
            <w:vAlign w:val="top"/>
          </w:tcPr>
          <w:p w:rsidR="00B534F8" w:rsidRPr="006202D9" w:rsidP="00B534F8">
            <w:pPr>
              <w:rPr>
                <w:rFonts w:ascii="Times New Roman" w:hAnsi="Times New Roman" w:cs="Times New Roman"/>
                <w:color w:val="000000"/>
                <w:sz w:val="20"/>
                <w:szCs w:val="20"/>
              </w:rPr>
            </w:pPr>
          </w:p>
        </w:tc>
        <w:tc>
          <w:tcPr>
            <w:tcW w:w="1440" w:type="dxa"/>
            <w:tcBorders>
              <w:top w:val="nil"/>
              <w:left w:val="nil"/>
              <w:bottom w:val="nil"/>
              <w:right w:val="nil"/>
              <w:tl2br w:val="nil"/>
              <w:tr2bl w:val="nil"/>
            </w:tcBorders>
            <w:textDirection w:val="lrTb"/>
            <w:vAlign w:val="center"/>
          </w:tcPr>
          <w:p w:rsidR="00B534F8" w:rsidRPr="006202D9" w:rsidP="00B534F8">
            <w:pPr>
              <w:rPr>
                <w:rFonts w:ascii="Times New Roman" w:hAnsi="Times New Roman" w:cs="Times New Roman"/>
                <w:color w:val="000000"/>
                <w:sz w:val="20"/>
                <w:szCs w:val="20"/>
              </w:rPr>
            </w:pPr>
          </w:p>
        </w:tc>
        <w:tc>
          <w:tcPr>
            <w:tcW w:w="1080" w:type="dxa"/>
            <w:tcBorders>
              <w:top w:val="nil"/>
              <w:left w:val="nil"/>
              <w:bottom w:val="nil"/>
              <w:right w:val="nil"/>
              <w:tl2br w:val="nil"/>
              <w:tr2bl w:val="nil"/>
            </w:tcBorders>
            <w:textDirection w:val="lrTb"/>
            <w:vAlign w:val="center"/>
          </w:tcPr>
          <w:p w:rsidR="00B534F8" w:rsidRPr="006202D9" w:rsidP="00B534F8">
            <w:pPr>
              <w:rPr>
                <w:rFonts w:ascii="Times New Roman" w:hAnsi="Times New Roman" w:cs="Times New Roman"/>
                <w:color w:val="000000"/>
                <w:sz w:val="20"/>
                <w:szCs w:val="20"/>
              </w:rPr>
            </w:pPr>
          </w:p>
        </w:tc>
        <w:tc>
          <w:tcPr>
            <w:tcW w:w="720" w:type="dxa"/>
            <w:tcBorders>
              <w:top w:val="nil"/>
              <w:left w:val="nil"/>
              <w:bottom w:val="nil"/>
              <w:right w:val="nil"/>
              <w:tl2br w:val="nil"/>
              <w:tr2bl w:val="nil"/>
            </w:tcBorders>
            <w:textDirection w:val="lrTb"/>
            <w:vAlign w:val="center"/>
          </w:tcPr>
          <w:p w:rsidR="00B534F8" w:rsidRPr="006202D9" w:rsidP="00B534F8">
            <w:pPr>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center"/>
          </w:tcPr>
          <w:p w:rsidR="00B534F8" w:rsidRPr="006202D9" w:rsidP="00B534F8">
            <w:pPr>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center"/>
          </w:tcPr>
          <w:p w:rsidR="00B534F8" w:rsidRPr="006202D9" w:rsidP="00B534F8">
            <w:pPr>
              <w:rPr>
                <w:rFonts w:ascii="Times New Roman" w:hAnsi="Times New Roman" w:cs="Times New Roman"/>
                <w:color w:val="000000"/>
                <w:sz w:val="20"/>
                <w:szCs w:val="20"/>
              </w:rPr>
            </w:pPr>
          </w:p>
        </w:tc>
      </w:tr>
      <w:tr>
        <w:tblPrEx>
          <w:tblW w:w="9195" w:type="dxa"/>
          <w:tblInd w:w="55" w:type="dxa"/>
          <w:tblCellMar>
            <w:left w:w="70" w:type="dxa"/>
            <w:right w:w="70" w:type="dxa"/>
          </w:tblCellMar>
        </w:tblPrEx>
        <w:trPr>
          <w:trHeight w:val="300"/>
        </w:trPr>
        <w:tc>
          <w:tcPr>
            <w:tcW w:w="3435" w:type="dxa"/>
            <w:tcBorders>
              <w:top w:val="nil"/>
              <w:left w:val="nil"/>
              <w:bottom w:val="nil"/>
              <w:right w:val="nil"/>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Záruky poskytnuté v roku 2004</w:t>
            </w:r>
          </w:p>
        </w:tc>
        <w:tc>
          <w:tcPr>
            <w:tcW w:w="1440" w:type="dxa"/>
            <w:tcBorders>
              <w:top w:val="nil"/>
              <w:left w:val="nil"/>
              <w:bottom w:val="nil"/>
              <w:right w:val="nil"/>
              <w:tl2br w:val="nil"/>
              <w:tr2bl w:val="nil"/>
            </w:tcBorders>
            <w:textDirection w:val="lrTb"/>
            <w:vAlign w:val="center"/>
          </w:tcPr>
          <w:p w:rsidR="00B534F8" w:rsidRPr="006202D9" w:rsidP="00B534F8">
            <w:pPr>
              <w:rPr>
                <w:rFonts w:ascii="Times New Roman" w:hAnsi="Times New Roman" w:cs="Times New Roman"/>
                <w:color w:val="000000"/>
                <w:sz w:val="20"/>
                <w:szCs w:val="20"/>
              </w:rPr>
            </w:pPr>
          </w:p>
        </w:tc>
        <w:tc>
          <w:tcPr>
            <w:tcW w:w="1080" w:type="dxa"/>
            <w:tcBorders>
              <w:top w:val="nil"/>
              <w:left w:val="nil"/>
              <w:bottom w:val="nil"/>
              <w:right w:val="nil"/>
              <w:tl2br w:val="nil"/>
              <w:tr2bl w:val="nil"/>
            </w:tcBorders>
            <w:textDirection w:val="lrTb"/>
            <w:vAlign w:val="center"/>
          </w:tcPr>
          <w:p w:rsidR="00B534F8" w:rsidRPr="006202D9" w:rsidP="00B534F8">
            <w:pPr>
              <w:rPr>
                <w:rFonts w:ascii="Times New Roman" w:hAnsi="Times New Roman" w:cs="Times New Roman"/>
                <w:color w:val="000000"/>
                <w:sz w:val="20"/>
                <w:szCs w:val="20"/>
              </w:rPr>
            </w:pPr>
          </w:p>
        </w:tc>
        <w:tc>
          <w:tcPr>
            <w:tcW w:w="720" w:type="dxa"/>
            <w:tcBorders>
              <w:top w:val="nil"/>
              <w:left w:val="nil"/>
              <w:bottom w:val="nil"/>
              <w:right w:val="nil"/>
              <w:tl2br w:val="nil"/>
              <w:tr2bl w:val="nil"/>
            </w:tcBorders>
            <w:textDirection w:val="lrTb"/>
            <w:vAlign w:val="center"/>
          </w:tcPr>
          <w:p w:rsidR="00B534F8" w:rsidRPr="006202D9" w:rsidP="00B534F8">
            <w:pPr>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center"/>
          </w:tcPr>
          <w:p w:rsidR="00B534F8" w:rsidRPr="006202D9" w:rsidP="00B534F8">
            <w:pPr>
              <w:rPr>
                <w:rFonts w:ascii="Times New Roman" w:hAnsi="Times New Roman" w:cs="Times New Roman"/>
                <w:color w:val="000000"/>
                <w:sz w:val="20"/>
                <w:szCs w:val="20"/>
              </w:rPr>
            </w:pPr>
          </w:p>
        </w:tc>
        <w:tc>
          <w:tcPr>
            <w:tcW w:w="1260" w:type="dxa"/>
            <w:tcBorders>
              <w:top w:val="nil"/>
              <w:left w:val="nil"/>
              <w:bottom w:val="nil"/>
              <w:right w:val="nil"/>
              <w:tl2br w:val="nil"/>
              <w:tr2bl w:val="nil"/>
            </w:tcBorders>
            <w:textDirection w:val="lrTb"/>
            <w:vAlign w:val="center"/>
          </w:tcPr>
          <w:p w:rsidR="00B534F8" w:rsidRPr="006202D9" w:rsidP="00B534F8">
            <w:pPr>
              <w:rPr>
                <w:rFonts w:ascii="Times New Roman" w:hAnsi="Times New Roman" w:cs="Times New Roman"/>
                <w:color w:val="000000"/>
                <w:sz w:val="20"/>
                <w:szCs w:val="20"/>
              </w:rPr>
            </w:pPr>
          </w:p>
        </w:tc>
      </w:tr>
      <w:tr>
        <w:tblPrEx>
          <w:tblW w:w="9195" w:type="dxa"/>
          <w:tblInd w:w="55" w:type="dxa"/>
          <w:tblCellMar>
            <w:left w:w="70" w:type="dxa"/>
            <w:right w:w="70" w:type="dxa"/>
          </w:tblCellMar>
        </w:tblPrEx>
        <w:trPr>
          <w:trHeight w:val="585"/>
        </w:trPr>
        <w:tc>
          <w:tcPr>
            <w:tcW w:w="343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Organizácia</w:t>
            </w:r>
          </w:p>
        </w:tc>
        <w:tc>
          <w:tcPr>
            <w:tcW w:w="144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Záručná listina</w:t>
            </w:r>
          </w:p>
        </w:tc>
        <w:tc>
          <w:tcPr>
            <w:tcW w:w="108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Druh záruky</w:t>
            </w:r>
          </w:p>
        </w:tc>
        <w:tc>
          <w:tcPr>
            <w:tcW w:w="72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Mena</w:t>
            </w:r>
          </w:p>
        </w:tc>
        <w:tc>
          <w:tcPr>
            <w:tcW w:w="126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Suma v CM k 31.12.2006</w:t>
            </w:r>
          </w:p>
        </w:tc>
        <w:tc>
          <w:tcPr>
            <w:tcW w:w="1260" w:type="dxa"/>
            <w:tcBorders>
              <w:top w:val="single" w:sz="8" w:space="0" w:color="auto"/>
              <w:left w:val="nil"/>
              <w:bottom w:val="single" w:sz="8" w:space="0" w:color="auto"/>
              <w:right w:val="single" w:sz="8" w:space="0" w:color="auto"/>
              <w:tl2br w:val="nil"/>
              <w:tr2bl w:val="nil"/>
            </w:tcBorders>
            <w:textDirection w:val="lrTb"/>
            <w:vAlign w:val="center"/>
          </w:tcPr>
          <w:p w:rsidR="00B534F8" w:rsidRPr="006202D9" w:rsidP="0088143A">
            <w:pPr>
              <w:jc w:val="center"/>
              <w:rPr>
                <w:rFonts w:ascii="Times New Roman" w:hAnsi="Times New Roman" w:cs="Times New Roman"/>
                <w:b/>
                <w:bCs/>
                <w:color w:val="000000"/>
                <w:sz w:val="20"/>
                <w:szCs w:val="20"/>
              </w:rPr>
            </w:pPr>
            <w:r w:rsidRPr="006202D9">
              <w:rPr>
                <w:rFonts w:ascii="Times New Roman" w:hAnsi="Times New Roman" w:cs="Times New Roman"/>
                <w:b/>
                <w:bCs/>
                <w:color w:val="000000"/>
                <w:sz w:val="20"/>
                <w:szCs w:val="20"/>
              </w:rPr>
              <w:t>Stav v SKK        k 31.12.2006</w:t>
            </w:r>
          </w:p>
        </w:tc>
      </w:tr>
      <w:tr>
        <w:tblPrEx>
          <w:tblW w:w="9195" w:type="dxa"/>
          <w:tblInd w:w="55" w:type="dxa"/>
          <w:tblCellMar>
            <w:left w:w="70" w:type="dxa"/>
            <w:right w:w="70" w:type="dxa"/>
          </w:tblCellMar>
        </w:tblPrEx>
        <w:trPr>
          <w:trHeight w:val="315"/>
        </w:trPr>
        <w:tc>
          <w:tcPr>
            <w:tcW w:w="3435" w:type="dxa"/>
            <w:tcBorders>
              <w:top w:val="nil"/>
              <w:left w:val="single" w:sz="8" w:space="0" w:color="auto"/>
              <w:bottom w:val="single" w:sz="4"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 záruč. a rozvojová banka, a.s.- NIB</w:t>
            </w:r>
          </w:p>
        </w:tc>
        <w:tc>
          <w:tcPr>
            <w:tcW w:w="1440" w:type="dxa"/>
            <w:tcBorders>
              <w:top w:val="nil"/>
              <w:left w:val="nil"/>
              <w:bottom w:val="single" w:sz="4"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19.2.2004</w:t>
            </w:r>
          </w:p>
        </w:tc>
        <w:tc>
          <w:tcPr>
            <w:tcW w:w="1080" w:type="dxa"/>
            <w:tcBorders>
              <w:top w:val="nil"/>
              <w:left w:val="nil"/>
              <w:bottom w:val="single" w:sz="4"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istina</w:t>
            </w:r>
          </w:p>
        </w:tc>
        <w:tc>
          <w:tcPr>
            <w:tcW w:w="720" w:type="dxa"/>
            <w:tcBorders>
              <w:top w:val="nil"/>
              <w:left w:val="nil"/>
              <w:bottom w:val="single" w:sz="4"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nil"/>
              <w:left w:val="nil"/>
              <w:bottom w:val="single" w:sz="4"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10,0</w:t>
            </w:r>
          </w:p>
        </w:tc>
        <w:tc>
          <w:tcPr>
            <w:tcW w:w="1260" w:type="dxa"/>
            <w:tcBorders>
              <w:top w:val="nil"/>
              <w:left w:val="nil"/>
              <w:bottom w:val="single" w:sz="4"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345,7</w:t>
            </w:r>
          </w:p>
        </w:tc>
      </w:tr>
      <w:tr>
        <w:tblPrEx>
          <w:tblW w:w="9195" w:type="dxa"/>
          <w:tblInd w:w="55" w:type="dxa"/>
          <w:tblCellMar>
            <w:left w:w="70" w:type="dxa"/>
            <w:right w:w="70" w:type="dxa"/>
          </w:tblCellMar>
        </w:tblPrEx>
        <w:trPr>
          <w:trHeight w:val="315"/>
        </w:trPr>
        <w:tc>
          <w:tcPr>
            <w:tcW w:w="3435" w:type="dxa"/>
            <w:tcBorders>
              <w:top w:val="single" w:sz="4" w:space="0" w:color="auto"/>
              <w:left w:val="single" w:sz="8" w:space="0" w:color="auto"/>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Slov. záruč. a rozvojová banka, a.s.- NIB</w:t>
            </w:r>
          </w:p>
        </w:tc>
        <w:tc>
          <w:tcPr>
            <w:tcW w:w="1440" w:type="dxa"/>
            <w:tcBorders>
              <w:top w:val="single" w:sz="4"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r w:rsidRPr="006202D9">
              <w:rPr>
                <w:rFonts w:ascii="Times New Roman" w:hAnsi="Times New Roman" w:cs="Times New Roman"/>
                <w:color w:val="000000"/>
                <w:sz w:val="20"/>
                <w:szCs w:val="20"/>
              </w:rPr>
              <w:t>19.2.2004</w:t>
            </w:r>
          </w:p>
        </w:tc>
        <w:tc>
          <w:tcPr>
            <w:tcW w:w="1080" w:type="dxa"/>
            <w:tcBorders>
              <w:top w:val="single" w:sz="4" w:space="0" w:color="auto"/>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úrok</w:t>
            </w:r>
          </w:p>
        </w:tc>
        <w:tc>
          <w:tcPr>
            <w:tcW w:w="720" w:type="dxa"/>
            <w:tcBorders>
              <w:top w:val="single" w:sz="4" w:space="0" w:color="auto"/>
              <w:left w:val="nil"/>
              <w:bottom w:val="single" w:sz="8" w:space="0" w:color="auto"/>
              <w:right w:val="single" w:sz="8" w:space="0" w:color="auto"/>
              <w:tl2br w:val="nil"/>
              <w:tr2bl w:val="nil"/>
            </w:tcBorders>
            <w:textDirection w:val="lrTb"/>
            <w:vAlign w:val="top"/>
          </w:tcPr>
          <w:p w:rsidR="00B534F8" w:rsidRPr="006202D9" w:rsidP="00B534F8">
            <w:pPr>
              <w:rPr>
                <w:rFonts w:ascii="Times New Roman" w:hAnsi="Times New Roman" w:cs="Times New Roman"/>
                <w:color w:val="000000"/>
                <w:sz w:val="20"/>
                <w:szCs w:val="20"/>
              </w:rPr>
            </w:pPr>
            <w:r w:rsidRPr="006202D9">
              <w:rPr>
                <w:rFonts w:ascii="Times New Roman" w:hAnsi="Times New Roman" w:cs="Times New Roman"/>
                <w:color w:val="000000"/>
                <w:sz w:val="20"/>
                <w:szCs w:val="20"/>
              </w:rPr>
              <w:t>EUR</w:t>
            </w:r>
          </w:p>
        </w:tc>
        <w:tc>
          <w:tcPr>
            <w:tcW w:w="1260" w:type="dxa"/>
            <w:tcBorders>
              <w:top w:val="single" w:sz="4"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2,8</w:t>
            </w:r>
          </w:p>
        </w:tc>
        <w:tc>
          <w:tcPr>
            <w:tcW w:w="1260" w:type="dxa"/>
            <w:tcBorders>
              <w:top w:val="single" w:sz="4" w:space="0" w:color="auto"/>
              <w:left w:val="nil"/>
              <w:bottom w:val="single" w:sz="8" w:space="0" w:color="auto"/>
              <w:right w:val="single" w:sz="8" w:space="0" w:color="auto"/>
              <w:tl2br w:val="nil"/>
              <w:tr2bl w:val="nil"/>
            </w:tcBorders>
            <w:textDirection w:val="lrTb"/>
            <w:vAlign w:val="top"/>
          </w:tcPr>
          <w:p w:rsidR="00B534F8" w:rsidRPr="006202D9" w:rsidP="00B534F8">
            <w:pPr>
              <w:jc w:val="right"/>
              <w:rPr>
                <w:rFonts w:ascii="Times New Roman" w:hAnsi="Times New Roman" w:cs="Times New Roman"/>
                <w:sz w:val="20"/>
                <w:szCs w:val="20"/>
              </w:rPr>
            </w:pPr>
            <w:r w:rsidRPr="006202D9">
              <w:rPr>
                <w:rFonts w:ascii="Times New Roman" w:hAnsi="Times New Roman" w:cs="Times New Roman"/>
                <w:sz w:val="20"/>
                <w:szCs w:val="20"/>
              </w:rPr>
              <w:t>96,8</w:t>
            </w:r>
          </w:p>
        </w:tc>
      </w:tr>
      <w:tr>
        <w:tblPrEx>
          <w:tblW w:w="9195" w:type="dxa"/>
          <w:tblInd w:w="55" w:type="dxa"/>
          <w:tblCellMar>
            <w:left w:w="70" w:type="dxa"/>
            <w:right w:w="70" w:type="dxa"/>
          </w:tblCellMar>
        </w:tblPrEx>
        <w:trPr>
          <w:trHeight w:val="300"/>
        </w:trPr>
        <w:tc>
          <w:tcPr>
            <w:tcW w:w="3435" w:type="dxa"/>
            <w:tcBorders>
              <w:top w:val="nil"/>
              <w:left w:val="nil"/>
              <w:bottom w:val="single" w:sz="4" w:space="0" w:color="auto"/>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440" w:type="dxa"/>
            <w:tcBorders>
              <w:top w:val="nil"/>
              <w:left w:val="nil"/>
              <w:bottom w:val="single" w:sz="4" w:space="0" w:color="auto"/>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080" w:type="dxa"/>
            <w:tcBorders>
              <w:top w:val="nil"/>
              <w:left w:val="nil"/>
              <w:bottom w:val="single" w:sz="4" w:space="0" w:color="auto"/>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720" w:type="dxa"/>
            <w:tcBorders>
              <w:top w:val="nil"/>
              <w:left w:val="nil"/>
              <w:bottom w:val="single" w:sz="4" w:space="0" w:color="auto"/>
              <w:right w:val="nil"/>
              <w:tl2br w:val="nil"/>
              <w:tr2bl w:val="nil"/>
            </w:tcBorders>
            <w:textDirection w:val="lrTb"/>
            <w:vAlign w:val="top"/>
          </w:tcPr>
          <w:p w:rsidR="00B534F8" w:rsidRPr="006202D9" w:rsidP="00B534F8">
            <w:pPr>
              <w:jc w:val="right"/>
              <w:rPr>
                <w:rFonts w:ascii="Times New Roman" w:hAnsi="Times New Roman" w:cs="Times New Roman"/>
                <w:color w:val="000000"/>
                <w:sz w:val="20"/>
                <w:szCs w:val="20"/>
              </w:rPr>
            </w:pPr>
          </w:p>
        </w:tc>
        <w:tc>
          <w:tcPr>
            <w:tcW w:w="1260" w:type="dxa"/>
            <w:tcBorders>
              <w:top w:val="nil"/>
              <w:left w:val="nil"/>
              <w:bottom w:val="single" w:sz="4" w:space="0" w:color="auto"/>
              <w:right w:val="nil"/>
              <w:tl2br w:val="nil"/>
              <w:tr2bl w:val="nil"/>
            </w:tcBorders>
            <w:textDirection w:val="lrTb"/>
            <w:vAlign w:val="top"/>
          </w:tcPr>
          <w:p w:rsidR="00B534F8" w:rsidRPr="006202D9" w:rsidP="00B534F8">
            <w:pPr>
              <w:jc w:val="right"/>
              <w:rPr>
                <w:rFonts w:ascii="Times New Roman" w:hAnsi="Times New Roman" w:cs="Times New Roman"/>
                <w:sz w:val="20"/>
                <w:szCs w:val="20"/>
              </w:rPr>
            </w:pPr>
          </w:p>
        </w:tc>
        <w:tc>
          <w:tcPr>
            <w:tcW w:w="1260" w:type="dxa"/>
            <w:tcBorders>
              <w:top w:val="nil"/>
              <w:left w:val="nil"/>
              <w:bottom w:val="single" w:sz="4" w:space="0" w:color="auto"/>
              <w:right w:val="nil"/>
              <w:tl2br w:val="nil"/>
              <w:tr2bl w:val="nil"/>
            </w:tcBorders>
            <w:textDirection w:val="lrTb"/>
            <w:vAlign w:val="top"/>
          </w:tcPr>
          <w:p w:rsidR="00B534F8" w:rsidRPr="006202D9" w:rsidP="00B534F8">
            <w:pPr>
              <w:jc w:val="right"/>
              <w:rPr>
                <w:rFonts w:ascii="Times New Roman" w:hAnsi="Times New Roman" w:cs="Times New Roman"/>
                <w:b/>
                <w:bCs/>
                <w:sz w:val="20"/>
                <w:szCs w:val="20"/>
              </w:rPr>
            </w:pPr>
            <w:r w:rsidRPr="006202D9">
              <w:rPr>
                <w:rFonts w:ascii="Times New Roman" w:hAnsi="Times New Roman" w:cs="Times New Roman"/>
                <w:b/>
                <w:bCs/>
                <w:sz w:val="20"/>
                <w:szCs w:val="20"/>
              </w:rPr>
              <w:t>442,5</w:t>
            </w:r>
          </w:p>
        </w:tc>
      </w:tr>
      <w:tr>
        <w:tblPrEx>
          <w:tblW w:w="9195" w:type="dxa"/>
          <w:tblInd w:w="55" w:type="dxa"/>
          <w:tblCellMar>
            <w:left w:w="70" w:type="dxa"/>
            <w:right w:w="70" w:type="dxa"/>
          </w:tblCellMar>
        </w:tblPrEx>
        <w:trPr>
          <w:trHeight w:val="255"/>
        </w:trPr>
        <w:tc>
          <w:tcPr>
            <w:tcW w:w="3435"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B534F8" w:rsidRPr="006202D9" w:rsidP="00B534F8">
            <w:pPr>
              <w:rPr>
                <w:rFonts w:ascii="Times New Roman" w:hAnsi="Times New Roman" w:cs="Times New Roman"/>
                <w:b/>
                <w:bCs/>
                <w:sz w:val="20"/>
                <w:szCs w:val="20"/>
              </w:rPr>
            </w:pPr>
            <w:r w:rsidR="0088143A">
              <w:rPr>
                <w:rFonts w:ascii="Times New Roman" w:hAnsi="Times New Roman" w:cs="Times New Roman"/>
                <w:b/>
                <w:bCs/>
                <w:sz w:val="20"/>
                <w:szCs w:val="20"/>
              </w:rPr>
              <w:t>SPOLU</w:t>
            </w:r>
          </w:p>
        </w:tc>
        <w:tc>
          <w:tcPr>
            <w:tcW w:w="1440"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B534F8" w:rsidRPr="006202D9" w:rsidP="00B534F8">
            <w:pPr>
              <w:rPr>
                <w:rFonts w:ascii="Times New Roman" w:hAnsi="Times New Roman" w:cs="Times New Roman"/>
                <w:sz w:val="20"/>
                <w:szCs w:val="20"/>
              </w:rPr>
            </w:pPr>
          </w:p>
        </w:tc>
        <w:tc>
          <w:tcPr>
            <w:tcW w:w="1080"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B534F8" w:rsidRPr="006202D9" w:rsidP="00B534F8">
            <w:pPr>
              <w:rPr>
                <w:rFonts w:ascii="Times New Roman" w:hAnsi="Times New Roman" w:cs="Times New Roman"/>
                <w:sz w:val="20"/>
                <w:szCs w:val="20"/>
              </w:rPr>
            </w:pPr>
          </w:p>
        </w:tc>
        <w:tc>
          <w:tcPr>
            <w:tcW w:w="720"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B534F8" w:rsidRPr="006202D9" w:rsidP="00B534F8">
            <w:pPr>
              <w:rPr>
                <w:rFonts w:ascii="Times New Roman" w:hAnsi="Times New Roman" w:cs="Times New Roman"/>
                <w:b/>
                <w:sz w:val="20"/>
                <w:szCs w:val="20"/>
              </w:rPr>
            </w:pPr>
            <w:r w:rsidRPr="006202D9">
              <w:rPr>
                <w:rFonts w:ascii="Times New Roman" w:hAnsi="Times New Roman" w:cs="Times New Roman"/>
                <w:b/>
                <w:sz w:val="20"/>
                <w:szCs w:val="20"/>
              </w:rPr>
              <w:t>SKK</w:t>
            </w:r>
          </w:p>
        </w:tc>
        <w:tc>
          <w:tcPr>
            <w:tcW w:w="1260"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B534F8" w:rsidRPr="006202D9" w:rsidP="00B534F8">
            <w:pPr>
              <w:rPr>
                <w:rFonts w:ascii="Times New Roman" w:hAnsi="Times New Roman" w:cs="Times New Roman"/>
                <w:color w:val="FF0000"/>
                <w:sz w:val="20"/>
                <w:szCs w:val="20"/>
              </w:rPr>
            </w:pPr>
          </w:p>
        </w:tc>
        <w:tc>
          <w:tcPr>
            <w:tcW w:w="1260"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B534F8" w:rsidRPr="006202D9" w:rsidP="00B534F8">
            <w:pPr>
              <w:jc w:val="right"/>
              <w:rPr>
                <w:rFonts w:ascii="Times New Roman" w:hAnsi="Times New Roman" w:cs="Times New Roman"/>
                <w:b/>
                <w:bCs/>
                <w:sz w:val="20"/>
                <w:szCs w:val="20"/>
              </w:rPr>
            </w:pPr>
            <w:r w:rsidRPr="006202D9">
              <w:rPr>
                <w:rFonts w:ascii="Times New Roman" w:hAnsi="Times New Roman" w:cs="Times New Roman"/>
                <w:b/>
                <w:bCs/>
                <w:sz w:val="20"/>
                <w:szCs w:val="20"/>
              </w:rPr>
              <w:t>29 635,6</w:t>
            </w:r>
          </w:p>
        </w:tc>
      </w:tr>
    </w:tbl>
    <w:p w:rsidR="00B652E3" w:rsidP="00AD263C">
      <w:pPr>
        <w:spacing w:line="360" w:lineRule="auto"/>
        <w:rPr>
          <w:rFonts w:ascii="Times New Roman" w:hAnsi="Times New Roman" w:cs="Times New Roman"/>
          <w:b/>
        </w:rPr>
      </w:pPr>
    </w:p>
    <w:p w:rsidR="00B652E3" w:rsidP="006202D9">
      <w:pPr>
        <w:spacing w:line="360" w:lineRule="auto"/>
        <w:rPr>
          <w:rFonts w:ascii="Times New Roman" w:hAnsi="Times New Roman" w:cs="Times New Roman"/>
          <w:b/>
        </w:rPr>
      </w:pPr>
    </w:p>
    <w:p w:rsidR="00A74F9A" w:rsidP="00A74F9A">
      <w:pPr>
        <w:spacing w:line="360" w:lineRule="auto"/>
        <w:ind w:firstLine="708"/>
        <w:jc w:val="center"/>
        <w:rPr>
          <w:rFonts w:ascii="Times New Roman" w:hAnsi="Times New Roman" w:cs="Times New Roman"/>
          <w:b/>
        </w:rPr>
      </w:pPr>
      <w:r w:rsidR="00AD263C">
        <w:rPr>
          <w:rFonts w:ascii="Times New Roman" w:hAnsi="Times New Roman" w:cs="Times New Roman"/>
          <w:b/>
        </w:rPr>
        <w:br w:type="page"/>
      </w:r>
      <w:r w:rsidR="00644DA1">
        <w:rPr>
          <w:rFonts w:ascii="Times New Roman" w:hAnsi="Times New Roman" w:cs="Times New Roman"/>
          <w:b/>
        </w:rPr>
        <w:t>5</w:t>
      </w:r>
      <w:r w:rsidRPr="007F7AB9">
        <w:rPr>
          <w:rFonts w:ascii="Times New Roman" w:hAnsi="Times New Roman" w:cs="Times New Roman"/>
          <w:b/>
        </w:rPr>
        <w:t xml:space="preserve">. Prehľad o poskytnutých úľavách </w:t>
      </w:r>
    </w:p>
    <w:p w:rsidR="00A74F9A" w:rsidRPr="007F7AB9" w:rsidP="00A74F9A">
      <w:pPr>
        <w:spacing w:before="120" w:after="120" w:line="360" w:lineRule="auto"/>
        <w:ind w:firstLine="709"/>
        <w:jc w:val="center"/>
        <w:rPr>
          <w:rFonts w:ascii="Times New Roman" w:hAnsi="Times New Roman" w:cs="Times New Roman"/>
          <w:b/>
        </w:rPr>
      </w:pPr>
      <w:r w:rsidR="00644DA1">
        <w:rPr>
          <w:rFonts w:ascii="Times New Roman" w:hAnsi="Times New Roman" w:cs="Times New Roman"/>
          <w:b/>
        </w:rPr>
        <w:t>5</w:t>
      </w:r>
      <w:r>
        <w:rPr>
          <w:rFonts w:ascii="Times New Roman" w:hAnsi="Times New Roman" w:cs="Times New Roman"/>
          <w:b/>
        </w:rPr>
        <w:t>.1. V pôsobnosti daňových orgánov</w:t>
      </w:r>
    </w:p>
    <w:p w:rsidR="00A74F9A" w:rsidRPr="00F94048" w:rsidP="00A74F9A">
      <w:pPr>
        <w:spacing w:line="360" w:lineRule="auto"/>
        <w:ind w:firstLine="708"/>
        <w:jc w:val="center"/>
        <w:rPr>
          <w:rFonts w:ascii="Times New Roman" w:hAnsi="Times New Roman" w:cs="Times New Roman"/>
          <w:b/>
        </w:rPr>
      </w:pPr>
      <w:r w:rsidR="00644DA1">
        <w:rPr>
          <w:rFonts w:ascii="Times New Roman" w:hAnsi="Times New Roman" w:cs="Times New Roman"/>
          <w:b/>
        </w:rPr>
        <w:t>5</w:t>
      </w:r>
      <w:r w:rsidRPr="00F94048">
        <w:rPr>
          <w:rFonts w:ascii="Times New Roman" w:hAnsi="Times New Roman" w:cs="Times New Roman"/>
          <w:b/>
        </w:rPr>
        <w:t>.1.</w:t>
      </w:r>
      <w:r>
        <w:rPr>
          <w:rFonts w:ascii="Times New Roman" w:hAnsi="Times New Roman" w:cs="Times New Roman"/>
          <w:b/>
        </w:rPr>
        <w:t>1.</w:t>
      </w:r>
      <w:r w:rsidRPr="00F94048">
        <w:rPr>
          <w:rFonts w:ascii="Times New Roman" w:hAnsi="Times New Roman" w:cs="Times New Roman"/>
          <w:b/>
        </w:rPr>
        <w:t xml:space="preserve"> Povolené odklady platenia dane a povolené zaplatenie dane v splátkach</w:t>
      </w:r>
    </w:p>
    <w:p w:rsidR="00A74F9A" w:rsidP="00A74F9A">
      <w:pPr>
        <w:jc w:val="both"/>
        <w:rPr>
          <w:rFonts w:ascii="Times New Roman" w:hAnsi="Times New Roman" w:cs="Times New Roman"/>
        </w:rPr>
      </w:pPr>
      <w:r>
        <w:rPr>
          <w:rFonts w:ascii="Times New Roman" w:hAnsi="Times New Roman" w:cs="Times New Roman"/>
        </w:rPr>
        <w:tab/>
      </w:r>
    </w:p>
    <w:p w:rsidR="00A74F9A" w:rsidP="00A74F9A">
      <w:pPr>
        <w:spacing w:line="360" w:lineRule="auto"/>
        <w:ind w:firstLine="708"/>
        <w:jc w:val="both"/>
        <w:rPr>
          <w:rFonts w:ascii="Times New Roman" w:hAnsi="Times New Roman" w:cs="Times New Roman"/>
        </w:rPr>
      </w:pPr>
      <w:r>
        <w:rPr>
          <w:rFonts w:ascii="Times New Roman" w:hAnsi="Times New Roman" w:cs="Times New Roman"/>
        </w:rPr>
        <w:t>V roku 2006 bolo v zmysle § 59 zákona č. 511/1992 Zb. o správe daní a poplatkov a o zmenách v sústave územných finančných orgánov v znení neskorších predpisov na základe žiadostí daňových subjektov, ktoré sa dočasne ocitli v nepriaznivej finančnej situácii, povolených 63 odkladov platenia dane, resp. daňového nedoplatku (v roku 2005: 119) a v 73 prípadoch povolené platenie dane, resp. daňového nedoplatku v splátkach (v roku 2005: 111) v celkovej výške 175,4 mil. Sk (v roku 2005: 149,8 mil. Sk), z toho 72,7 mil. Sk bude splatných až v roku 2007:</w:t>
      </w:r>
    </w:p>
    <w:p w:rsidR="00A74F9A" w:rsidRPr="00662F05" w:rsidP="00A74F9A">
      <w:pPr>
        <w:tabs>
          <w:tab w:val="left" w:pos="7665"/>
        </w:tabs>
        <w:jc w:val="both"/>
        <w:rPr>
          <w:rFonts w:ascii="Times New Roman" w:hAnsi="Times New Roman" w:cs="Times New Roman"/>
          <w:sz w:val="20"/>
          <w:szCs w:val="20"/>
        </w:rPr>
      </w:pPr>
      <w:r w:rsidRPr="00662F05">
        <w:rPr>
          <w:rFonts w:ascii="Times New Roman" w:hAnsi="Times New Roman" w:cs="Times New Roman"/>
          <w:sz w:val="20"/>
          <w:szCs w:val="20"/>
        </w:rPr>
        <w:tab/>
      </w:r>
    </w:p>
    <w:tbl>
      <w:tblPr>
        <w:tblW w:w="7646" w:type="dxa"/>
        <w:jc w:val="center"/>
        <w:tblInd w:w="-960"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CellMar>
          <w:left w:w="70" w:type="dxa"/>
          <w:right w:w="70" w:type="dxa"/>
        </w:tblCellMar>
      </w:tblPr>
      <w:tblGrid>
        <w:gridCol w:w="2720"/>
        <w:gridCol w:w="1107"/>
        <w:gridCol w:w="1084"/>
        <w:gridCol w:w="1396"/>
        <w:gridCol w:w="1339"/>
      </w:tblGrid>
      <w:tr>
        <w:tblPrEx>
          <w:tblW w:w="7646" w:type="dxa"/>
          <w:jc w:val="center"/>
          <w:tblInd w:w="-960"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CellMar>
            <w:left w:w="70" w:type="dxa"/>
            <w:right w:w="70" w:type="dxa"/>
          </w:tblCellMar>
        </w:tblPrEx>
        <w:trPr>
          <w:trHeight w:val="255"/>
          <w:jc w:val="center"/>
        </w:trPr>
        <w:tc>
          <w:tcPr>
            <w:tcW w:w="2720" w:type="dxa"/>
            <w:vMerge w:val="restart"/>
            <w:tcBorders>
              <w:top w:val="single" w:sz="8" w:space="0" w:color="auto"/>
              <w:left w:val="single" w:sz="8" w:space="0" w:color="auto"/>
              <w:bottom w:val="single" w:sz="4" w:space="0" w:color="auto"/>
              <w:right w:val="single" w:sz="4" w:space="0" w:color="auto"/>
              <w:tl2br w:val="nil"/>
              <w:tr2bl w:val="nil"/>
            </w:tcBorders>
            <w:noWrap/>
            <w:textDirection w:val="lrTb"/>
            <w:vAlign w:val="center"/>
          </w:tcPr>
          <w:p w:rsidR="00A74F9A" w:rsidRPr="00D43267" w:rsidP="00A74F9A">
            <w:pPr>
              <w:jc w:val="center"/>
              <w:rPr>
                <w:rFonts w:ascii="Times New Roman" w:hAnsi="Times New Roman" w:cs="Times New Roman"/>
                <w:b/>
                <w:sz w:val="20"/>
                <w:szCs w:val="20"/>
              </w:rPr>
            </w:pPr>
            <w:r w:rsidRPr="00D43267">
              <w:rPr>
                <w:rFonts w:ascii="Times New Roman" w:hAnsi="Times New Roman" w:cs="Times New Roman"/>
                <w:b/>
                <w:sz w:val="20"/>
                <w:szCs w:val="20"/>
              </w:rPr>
              <w:t xml:space="preserve">   Právna forma</w:t>
            </w:r>
          </w:p>
        </w:tc>
        <w:tc>
          <w:tcPr>
            <w:tcW w:w="2191" w:type="dxa"/>
            <w:gridSpan w:val="2"/>
            <w:vMerge w:val="restart"/>
            <w:tcBorders>
              <w:top w:val="single" w:sz="8" w:space="0" w:color="auto"/>
              <w:left w:val="single" w:sz="4" w:space="0" w:color="auto"/>
              <w:bottom w:val="single" w:sz="4" w:space="0" w:color="auto"/>
              <w:right w:val="single" w:sz="4" w:space="0" w:color="auto"/>
              <w:tl2br w:val="nil"/>
              <w:tr2bl w:val="nil"/>
            </w:tcBorders>
            <w:noWrap/>
            <w:textDirection w:val="lrTb"/>
            <w:vAlign w:val="center"/>
          </w:tcPr>
          <w:p w:rsidR="00A74F9A" w:rsidRPr="00D43267" w:rsidP="00A74F9A">
            <w:pPr>
              <w:jc w:val="center"/>
              <w:rPr>
                <w:rFonts w:ascii="Times New Roman" w:hAnsi="Times New Roman" w:cs="Times New Roman"/>
                <w:b/>
                <w:sz w:val="20"/>
                <w:szCs w:val="20"/>
              </w:rPr>
            </w:pPr>
            <w:r w:rsidRPr="00D43267">
              <w:rPr>
                <w:rFonts w:ascii="Times New Roman" w:hAnsi="Times New Roman" w:cs="Times New Roman"/>
                <w:b/>
                <w:sz w:val="20"/>
                <w:szCs w:val="20"/>
              </w:rPr>
              <w:t>Odklad platenia dane</w:t>
            </w:r>
          </w:p>
        </w:tc>
        <w:tc>
          <w:tcPr>
            <w:tcW w:w="2735" w:type="dxa"/>
            <w:gridSpan w:val="2"/>
            <w:vMerge w:val="restart"/>
            <w:tcBorders>
              <w:top w:val="single" w:sz="8" w:space="0" w:color="auto"/>
              <w:left w:val="single" w:sz="4" w:space="0" w:color="auto"/>
              <w:bottom w:val="single" w:sz="4" w:space="0" w:color="auto"/>
              <w:right w:val="single" w:sz="8" w:space="0" w:color="auto"/>
              <w:tl2br w:val="nil"/>
              <w:tr2bl w:val="nil"/>
            </w:tcBorders>
            <w:noWrap/>
            <w:textDirection w:val="lrTb"/>
            <w:vAlign w:val="center"/>
          </w:tcPr>
          <w:p w:rsidR="00A74F9A" w:rsidRPr="00D43267" w:rsidP="00A74F9A">
            <w:pPr>
              <w:jc w:val="center"/>
              <w:rPr>
                <w:rFonts w:ascii="Times New Roman" w:hAnsi="Times New Roman" w:cs="Times New Roman"/>
                <w:b/>
                <w:sz w:val="20"/>
                <w:szCs w:val="20"/>
              </w:rPr>
            </w:pPr>
            <w:r w:rsidRPr="00D43267">
              <w:rPr>
                <w:rFonts w:ascii="Times New Roman" w:hAnsi="Times New Roman" w:cs="Times New Roman"/>
                <w:b/>
                <w:sz w:val="20"/>
                <w:szCs w:val="20"/>
              </w:rPr>
              <w:t>Zaplatenie dane v splátkach</w:t>
            </w:r>
          </w:p>
        </w:tc>
      </w:tr>
      <w:tr>
        <w:tblPrEx>
          <w:tblW w:w="7646" w:type="dxa"/>
          <w:jc w:val="center"/>
          <w:tblInd w:w="-960" w:type="dxa"/>
          <w:tblCellMar>
            <w:left w:w="70" w:type="dxa"/>
            <w:right w:w="70" w:type="dxa"/>
          </w:tblCellMar>
        </w:tblPrEx>
        <w:trPr>
          <w:trHeight w:val="230"/>
          <w:jc w:val="center"/>
        </w:trPr>
        <w:tc>
          <w:tcPr>
            <w:tcW w:w="2720" w:type="dxa"/>
            <w:vMerge/>
            <w:tcBorders>
              <w:top w:val="single" w:sz="4" w:space="0" w:color="auto"/>
              <w:left w:val="single" w:sz="8" w:space="0" w:color="auto"/>
              <w:bottom w:val="single" w:sz="4" w:space="0" w:color="auto"/>
              <w:right w:val="single" w:sz="4" w:space="0" w:color="auto"/>
              <w:tl2br w:val="nil"/>
              <w:tr2bl w:val="nil"/>
            </w:tcBorders>
            <w:textDirection w:val="lrTb"/>
            <w:vAlign w:val="center"/>
          </w:tcPr>
          <w:p w:rsidR="00A74F9A" w:rsidRPr="00D43267" w:rsidP="00A74F9A">
            <w:pPr>
              <w:rPr>
                <w:rFonts w:ascii="Times New Roman" w:hAnsi="Times New Roman" w:cs="Times New Roman"/>
                <w:sz w:val="20"/>
                <w:szCs w:val="20"/>
              </w:rPr>
            </w:pPr>
          </w:p>
        </w:tc>
        <w:tc>
          <w:tcPr>
            <w:tcW w:w="2191" w:type="dxa"/>
            <w:gridSpan w:val="2"/>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74F9A" w:rsidRPr="00D43267" w:rsidP="00A74F9A">
            <w:pPr>
              <w:rPr>
                <w:rFonts w:ascii="Times New Roman" w:hAnsi="Times New Roman" w:cs="Times New Roman"/>
                <w:sz w:val="20"/>
                <w:szCs w:val="20"/>
              </w:rPr>
            </w:pPr>
          </w:p>
        </w:tc>
        <w:tc>
          <w:tcPr>
            <w:tcW w:w="2735" w:type="dxa"/>
            <w:gridSpan w:val="2"/>
            <w:vMerge/>
            <w:tcBorders>
              <w:top w:val="single" w:sz="4" w:space="0" w:color="auto"/>
              <w:left w:val="single" w:sz="4" w:space="0" w:color="auto"/>
              <w:bottom w:val="single" w:sz="4" w:space="0" w:color="auto"/>
              <w:right w:val="single" w:sz="8" w:space="0" w:color="auto"/>
              <w:tl2br w:val="nil"/>
              <w:tr2bl w:val="nil"/>
            </w:tcBorders>
            <w:textDirection w:val="lrTb"/>
            <w:vAlign w:val="center"/>
          </w:tcPr>
          <w:p w:rsidR="00A74F9A" w:rsidRPr="00D43267" w:rsidP="00A74F9A">
            <w:pPr>
              <w:rPr>
                <w:rFonts w:ascii="Times New Roman" w:hAnsi="Times New Roman" w:cs="Times New Roman"/>
                <w:sz w:val="20"/>
                <w:szCs w:val="20"/>
              </w:rPr>
            </w:pPr>
          </w:p>
        </w:tc>
      </w:tr>
      <w:tr>
        <w:tblPrEx>
          <w:tblW w:w="7646" w:type="dxa"/>
          <w:jc w:val="center"/>
          <w:tblInd w:w="-960" w:type="dxa"/>
          <w:tblCellMar>
            <w:left w:w="70" w:type="dxa"/>
            <w:right w:w="70" w:type="dxa"/>
          </w:tblCellMar>
        </w:tblPrEx>
        <w:trPr>
          <w:trHeight w:val="255"/>
          <w:jc w:val="center"/>
        </w:trPr>
        <w:tc>
          <w:tcPr>
            <w:tcW w:w="2720" w:type="dxa"/>
            <w:vMerge/>
            <w:tcBorders>
              <w:top w:val="single" w:sz="4" w:space="0" w:color="auto"/>
              <w:left w:val="single" w:sz="8" w:space="0" w:color="auto"/>
              <w:bottom w:val="single" w:sz="4" w:space="0" w:color="auto"/>
              <w:right w:val="single" w:sz="4" w:space="0" w:color="auto"/>
              <w:tl2br w:val="nil"/>
              <w:tr2bl w:val="nil"/>
            </w:tcBorders>
            <w:textDirection w:val="lrTb"/>
            <w:vAlign w:val="center"/>
          </w:tcPr>
          <w:p w:rsidR="00A74F9A" w:rsidRPr="00D43267" w:rsidP="00A74F9A">
            <w:pPr>
              <w:rPr>
                <w:rFonts w:ascii="Times New Roman" w:hAnsi="Times New Roman" w:cs="Times New Roman"/>
                <w:sz w:val="20"/>
                <w:szCs w:val="20"/>
              </w:rPr>
            </w:pPr>
          </w:p>
        </w:tc>
        <w:tc>
          <w:tcPr>
            <w:tcW w:w="1107"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74F9A" w:rsidRPr="00D43267" w:rsidP="00A74F9A">
            <w:pPr>
              <w:jc w:val="center"/>
              <w:rPr>
                <w:rFonts w:ascii="Times New Roman" w:hAnsi="Times New Roman" w:cs="Times New Roman"/>
                <w:b/>
                <w:sz w:val="20"/>
                <w:szCs w:val="20"/>
              </w:rPr>
            </w:pPr>
            <w:r w:rsidRPr="00D43267">
              <w:rPr>
                <w:rFonts w:ascii="Times New Roman" w:hAnsi="Times New Roman" w:cs="Times New Roman"/>
                <w:b/>
                <w:sz w:val="20"/>
                <w:szCs w:val="20"/>
              </w:rPr>
              <w:t>počet</w:t>
            </w:r>
          </w:p>
        </w:tc>
        <w:tc>
          <w:tcPr>
            <w:tcW w:w="108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74F9A" w:rsidRPr="00D43267" w:rsidP="00A74F9A">
            <w:pPr>
              <w:jc w:val="center"/>
              <w:rPr>
                <w:rFonts w:ascii="Times New Roman" w:hAnsi="Times New Roman" w:cs="Times New Roman"/>
                <w:b/>
                <w:sz w:val="20"/>
                <w:szCs w:val="20"/>
              </w:rPr>
            </w:pPr>
            <w:r w:rsidRPr="00D43267">
              <w:rPr>
                <w:rFonts w:ascii="Times New Roman" w:hAnsi="Times New Roman" w:cs="Times New Roman"/>
                <w:b/>
                <w:sz w:val="20"/>
                <w:szCs w:val="20"/>
              </w:rPr>
              <w:t>mil. Sk</w:t>
            </w:r>
          </w:p>
        </w:tc>
        <w:tc>
          <w:tcPr>
            <w:tcW w:w="1396"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74F9A" w:rsidRPr="00D43267" w:rsidP="00A74F9A">
            <w:pPr>
              <w:jc w:val="center"/>
              <w:rPr>
                <w:rFonts w:ascii="Times New Roman" w:hAnsi="Times New Roman" w:cs="Times New Roman"/>
                <w:b/>
                <w:sz w:val="20"/>
                <w:szCs w:val="20"/>
              </w:rPr>
            </w:pPr>
            <w:r w:rsidRPr="00D43267">
              <w:rPr>
                <w:rFonts w:ascii="Times New Roman" w:hAnsi="Times New Roman" w:cs="Times New Roman"/>
                <w:b/>
                <w:sz w:val="20"/>
                <w:szCs w:val="20"/>
              </w:rPr>
              <w:t>počet</w:t>
            </w:r>
          </w:p>
        </w:tc>
        <w:tc>
          <w:tcPr>
            <w:tcW w:w="1339"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A74F9A" w:rsidRPr="00D43267" w:rsidP="00A74F9A">
            <w:pPr>
              <w:jc w:val="center"/>
              <w:rPr>
                <w:rFonts w:ascii="Times New Roman" w:hAnsi="Times New Roman" w:cs="Times New Roman"/>
                <w:b/>
                <w:sz w:val="20"/>
                <w:szCs w:val="20"/>
              </w:rPr>
            </w:pPr>
            <w:r w:rsidRPr="00D43267" w:rsidR="00AD263C">
              <w:rPr>
                <w:rFonts w:ascii="Times New Roman" w:hAnsi="Times New Roman" w:cs="Times New Roman"/>
                <w:b/>
                <w:sz w:val="20"/>
                <w:szCs w:val="20"/>
              </w:rPr>
              <w:t>M</w:t>
            </w:r>
            <w:r w:rsidRPr="00D43267">
              <w:rPr>
                <w:rFonts w:ascii="Times New Roman" w:hAnsi="Times New Roman" w:cs="Times New Roman"/>
                <w:b/>
                <w:sz w:val="20"/>
                <w:szCs w:val="20"/>
              </w:rPr>
              <w:t>il. Sk</w:t>
            </w:r>
          </w:p>
        </w:tc>
      </w:tr>
      <w:tr>
        <w:tblPrEx>
          <w:tblW w:w="7646" w:type="dxa"/>
          <w:jc w:val="center"/>
          <w:tblInd w:w="-960" w:type="dxa"/>
          <w:tblCellMar>
            <w:left w:w="70" w:type="dxa"/>
            <w:right w:w="70" w:type="dxa"/>
          </w:tblCellMar>
        </w:tblPrEx>
        <w:trPr>
          <w:trHeight w:val="255"/>
          <w:jc w:val="center"/>
        </w:trPr>
        <w:tc>
          <w:tcPr>
            <w:tcW w:w="2720"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A74F9A" w:rsidRPr="00D43267" w:rsidP="00A74F9A">
            <w:pPr>
              <w:rPr>
                <w:rFonts w:ascii="Times New Roman" w:hAnsi="Times New Roman" w:cs="Times New Roman"/>
                <w:sz w:val="20"/>
                <w:szCs w:val="20"/>
              </w:rPr>
            </w:pPr>
            <w:r w:rsidRPr="00D43267">
              <w:rPr>
                <w:rFonts w:ascii="Times New Roman" w:hAnsi="Times New Roman" w:cs="Times New Roman"/>
                <w:sz w:val="20"/>
                <w:szCs w:val="20"/>
              </w:rPr>
              <w:t>Fyzické osoby</w:t>
            </w:r>
          </w:p>
        </w:tc>
        <w:tc>
          <w:tcPr>
            <w:tcW w:w="1107"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74F9A" w:rsidRPr="00D43267" w:rsidP="00A74F9A">
            <w:pPr>
              <w:jc w:val="right"/>
              <w:rPr>
                <w:rFonts w:ascii="Times New Roman" w:hAnsi="Times New Roman" w:cs="Times New Roman"/>
                <w:sz w:val="20"/>
                <w:szCs w:val="20"/>
              </w:rPr>
            </w:pPr>
            <w:r w:rsidRPr="00D43267">
              <w:rPr>
                <w:rFonts w:ascii="Times New Roman" w:hAnsi="Times New Roman" w:cs="Times New Roman"/>
                <w:sz w:val="20"/>
                <w:szCs w:val="20"/>
              </w:rPr>
              <w:t>19</w:t>
            </w:r>
          </w:p>
        </w:tc>
        <w:tc>
          <w:tcPr>
            <w:tcW w:w="108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74F9A" w:rsidRPr="00D43267" w:rsidP="00A74F9A">
            <w:pPr>
              <w:jc w:val="right"/>
              <w:rPr>
                <w:rFonts w:ascii="Times New Roman" w:hAnsi="Times New Roman" w:cs="Times New Roman"/>
                <w:sz w:val="20"/>
                <w:szCs w:val="20"/>
              </w:rPr>
            </w:pPr>
            <w:r w:rsidRPr="00D43267">
              <w:rPr>
                <w:rFonts w:ascii="Times New Roman" w:hAnsi="Times New Roman" w:cs="Times New Roman"/>
                <w:sz w:val="20"/>
                <w:szCs w:val="20"/>
              </w:rPr>
              <w:t>21,7</w:t>
            </w:r>
          </w:p>
        </w:tc>
        <w:tc>
          <w:tcPr>
            <w:tcW w:w="1396"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74F9A" w:rsidRPr="00D43267" w:rsidP="00A74F9A">
            <w:pPr>
              <w:jc w:val="right"/>
              <w:rPr>
                <w:rFonts w:ascii="Times New Roman" w:hAnsi="Times New Roman" w:cs="Times New Roman"/>
                <w:sz w:val="20"/>
                <w:szCs w:val="20"/>
              </w:rPr>
            </w:pPr>
            <w:r w:rsidRPr="00D43267">
              <w:rPr>
                <w:rFonts w:ascii="Times New Roman" w:hAnsi="Times New Roman" w:cs="Times New Roman"/>
                <w:sz w:val="20"/>
                <w:szCs w:val="20"/>
              </w:rPr>
              <w:t>40</w:t>
            </w:r>
          </w:p>
        </w:tc>
        <w:tc>
          <w:tcPr>
            <w:tcW w:w="1339"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A74F9A" w:rsidRPr="00D43267" w:rsidP="00A74F9A">
            <w:pPr>
              <w:jc w:val="right"/>
              <w:rPr>
                <w:rFonts w:ascii="Times New Roman" w:hAnsi="Times New Roman" w:cs="Times New Roman"/>
                <w:sz w:val="20"/>
                <w:szCs w:val="20"/>
              </w:rPr>
            </w:pPr>
            <w:r w:rsidRPr="00D43267">
              <w:rPr>
                <w:rFonts w:ascii="Times New Roman" w:hAnsi="Times New Roman" w:cs="Times New Roman"/>
                <w:sz w:val="20"/>
                <w:szCs w:val="20"/>
              </w:rPr>
              <w:t>17,5</w:t>
            </w:r>
          </w:p>
        </w:tc>
      </w:tr>
      <w:tr>
        <w:tblPrEx>
          <w:tblW w:w="7646" w:type="dxa"/>
          <w:jc w:val="center"/>
          <w:tblInd w:w="-960" w:type="dxa"/>
          <w:tblCellMar>
            <w:left w:w="70" w:type="dxa"/>
            <w:right w:w="70" w:type="dxa"/>
          </w:tblCellMar>
        </w:tblPrEx>
        <w:trPr>
          <w:trHeight w:val="255"/>
          <w:jc w:val="center"/>
        </w:trPr>
        <w:tc>
          <w:tcPr>
            <w:tcW w:w="2720"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A74F9A" w:rsidRPr="00D43267" w:rsidP="00A74F9A">
            <w:pPr>
              <w:rPr>
                <w:rFonts w:ascii="Times New Roman" w:hAnsi="Times New Roman" w:cs="Times New Roman"/>
                <w:sz w:val="20"/>
                <w:szCs w:val="20"/>
              </w:rPr>
            </w:pPr>
            <w:r w:rsidRPr="00D43267">
              <w:rPr>
                <w:rFonts w:ascii="Times New Roman" w:hAnsi="Times New Roman" w:cs="Times New Roman"/>
                <w:sz w:val="20"/>
                <w:szCs w:val="20"/>
              </w:rPr>
              <w:t>Právnické osoby</w:t>
            </w:r>
          </w:p>
        </w:tc>
        <w:tc>
          <w:tcPr>
            <w:tcW w:w="1107"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74F9A" w:rsidRPr="00D43267" w:rsidP="00A74F9A">
            <w:pPr>
              <w:jc w:val="right"/>
              <w:rPr>
                <w:rFonts w:ascii="Times New Roman" w:hAnsi="Times New Roman" w:cs="Times New Roman"/>
                <w:sz w:val="20"/>
                <w:szCs w:val="20"/>
              </w:rPr>
            </w:pPr>
            <w:r w:rsidRPr="00D43267">
              <w:rPr>
                <w:rFonts w:ascii="Times New Roman" w:hAnsi="Times New Roman" w:cs="Times New Roman"/>
                <w:sz w:val="20"/>
                <w:szCs w:val="20"/>
              </w:rPr>
              <w:t>44</w:t>
            </w:r>
          </w:p>
        </w:tc>
        <w:tc>
          <w:tcPr>
            <w:tcW w:w="1084"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74F9A" w:rsidRPr="00D43267" w:rsidP="00A74F9A">
            <w:pPr>
              <w:jc w:val="right"/>
              <w:rPr>
                <w:rFonts w:ascii="Times New Roman" w:hAnsi="Times New Roman" w:cs="Times New Roman"/>
                <w:sz w:val="20"/>
                <w:szCs w:val="20"/>
              </w:rPr>
            </w:pPr>
            <w:r w:rsidRPr="00D43267">
              <w:rPr>
                <w:rFonts w:ascii="Times New Roman" w:hAnsi="Times New Roman" w:cs="Times New Roman"/>
                <w:sz w:val="20"/>
                <w:szCs w:val="20"/>
              </w:rPr>
              <w:t>108,2</w:t>
            </w:r>
          </w:p>
        </w:tc>
        <w:tc>
          <w:tcPr>
            <w:tcW w:w="1396"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74F9A" w:rsidRPr="00D43267" w:rsidP="00A74F9A">
            <w:pPr>
              <w:jc w:val="right"/>
              <w:rPr>
                <w:rFonts w:ascii="Times New Roman" w:hAnsi="Times New Roman" w:cs="Times New Roman"/>
                <w:sz w:val="20"/>
                <w:szCs w:val="20"/>
              </w:rPr>
            </w:pPr>
            <w:r w:rsidRPr="00D43267">
              <w:rPr>
                <w:rFonts w:ascii="Times New Roman" w:hAnsi="Times New Roman" w:cs="Times New Roman"/>
                <w:sz w:val="20"/>
                <w:szCs w:val="20"/>
              </w:rPr>
              <w:t>33</w:t>
            </w:r>
          </w:p>
        </w:tc>
        <w:tc>
          <w:tcPr>
            <w:tcW w:w="1339"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A74F9A" w:rsidRPr="00D43267" w:rsidP="00A74F9A">
            <w:pPr>
              <w:jc w:val="right"/>
              <w:rPr>
                <w:rFonts w:ascii="Times New Roman" w:hAnsi="Times New Roman" w:cs="Times New Roman"/>
                <w:sz w:val="20"/>
                <w:szCs w:val="20"/>
              </w:rPr>
            </w:pPr>
            <w:r w:rsidRPr="00D43267">
              <w:rPr>
                <w:rFonts w:ascii="Times New Roman" w:hAnsi="Times New Roman" w:cs="Times New Roman"/>
                <w:sz w:val="20"/>
                <w:szCs w:val="20"/>
              </w:rPr>
              <w:t>28,0</w:t>
            </w:r>
          </w:p>
        </w:tc>
      </w:tr>
      <w:tr>
        <w:tblPrEx>
          <w:tblW w:w="7646" w:type="dxa"/>
          <w:jc w:val="center"/>
          <w:tblInd w:w="-960" w:type="dxa"/>
          <w:tblCellMar>
            <w:left w:w="70" w:type="dxa"/>
            <w:right w:w="70" w:type="dxa"/>
          </w:tblCellMar>
        </w:tblPrEx>
        <w:trPr>
          <w:trHeight w:val="270"/>
          <w:jc w:val="center"/>
        </w:trPr>
        <w:tc>
          <w:tcPr>
            <w:tcW w:w="2720" w:type="dxa"/>
            <w:tcBorders>
              <w:top w:val="single" w:sz="4" w:space="0" w:color="auto"/>
              <w:left w:val="single" w:sz="8" w:space="0" w:color="auto"/>
              <w:bottom w:val="double" w:sz="6" w:space="0" w:color="auto"/>
              <w:right w:val="single" w:sz="4" w:space="0" w:color="auto"/>
              <w:tl2br w:val="nil"/>
              <w:tr2bl w:val="nil"/>
            </w:tcBorders>
            <w:noWrap/>
            <w:textDirection w:val="lrTb"/>
            <w:vAlign w:val="bottom"/>
          </w:tcPr>
          <w:p w:rsidR="00A74F9A" w:rsidRPr="00D43267" w:rsidP="00A74F9A">
            <w:pPr>
              <w:rPr>
                <w:rFonts w:ascii="Times New Roman" w:hAnsi="Times New Roman" w:cs="Times New Roman"/>
                <w:b/>
                <w:sz w:val="20"/>
                <w:szCs w:val="20"/>
              </w:rPr>
            </w:pPr>
            <w:r w:rsidR="004B7651">
              <w:rPr>
                <w:rFonts w:ascii="Times New Roman" w:hAnsi="Times New Roman" w:cs="Times New Roman"/>
                <w:b/>
                <w:sz w:val="20"/>
                <w:szCs w:val="20"/>
              </w:rPr>
              <w:t>SPOLU</w:t>
            </w:r>
          </w:p>
        </w:tc>
        <w:tc>
          <w:tcPr>
            <w:tcW w:w="1107"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A74F9A" w:rsidRPr="00D43267" w:rsidP="00A74F9A">
            <w:pPr>
              <w:jc w:val="right"/>
              <w:rPr>
                <w:rFonts w:ascii="Times New Roman" w:hAnsi="Times New Roman" w:cs="Times New Roman"/>
                <w:b/>
                <w:sz w:val="20"/>
                <w:szCs w:val="20"/>
              </w:rPr>
            </w:pPr>
            <w:r w:rsidRPr="00D43267">
              <w:rPr>
                <w:rFonts w:ascii="Times New Roman" w:hAnsi="Times New Roman" w:cs="Times New Roman"/>
                <w:b/>
                <w:sz w:val="20"/>
                <w:szCs w:val="20"/>
              </w:rPr>
              <w:t>63</w:t>
            </w:r>
          </w:p>
        </w:tc>
        <w:tc>
          <w:tcPr>
            <w:tcW w:w="1084"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A74F9A" w:rsidRPr="00D43267" w:rsidP="00A74F9A">
            <w:pPr>
              <w:jc w:val="right"/>
              <w:rPr>
                <w:rFonts w:ascii="Times New Roman" w:hAnsi="Times New Roman" w:cs="Times New Roman"/>
                <w:b/>
                <w:sz w:val="20"/>
                <w:szCs w:val="20"/>
              </w:rPr>
            </w:pPr>
            <w:r w:rsidRPr="00D43267">
              <w:rPr>
                <w:rFonts w:ascii="Times New Roman" w:hAnsi="Times New Roman" w:cs="Times New Roman"/>
                <w:b/>
                <w:sz w:val="20"/>
                <w:szCs w:val="20"/>
              </w:rPr>
              <w:t>129, 9</w:t>
            </w:r>
          </w:p>
        </w:tc>
        <w:tc>
          <w:tcPr>
            <w:tcW w:w="1396"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A74F9A" w:rsidRPr="00D43267" w:rsidP="00A74F9A">
            <w:pPr>
              <w:jc w:val="right"/>
              <w:rPr>
                <w:rFonts w:ascii="Times New Roman" w:hAnsi="Times New Roman" w:cs="Times New Roman"/>
                <w:b/>
                <w:sz w:val="20"/>
                <w:szCs w:val="20"/>
              </w:rPr>
            </w:pPr>
            <w:r w:rsidRPr="00D43267">
              <w:rPr>
                <w:rFonts w:ascii="Times New Roman" w:hAnsi="Times New Roman" w:cs="Times New Roman"/>
                <w:b/>
                <w:sz w:val="20"/>
                <w:szCs w:val="20"/>
              </w:rPr>
              <w:t>73</w:t>
            </w:r>
          </w:p>
        </w:tc>
        <w:tc>
          <w:tcPr>
            <w:tcW w:w="1339" w:type="dxa"/>
            <w:tcBorders>
              <w:top w:val="single" w:sz="4" w:space="0" w:color="auto"/>
              <w:left w:val="single" w:sz="4" w:space="0" w:color="auto"/>
              <w:bottom w:val="double" w:sz="6" w:space="0" w:color="auto"/>
              <w:right w:val="single" w:sz="8" w:space="0" w:color="auto"/>
              <w:tl2br w:val="nil"/>
              <w:tr2bl w:val="nil"/>
            </w:tcBorders>
            <w:noWrap/>
            <w:textDirection w:val="lrTb"/>
            <w:vAlign w:val="bottom"/>
          </w:tcPr>
          <w:p w:rsidR="00A74F9A" w:rsidRPr="00D43267" w:rsidP="00A74F9A">
            <w:pPr>
              <w:jc w:val="right"/>
              <w:rPr>
                <w:rFonts w:ascii="Times New Roman" w:hAnsi="Times New Roman" w:cs="Times New Roman"/>
                <w:b/>
                <w:sz w:val="20"/>
                <w:szCs w:val="20"/>
              </w:rPr>
            </w:pPr>
            <w:r w:rsidRPr="00D43267">
              <w:rPr>
                <w:rFonts w:ascii="Times New Roman" w:hAnsi="Times New Roman" w:cs="Times New Roman"/>
                <w:b/>
                <w:sz w:val="20"/>
                <w:szCs w:val="20"/>
              </w:rPr>
              <w:t>45,5</w:t>
            </w:r>
          </w:p>
        </w:tc>
      </w:tr>
    </w:tbl>
    <w:p w:rsidR="00A74F9A" w:rsidRPr="008351DF" w:rsidP="00A74F9A">
      <w:pPr>
        <w:spacing w:before="120"/>
        <w:jc w:val="both"/>
        <w:rPr>
          <w:rFonts w:ascii="Times New Roman" w:hAnsi="Times New Roman" w:cs="Times New Roman"/>
          <w:sz w:val="20"/>
          <w:szCs w:val="20"/>
        </w:rPr>
      </w:pPr>
      <w:r w:rsidR="004B7651">
        <w:rPr>
          <w:rFonts w:ascii="Times New Roman" w:hAnsi="Times New Roman" w:cs="Times New Roman"/>
        </w:rPr>
        <w:t xml:space="preserve">            </w:t>
      </w:r>
      <w:r>
        <w:rPr>
          <w:rFonts w:ascii="Times New Roman" w:hAnsi="Times New Roman" w:cs="Times New Roman"/>
          <w:sz w:val="20"/>
          <w:szCs w:val="20"/>
        </w:rPr>
        <w:t>Zdroj: Daňové riaditeľstvo SR</w:t>
      </w:r>
    </w:p>
    <w:p w:rsidR="00A74F9A" w:rsidRPr="00662F05" w:rsidP="00A74F9A">
      <w:pPr>
        <w:pStyle w:val="Header"/>
        <w:tabs>
          <w:tab w:val="clear" w:pos="4536"/>
          <w:tab w:val="clear" w:pos="9072"/>
        </w:tabs>
        <w:jc w:val="both"/>
        <w:rPr>
          <w:rFonts w:ascii="Times New Roman" w:hAnsi="Times New Roman" w:cs="Times New Roman"/>
          <w:b/>
          <w:bCs/>
        </w:rPr>
      </w:pPr>
    </w:p>
    <w:p w:rsidR="00A74F9A" w:rsidP="00A74F9A">
      <w:pPr>
        <w:pStyle w:val="VS2"/>
        <w:spacing w:before="0" w:after="0"/>
        <w:rPr>
          <w:rFonts w:ascii="Times New Roman" w:hAnsi="Times New Roman" w:cs="Times New Roman"/>
          <w:color w:val="auto"/>
          <w:sz w:val="24"/>
          <w:szCs w:val="24"/>
        </w:rPr>
      </w:pPr>
    </w:p>
    <w:p w:rsidR="00A74F9A" w:rsidP="00A74F9A">
      <w:pPr>
        <w:pStyle w:val="Header"/>
        <w:tabs>
          <w:tab w:val="clear" w:pos="4536"/>
          <w:tab w:val="clear" w:pos="9072"/>
        </w:tabs>
        <w:jc w:val="center"/>
        <w:rPr>
          <w:rFonts w:ascii="Times New Roman" w:hAnsi="Times New Roman" w:cs="Times New Roman"/>
          <w:b/>
          <w:bCs/>
        </w:rPr>
      </w:pPr>
      <w:r w:rsidR="00644DA1">
        <w:rPr>
          <w:rFonts w:ascii="Times New Roman" w:hAnsi="Times New Roman" w:cs="Times New Roman"/>
          <w:b/>
          <w:bCs/>
        </w:rPr>
        <w:t>5</w:t>
      </w:r>
      <w:r>
        <w:rPr>
          <w:rFonts w:ascii="Times New Roman" w:hAnsi="Times New Roman" w:cs="Times New Roman"/>
          <w:b/>
          <w:bCs/>
        </w:rPr>
        <w:t>.1.2. Výška odpustených  daňových  nedoplatkov</w:t>
      </w:r>
    </w:p>
    <w:p w:rsidR="00A74F9A" w:rsidP="00A74F9A">
      <w:pPr>
        <w:pStyle w:val="BodyTextIndent"/>
        <w:rPr>
          <w:rFonts w:ascii="Times New Roman" w:hAnsi="Times New Roman" w:cs="Times New Roman"/>
        </w:rPr>
      </w:pPr>
    </w:p>
    <w:p w:rsidR="00A74F9A" w:rsidP="00276C78">
      <w:pPr>
        <w:pStyle w:val="BodyTextIndent"/>
        <w:spacing w:line="360" w:lineRule="auto"/>
        <w:jc w:val="both"/>
        <w:rPr>
          <w:rFonts w:ascii="Times New Roman" w:hAnsi="Times New Roman" w:cs="Times New Roman"/>
        </w:rPr>
      </w:pPr>
      <w:r>
        <w:rPr>
          <w:rFonts w:ascii="Times New Roman" w:hAnsi="Times New Roman" w:cs="Times New Roman"/>
        </w:rPr>
        <w:t>Podľa § 64 zákona č. 511/1992 Zb. o správe daní a poplatkov a o zmenách v sústave územných finančných orgánov v znení neskorších predpisov</w:t>
      </w:r>
      <w:r>
        <w:rPr>
          <w:rFonts w:ascii="Times New Roman" w:hAnsi="Times New Roman" w:cs="Times New Roman"/>
          <w:b/>
          <w:bCs/>
        </w:rPr>
        <w:t xml:space="preserve"> </w:t>
      </w:r>
      <w:r>
        <w:rPr>
          <w:rFonts w:ascii="Times New Roman" w:hAnsi="Times New Roman" w:cs="Times New Roman"/>
        </w:rPr>
        <w:t>bol nedoplatok na dani odpustený v 502 prípadoch (v roku 2005: 839) v celkovej výške 11,0 mil. Sk (v roku 2005: 25,9 mil. Sk):</w:t>
      </w:r>
    </w:p>
    <w:p w:rsidR="00A74F9A" w:rsidP="00A74F9A">
      <w:pPr>
        <w:pStyle w:val="Header"/>
        <w:tabs>
          <w:tab w:val="clear" w:pos="4536"/>
          <w:tab w:val="clear" w:pos="9072"/>
        </w:tabs>
        <w:ind w:left="540"/>
        <w:rPr>
          <w:rFonts w:ascii="Times New Roman" w:hAnsi="Times New Roman" w:cs="Times New Roman"/>
          <w:b/>
          <w:bCs/>
        </w:rPr>
      </w:pPr>
    </w:p>
    <w:tbl>
      <w:tblPr>
        <w:tblW w:w="7740" w:type="dxa"/>
        <w:tblInd w:w="610"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CellMar>
          <w:top w:w="0" w:type="dxa"/>
          <w:left w:w="70" w:type="dxa"/>
          <w:bottom w:w="0" w:type="dxa"/>
          <w:right w:w="70" w:type="dxa"/>
        </w:tblCellMar>
      </w:tblPr>
      <w:tblGrid>
        <w:gridCol w:w="5040"/>
        <w:gridCol w:w="1260"/>
        <w:gridCol w:w="1440"/>
      </w:tblGrid>
      <w:tr>
        <w:tblPrEx>
          <w:tblW w:w="7740" w:type="dxa"/>
          <w:tblInd w:w="610"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CellMar>
            <w:top w:w="0" w:type="dxa"/>
            <w:left w:w="70" w:type="dxa"/>
            <w:bottom w:w="0" w:type="dxa"/>
            <w:right w:w="70" w:type="dxa"/>
          </w:tblCellMar>
        </w:tblPrEx>
        <w:trPr>
          <w:trHeight w:hRule="auto" w:val="0"/>
        </w:trPr>
        <w:tc>
          <w:tcPr>
            <w:tcW w:w="5040"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A74F9A" w:rsidRPr="004B7651" w:rsidP="00A74F9A">
            <w:pPr>
              <w:pStyle w:val="Header"/>
              <w:tabs>
                <w:tab w:val="clear" w:pos="4536"/>
                <w:tab w:val="clear" w:pos="9072"/>
              </w:tabs>
              <w:jc w:val="center"/>
              <w:rPr>
                <w:rFonts w:ascii="Times New Roman" w:hAnsi="Times New Roman" w:cs="Times New Roman"/>
                <w:b/>
                <w:bCs/>
                <w:sz w:val="20"/>
                <w:szCs w:val="20"/>
              </w:rPr>
            </w:pPr>
            <w:r w:rsidRPr="004B7651">
              <w:rPr>
                <w:rFonts w:ascii="Times New Roman" w:hAnsi="Times New Roman" w:cs="Times New Roman"/>
                <w:b/>
                <w:bCs/>
                <w:sz w:val="20"/>
                <w:szCs w:val="20"/>
              </w:rPr>
              <w:t>Druh dane</w:t>
            </w:r>
          </w:p>
        </w:tc>
        <w:tc>
          <w:tcPr>
            <w:tcW w:w="1260"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A74F9A" w:rsidRPr="004B7651" w:rsidP="00A74F9A">
            <w:pPr>
              <w:pStyle w:val="Header"/>
              <w:tabs>
                <w:tab w:val="clear" w:pos="4536"/>
                <w:tab w:val="clear" w:pos="9072"/>
              </w:tabs>
              <w:jc w:val="center"/>
              <w:rPr>
                <w:rFonts w:ascii="Times New Roman" w:hAnsi="Times New Roman" w:cs="Times New Roman"/>
                <w:b/>
                <w:bCs/>
                <w:sz w:val="20"/>
                <w:szCs w:val="20"/>
              </w:rPr>
            </w:pPr>
            <w:r w:rsidRPr="004B7651">
              <w:rPr>
                <w:rFonts w:ascii="Times New Roman" w:hAnsi="Times New Roman" w:cs="Times New Roman"/>
                <w:b/>
                <w:bCs/>
                <w:sz w:val="20"/>
                <w:szCs w:val="20"/>
              </w:rPr>
              <w:t>Počet odpustení</w:t>
            </w:r>
          </w:p>
        </w:tc>
        <w:tc>
          <w:tcPr>
            <w:tcW w:w="1440"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A74F9A" w:rsidRPr="004B7651" w:rsidP="00A74F9A">
            <w:pPr>
              <w:pStyle w:val="Header"/>
              <w:tabs>
                <w:tab w:val="clear" w:pos="4536"/>
                <w:tab w:val="clear" w:pos="9072"/>
              </w:tabs>
              <w:jc w:val="center"/>
              <w:rPr>
                <w:rFonts w:ascii="Times New Roman" w:hAnsi="Times New Roman" w:cs="Times New Roman"/>
                <w:b/>
                <w:bCs/>
                <w:sz w:val="20"/>
                <w:szCs w:val="20"/>
              </w:rPr>
            </w:pPr>
            <w:r w:rsidRPr="004B7651">
              <w:rPr>
                <w:rFonts w:ascii="Times New Roman" w:hAnsi="Times New Roman" w:cs="Times New Roman"/>
                <w:b/>
                <w:bCs/>
                <w:sz w:val="20"/>
                <w:szCs w:val="20"/>
              </w:rPr>
              <w:t>Sk</w:t>
            </w:r>
          </w:p>
        </w:tc>
      </w:tr>
      <w:tr>
        <w:tblPrEx>
          <w:tblW w:w="7740" w:type="dxa"/>
          <w:tblInd w:w="610" w:type="dxa"/>
          <w:tblLayout w:type="fixed"/>
          <w:tblCellMar>
            <w:top w:w="0" w:type="dxa"/>
            <w:left w:w="70" w:type="dxa"/>
            <w:bottom w:w="0" w:type="dxa"/>
            <w:right w:w="70" w:type="dxa"/>
          </w:tblCellMar>
        </w:tblPrEx>
        <w:trPr>
          <w:trHeight w:hRule="auto" w:val="0"/>
        </w:trPr>
        <w:tc>
          <w:tcPr>
            <w:tcW w:w="5040"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A74F9A" w:rsidRPr="004B7651" w:rsidP="00A74F9A">
            <w:pPr>
              <w:pStyle w:val="Header"/>
              <w:tabs>
                <w:tab w:val="clear" w:pos="4536"/>
                <w:tab w:val="clear" w:pos="9072"/>
              </w:tabs>
              <w:rPr>
                <w:rFonts w:ascii="Times New Roman" w:hAnsi="Times New Roman" w:cs="Times New Roman"/>
                <w:sz w:val="20"/>
                <w:szCs w:val="20"/>
              </w:rPr>
            </w:pPr>
            <w:r w:rsidRPr="004B7651">
              <w:rPr>
                <w:rFonts w:ascii="Times New Roman" w:hAnsi="Times New Roman" w:cs="Times New Roman"/>
                <w:sz w:val="20"/>
                <w:szCs w:val="20"/>
              </w:rPr>
              <w:t>Daň z príjmov fyzickej osoby zo závislej činnosti</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74F9A" w:rsidRPr="004B7651" w:rsidP="00A74F9A">
            <w:pPr>
              <w:pStyle w:val="Header"/>
              <w:tabs>
                <w:tab w:val="clear" w:pos="4536"/>
                <w:tab w:val="clear" w:pos="9072"/>
              </w:tabs>
              <w:jc w:val="right"/>
              <w:rPr>
                <w:rFonts w:ascii="Times New Roman" w:hAnsi="Times New Roman" w:cs="Times New Roman"/>
                <w:sz w:val="20"/>
                <w:szCs w:val="20"/>
              </w:rPr>
            </w:pPr>
            <w:r w:rsidRPr="004B7651">
              <w:rPr>
                <w:rFonts w:ascii="Times New Roman" w:hAnsi="Times New Roman" w:cs="Times New Roman"/>
                <w:sz w:val="20"/>
                <w:szCs w:val="20"/>
              </w:rPr>
              <w:t>3</w:t>
            </w:r>
          </w:p>
        </w:tc>
        <w:tc>
          <w:tcPr>
            <w:tcW w:w="144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A74F9A" w:rsidRPr="004B7651" w:rsidP="00A74F9A">
            <w:pPr>
              <w:pStyle w:val="Header"/>
              <w:tabs>
                <w:tab w:val="clear" w:pos="4536"/>
                <w:tab w:val="clear" w:pos="9072"/>
              </w:tabs>
              <w:jc w:val="right"/>
              <w:rPr>
                <w:rFonts w:ascii="Times New Roman" w:hAnsi="Times New Roman" w:cs="Times New Roman"/>
                <w:sz w:val="20"/>
                <w:szCs w:val="20"/>
              </w:rPr>
            </w:pPr>
            <w:r w:rsidRPr="004B7651">
              <w:rPr>
                <w:rFonts w:ascii="Times New Roman" w:hAnsi="Times New Roman" w:cs="Times New Roman"/>
                <w:sz w:val="20"/>
                <w:szCs w:val="20"/>
              </w:rPr>
              <w:t>15 508</w:t>
            </w:r>
          </w:p>
        </w:tc>
      </w:tr>
      <w:tr>
        <w:tblPrEx>
          <w:tblW w:w="7740" w:type="dxa"/>
          <w:tblInd w:w="610" w:type="dxa"/>
          <w:tblLayout w:type="fixed"/>
          <w:tblCellMar>
            <w:top w:w="0" w:type="dxa"/>
            <w:left w:w="70" w:type="dxa"/>
            <w:bottom w:w="0" w:type="dxa"/>
            <w:right w:w="70" w:type="dxa"/>
          </w:tblCellMar>
        </w:tblPrEx>
        <w:trPr>
          <w:trHeight w:hRule="auto" w:val="0"/>
        </w:trPr>
        <w:tc>
          <w:tcPr>
            <w:tcW w:w="5040"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A74F9A" w:rsidRPr="004B7651" w:rsidP="00A74F9A">
            <w:pPr>
              <w:pStyle w:val="Header"/>
              <w:tabs>
                <w:tab w:val="clear" w:pos="4536"/>
                <w:tab w:val="clear" w:pos="9072"/>
              </w:tabs>
              <w:rPr>
                <w:rFonts w:ascii="Times New Roman" w:hAnsi="Times New Roman" w:cs="Times New Roman"/>
                <w:sz w:val="20"/>
                <w:szCs w:val="20"/>
              </w:rPr>
            </w:pPr>
            <w:r w:rsidRPr="004B7651">
              <w:rPr>
                <w:rFonts w:ascii="Times New Roman" w:hAnsi="Times New Roman" w:cs="Times New Roman"/>
                <w:sz w:val="20"/>
                <w:szCs w:val="20"/>
              </w:rPr>
              <w:t xml:space="preserve">Daň z príjmov </w:t>
            </w:r>
            <w:r w:rsidR="004B7651">
              <w:rPr>
                <w:rFonts w:ascii="Times New Roman" w:hAnsi="Times New Roman" w:cs="Times New Roman"/>
                <w:sz w:val="20"/>
                <w:szCs w:val="20"/>
              </w:rPr>
              <w:t>fyzickej</w:t>
            </w:r>
            <w:r w:rsidRPr="004B7651">
              <w:rPr>
                <w:rFonts w:ascii="Times New Roman" w:hAnsi="Times New Roman" w:cs="Times New Roman"/>
                <w:sz w:val="20"/>
                <w:szCs w:val="20"/>
              </w:rPr>
              <w:t xml:space="preserve"> osoby z podnikania, z inej samostatnej zárobkovej činnosti a z prenájmu</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74F9A" w:rsidRPr="004B7651" w:rsidP="004B7651">
            <w:pPr>
              <w:pStyle w:val="Header"/>
              <w:tabs>
                <w:tab w:val="clear" w:pos="4536"/>
                <w:tab w:val="clear" w:pos="9072"/>
              </w:tabs>
              <w:jc w:val="right"/>
              <w:rPr>
                <w:rFonts w:ascii="Times New Roman" w:hAnsi="Times New Roman" w:cs="Times New Roman"/>
                <w:sz w:val="20"/>
                <w:szCs w:val="20"/>
              </w:rPr>
            </w:pPr>
            <w:r w:rsidRPr="004B7651">
              <w:rPr>
                <w:rFonts w:ascii="Times New Roman" w:hAnsi="Times New Roman" w:cs="Times New Roman"/>
                <w:sz w:val="20"/>
                <w:szCs w:val="20"/>
              </w:rPr>
              <w:t>83</w:t>
            </w:r>
          </w:p>
        </w:tc>
        <w:tc>
          <w:tcPr>
            <w:tcW w:w="1440"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A74F9A" w:rsidRPr="004B7651" w:rsidP="004B7651">
            <w:pPr>
              <w:pStyle w:val="Header"/>
              <w:tabs>
                <w:tab w:val="clear" w:pos="4536"/>
                <w:tab w:val="clear" w:pos="9072"/>
              </w:tabs>
              <w:jc w:val="right"/>
              <w:rPr>
                <w:rFonts w:ascii="Times New Roman" w:hAnsi="Times New Roman" w:cs="Times New Roman"/>
                <w:sz w:val="20"/>
                <w:szCs w:val="20"/>
              </w:rPr>
            </w:pPr>
            <w:r w:rsidRPr="004B7651">
              <w:rPr>
                <w:rFonts w:ascii="Times New Roman" w:hAnsi="Times New Roman" w:cs="Times New Roman"/>
                <w:sz w:val="20"/>
                <w:szCs w:val="20"/>
              </w:rPr>
              <w:t>3 222 496</w:t>
            </w:r>
          </w:p>
        </w:tc>
      </w:tr>
      <w:tr>
        <w:tblPrEx>
          <w:tblW w:w="7740" w:type="dxa"/>
          <w:tblInd w:w="610" w:type="dxa"/>
          <w:tblLayout w:type="fixed"/>
          <w:tblCellMar>
            <w:top w:w="0" w:type="dxa"/>
            <w:left w:w="70" w:type="dxa"/>
            <w:bottom w:w="0" w:type="dxa"/>
            <w:right w:w="70" w:type="dxa"/>
          </w:tblCellMar>
        </w:tblPrEx>
        <w:trPr>
          <w:trHeight w:hRule="auto" w:val="0"/>
        </w:trPr>
        <w:tc>
          <w:tcPr>
            <w:tcW w:w="5040"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A74F9A" w:rsidRPr="004B7651" w:rsidP="00A74F9A">
            <w:pPr>
              <w:pStyle w:val="Header"/>
              <w:tabs>
                <w:tab w:val="clear" w:pos="4536"/>
                <w:tab w:val="clear" w:pos="9072"/>
              </w:tabs>
              <w:rPr>
                <w:rFonts w:ascii="Times New Roman" w:hAnsi="Times New Roman" w:cs="Times New Roman"/>
                <w:sz w:val="20"/>
                <w:szCs w:val="20"/>
              </w:rPr>
            </w:pPr>
            <w:r w:rsidRPr="004B7651">
              <w:rPr>
                <w:rFonts w:ascii="Times New Roman" w:hAnsi="Times New Roman" w:cs="Times New Roman"/>
                <w:sz w:val="20"/>
                <w:szCs w:val="20"/>
              </w:rPr>
              <w:t xml:space="preserve">Cestná daň </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74F9A" w:rsidRPr="004B7651" w:rsidP="00A74F9A">
            <w:pPr>
              <w:pStyle w:val="Header"/>
              <w:tabs>
                <w:tab w:val="clear" w:pos="4536"/>
                <w:tab w:val="clear" w:pos="9072"/>
              </w:tabs>
              <w:jc w:val="right"/>
              <w:rPr>
                <w:rFonts w:ascii="Times New Roman" w:hAnsi="Times New Roman" w:cs="Times New Roman"/>
                <w:sz w:val="20"/>
                <w:szCs w:val="20"/>
              </w:rPr>
            </w:pPr>
            <w:r w:rsidRPr="004B7651">
              <w:rPr>
                <w:rFonts w:ascii="Times New Roman" w:hAnsi="Times New Roman" w:cs="Times New Roman"/>
                <w:sz w:val="20"/>
                <w:szCs w:val="20"/>
              </w:rPr>
              <w:t>1</w:t>
            </w:r>
          </w:p>
        </w:tc>
        <w:tc>
          <w:tcPr>
            <w:tcW w:w="144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A74F9A" w:rsidRPr="004B7651" w:rsidP="00A74F9A">
            <w:pPr>
              <w:pStyle w:val="Header"/>
              <w:tabs>
                <w:tab w:val="clear" w:pos="4536"/>
                <w:tab w:val="clear" w:pos="9072"/>
              </w:tabs>
              <w:jc w:val="right"/>
              <w:rPr>
                <w:rFonts w:ascii="Times New Roman" w:hAnsi="Times New Roman" w:cs="Times New Roman"/>
                <w:sz w:val="20"/>
                <w:szCs w:val="20"/>
              </w:rPr>
            </w:pPr>
            <w:r w:rsidRPr="004B7651">
              <w:rPr>
                <w:rFonts w:ascii="Times New Roman" w:hAnsi="Times New Roman" w:cs="Times New Roman"/>
                <w:sz w:val="20"/>
                <w:szCs w:val="20"/>
              </w:rPr>
              <w:t>4 922</w:t>
            </w:r>
          </w:p>
        </w:tc>
      </w:tr>
      <w:tr>
        <w:tblPrEx>
          <w:tblW w:w="7740" w:type="dxa"/>
          <w:tblInd w:w="610" w:type="dxa"/>
          <w:tblLayout w:type="fixed"/>
          <w:tblCellMar>
            <w:top w:w="0" w:type="dxa"/>
            <w:left w:w="70" w:type="dxa"/>
            <w:bottom w:w="0" w:type="dxa"/>
            <w:right w:w="70" w:type="dxa"/>
          </w:tblCellMar>
        </w:tblPrEx>
        <w:trPr>
          <w:trHeight w:hRule="auto" w:val="0"/>
        </w:trPr>
        <w:tc>
          <w:tcPr>
            <w:tcW w:w="5040"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A74F9A" w:rsidRPr="004B7651" w:rsidP="00A74F9A">
            <w:pPr>
              <w:pStyle w:val="Header"/>
              <w:tabs>
                <w:tab w:val="clear" w:pos="4536"/>
                <w:tab w:val="clear" w:pos="9072"/>
              </w:tabs>
              <w:rPr>
                <w:rFonts w:ascii="Times New Roman" w:hAnsi="Times New Roman" w:cs="Times New Roman"/>
                <w:sz w:val="20"/>
                <w:szCs w:val="20"/>
              </w:rPr>
            </w:pPr>
            <w:r w:rsidRPr="004B7651">
              <w:rPr>
                <w:rFonts w:ascii="Times New Roman" w:hAnsi="Times New Roman" w:cs="Times New Roman"/>
                <w:sz w:val="20"/>
                <w:szCs w:val="20"/>
              </w:rPr>
              <w:t>Daň z</w:t>
            </w:r>
            <w:r w:rsidRPr="004B7651" w:rsidR="00B652E3">
              <w:rPr>
                <w:rFonts w:ascii="Times New Roman" w:hAnsi="Times New Roman" w:cs="Times New Roman"/>
                <w:sz w:val="20"/>
                <w:szCs w:val="20"/>
              </w:rPr>
              <w:t> </w:t>
            </w:r>
            <w:r w:rsidRPr="004B7651">
              <w:rPr>
                <w:rFonts w:ascii="Times New Roman" w:hAnsi="Times New Roman" w:cs="Times New Roman"/>
                <w:sz w:val="20"/>
                <w:szCs w:val="20"/>
              </w:rPr>
              <w:t>dedičstva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74F9A" w:rsidRPr="004B7651" w:rsidP="00A74F9A">
            <w:pPr>
              <w:pStyle w:val="Header"/>
              <w:tabs>
                <w:tab w:val="clear" w:pos="4536"/>
                <w:tab w:val="clear" w:pos="9072"/>
              </w:tabs>
              <w:jc w:val="right"/>
              <w:rPr>
                <w:rFonts w:ascii="Times New Roman" w:hAnsi="Times New Roman" w:cs="Times New Roman"/>
                <w:sz w:val="20"/>
                <w:szCs w:val="20"/>
              </w:rPr>
            </w:pPr>
            <w:r w:rsidRPr="004B7651">
              <w:rPr>
                <w:rFonts w:ascii="Times New Roman" w:hAnsi="Times New Roman" w:cs="Times New Roman"/>
                <w:sz w:val="20"/>
                <w:szCs w:val="20"/>
              </w:rPr>
              <w:t>21</w:t>
            </w:r>
          </w:p>
        </w:tc>
        <w:tc>
          <w:tcPr>
            <w:tcW w:w="144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A74F9A" w:rsidRPr="004B7651" w:rsidP="00A74F9A">
            <w:pPr>
              <w:pStyle w:val="Header"/>
              <w:tabs>
                <w:tab w:val="clear" w:pos="4536"/>
                <w:tab w:val="clear" w:pos="9072"/>
              </w:tabs>
              <w:jc w:val="right"/>
              <w:rPr>
                <w:rFonts w:ascii="Times New Roman" w:hAnsi="Times New Roman" w:cs="Times New Roman"/>
                <w:sz w:val="20"/>
                <w:szCs w:val="20"/>
              </w:rPr>
            </w:pPr>
            <w:r w:rsidRPr="004B7651">
              <w:rPr>
                <w:rFonts w:ascii="Times New Roman" w:hAnsi="Times New Roman" w:cs="Times New Roman"/>
                <w:sz w:val="20"/>
                <w:szCs w:val="20"/>
              </w:rPr>
              <w:t>152 131</w:t>
            </w:r>
          </w:p>
        </w:tc>
      </w:tr>
      <w:tr>
        <w:tblPrEx>
          <w:tblW w:w="7740" w:type="dxa"/>
          <w:tblInd w:w="610" w:type="dxa"/>
          <w:tblLayout w:type="fixed"/>
          <w:tblCellMar>
            <w:top w:w="0" w:type="dxa"/>
            <w:left w:w="70" w:type="dxa"/>
            <w:bottom w:w="0" w:type="dxa"/>
            <w:right w:w="70" w:type="dxa"/>
          </w:tblCellMar>
        </w:tblPrEx>
        <w:trPr>
          <w:trHeight w:hRule="auto" w:val="0"/>
        </w:trPr>
        <w:tc>
          <w:tcPr>
            <w:tcW w:w="5040"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A74F9A" w:rsidRPr="004B7651" w:rsidP="00A74F9A">
            <w:pPr>
              <w:pStyle w:val="Header"/>
              <w:tabs>
                <w:tab w:val="clear" w:pos="4536"/>
                <w:tab w:val="clear" w:pos="9072"/>
              </w:tabs>
              <w:rPr>
                <w:rFonts w:ascii="Times New Roman" w:hAnsi="Times New Roman" w:cs="Times New Roman"/>
                <w:sz w:val="20"/>
                <w:szCs w:val="20"/>
              </w:rPr>
            </w:pPr>
            <w:r w:rsidRPr="004B7651">
              <w:rPr>
                <w:rFonts w:ascii="Times New Roman" w:hAnsi="Times New Roman" w:cs="Times New Roman"/>
                <w:sz w:val="20"/>
                <w:szCs w:val="20"/>
              </w:rPr>
              <w:t>Daň z</w:t>
            </w:r>
            <w:r w:rsidRPr="004B7651" w:rsidR="00B652E3">
              <w:rPr>
                <w:rFonts w:ascii="Times New Roman" w:hAnsi="Times New Roman" w:cs="Times New Roman"/>
                <w:sz w:val="20"/>
                <w:szCs w:val="20"/>
              </w:rPr>
              <w:t> </w:t>
            </w:r>
            <w:r w:rsidRPr="004B7651">
              <w:rPr>
                <w:rFonts w:ascii="Times New Roman" w:hAnsi="Times New Roman" w:cs="Times New Roman"/>
                <w:sz w:val="20"/>
                <w:szCs w:val="20"/>
              </w:rPr>
              <w:t>darovania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74F9A" w:rsidRPr="004B7651" w:rsidP="00A74F9A">
            <w:pPr>
              <w:pStyle w:val="Header"/>
              <w:tabs>
                <w:tab w:val="clear" w:pos="4536"/>
                <w:tab w:val="clear" w:pos="9072"/>
              </w:tabs>
              <w:jc w:val="right"/>
              <w:rPr>
                <w:rFonts w:ascii="Times New Roman" w:hAnsi="Times New Roman" w:cs="Times New Roman"/>
                <w:sz w:val="20"/>
                <w:szCs w:val="20"/>
              </w:rPr>
            </w:pPr>
            <w:r w:rsidRPr="004B7651">
              <w:rPr>
                <w:rFonts w:ascii="Times New Roman" w:hAnsi="Times New Roman" w:cs="Times New Roman"/>
                <w:sz w:val="20"/>
                <w:szCs w:val="20"/>
              </w:rPr>
              <w:t>19</w:t>
            </w:r>
          </w:p>
        </w:tc>
        <w:tc>
          <w:tcPr>
            <w:tcW w:w="144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A74F9A" w:rsidRPr="004B7651" w:rsidP="00A74F9A">
            <w:pPr>
              <w:pStyle w:val="Header"/>
              <w:tabs>
                <w:tab w:val="clear" w:pos="4536"/>
                <w:tab w:val="clear" w:pos="9072"/>
              </w:tabs>
              <w:jc w:val="right"/>
              <w:rPr>
                <w:rFonts w:ascii="Times New Roman" w:hAnsi="Times New Roman" w:cs="Times New Roman"/>
                <w:sz w:val="20"/>
                <w:szCs w:val="20"/>
              </w:rPr>
            </w:pPr>
            <w:r w:rsidRPr="004B7651">
              <w:rPr>
                <w:rFonts w:ascii="Times New Roman" w:hAnsi="Times New Roman" w:cs="Times New Roman"/>
                <w:sz w:val="20"/>
                <w:szCs w:val="20"/>
              </w:rPr>
              <w:t>119 012</w:t>
            </w:r>
          </w:p>
        </w:tc>
      </w:tr>
      <w:tr>
        <w:tblPrEx>
          <w:tblW w:w="7740" w:type="dxa"/>
          <w:tblInd w:w="610" w:type="dxa"/>
          <w:tblLayout w:type="fixed"/>
          <w:tblCellMar>
            <w:top w:w="0" w:type="dxa"/>
            <w:left w:w="70" w:type="dxa"/>
            <w:bottom w:w="0" w:type="dxa"/>
            <w:right w:w="70" w:type="dxa"/>
          </w:tblCellMar>
        </w:tblPrEx>
        <w:trPr>
          <w:trHeight w:hRule="auto" w:val="0"/>
        </w:trPr>
        <w:tc>
          <w:tcPr>
            <w:tcW w:w="5040"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A74F9A" w:rsidRPr="004B7651" w:rsidP="00A74F9A">
            <w:pPr>
              <w:pStyle w:val="Header"/>
              <w:tabs>
                <w:tab w:val="clear" w:pos="4536"/>
                <w:tab w:val="clear" w:pos="9072"/>
              </w:tabs>
              <w:rPr>
                <w:rFonts w:ascii="Times New Roman" w:hAnsi="Times New Roman" w:cs="Times New Roman"/>
                <w:b/>
                <w:bCs/>
                <w:sz w:val="20"/>
                <w:szCs w:val="20"/>
              </w:rPr>
            </w:pPr>
            <w:r w:rsidRPr="004B7651">
              <w:rPr>
                <w:rFonts w:ascii="Times New Roman" w:hAnsi="Times New Roman" w:cs="Times New Roman"/>
                <w:sz w:val="20"/>
                <w:szCs w:val="20"/>
              </w:rPr>
              <w:t>Daň z prevodu a prechodu nehnute</w:t>
            </w:r>
            <w:r w:rsidR="004B7651">
              <w:rPr>
                <w:rFonts w:ascii="Times New Roman" w:hAnsi="Times New Roman" w:cs="Times New Roman"/>
                <w:sz w:val="20"/>
                <w:szCs w:val="20"/>
              </w:rPr>
              <w:t>ľ</w:t>
            </w:r>
            <w:r w:rsidRPr="004B7651">
              <w:rPr>
                <w:rFonts w:ascii="Times New Roman" w:hAnsi="Times New Roman" w:cs="Times New Roman"/>
                <w:sz w:val="20"/>
                <w:szCs w:val="20"/>
              </w:rPr>
              <w:t>nosti</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74F9A" w:rsidRPr="004B7651" w:rsidP="00A74F9A">
            <w:pPr>
              <w:pStyle w:val="Header"/>
              <w:tabs>
                <w:tab w:val="clear" w:pos="4536"/>
                <w:tab w:val="clear" w:pos="9072"/>
              </w:tabs>
              <w:jc w:val="right"/>
              <w:rPr>
                <w:rFonts w:ascii="Times New Roman" w:hAnsi="Times New Roman" w:cs="Times New Roman"/>
                <w:sz w:val="20"/>
                <w:szCs w:val="20"/>
              </w:rPr>
            </w:pPr>
            <w:r w:rsidRPr="004B7651">
              <w:rPr>
                <w:rFonts w:ascii="Times New Roman" w:hAnsi="Times New Roman" w:cs="Times New Roman"/>
                <w:sz w:val="20"/>
                <w:szCs w:val="20"/>
              </w:rPr>
              <w:t>362</w:t>
            </w:r>
          </w:p>
        </w:tc>
        <w:tc>
          <w:tcPr>
            <w:tcW w:w="144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A74F9A" w:rsidRPr="004B7651" w:rsidP="00A74F9A">
            <w:pPr>
              <w:pStyle w:val="Header"/>
              <w:tabs>
                <w:tab w:val="clear" w:pos="4536"/>
                <w:tab w:val="clear" w:pos="9072"/>
              </w:tabs>
              <w:jc w:val="right"/>
              <w:rPr>
                <w:rFonts w:ascii="Times New Roman" w:hAnsi="Times New Roman" w:cs="Times New Roman"/>
                <w:sz w:val="20"/>
                <w:szCs w:val="20"/>
              </w:rPr>
            </w:pPr>
            <w:r w:rsidRPr="004B7651">
              <w:rPr>
                <w:rFonts w:ascii="Times New Roman" w:hAnsi="Times New Roman" w:cs="Times New Roman"/>
                <w:sz w:val="20"/>
                <w:szCs w:val="20"/>
              </w:rPr>
              <w:t>6 987 523</w:t>
            </w:r>
          </w:p>
        </w:tc>
      </w:tr>
      <w:tr>
        <w:tblPrEx>
          <w:tblW w:w="7740" w:type="dxa"/>
          <w:tblInd w:w="610" w:type="dxa"/>
          <w:tblLayout w:type="fixed"/>
          <w:tblCellMar>
            <w:top w:w="0" w:type="dxa"/>
            <w:left w:w="70" w:type="dxa"/>
            <w:bottom w:w="0" w:type="dxa"/>
            <w:right w:w="70" w:type="dxa"/>
          </w:tblCellMar>
        </w:tblPrEx>
        <w:trPr>
          <w:trHeight w:hRule="auto" w:val="0"/>
        </w:trPr>
        <w:tc>
          <w:tcPr>
            <w:tcW w:w="5040"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A74F9A" w:rsidRPr="004B7651" w:rsidP="00A74F9A">
            <w:pPr>
              <w:pStyle w:val="Header"/>
              <w:tabs>
                <w:tab w:val="clear" w:pos="4536"/>
                <w:tab w:val="clear" w:pos="9072"/>
              </w:tabs>
              <w:rPr>
                <w:rFonts w:ascii="Times New Roman" w:hAnsi="Times New Roman" w:cs="Times New Roman"/>
                <w:sz w:val="20"/>
                <w:szCs w:val="20"/>
              </w:rPr>
            </w:pPr>
            <w:r w:rsidRPr="004B7651">
              <w:rPr>
                <w:rFonts w:ascii="Times New Roman" w:hAnsi="Times New Roman" w:cs="Times New Roman"/>
                <w:sz w:val="20"/>
                <w:szCs w:val="20"/>
              </w:rPr>
              <w:t>Dane z príjmov platné do roku 1992</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74F9A" w:rsidRPr="004B7651" w:rsidP="00A74F9A">
            <w:pPr>
              <w:pStyle w:val="Header"/>
              <w:tabs>
                <w:tab w:val="clear" w:pos="4536"/>
                <w:tab w:val="clear" w:pos="9072"/>
              </w:tabs>
              <w:jc w:val="right"/>
              <w:rPr>
                <w:rFonts w:ascii="Times New Roman" w:hAnsi="Times New Roman" w:cs="Times New Roman"/>
                <w:sz w:val="20"/>
                <w:szCs w:val="20"/>
              </w:rPr>
            </w:pPr>
            <w:r w:rsidRPr="004B7651">
              <w:rPr>
                <w:rFonts w:ascii="Times New Roman" w:hAnsi="Times New Roman" w:cs="Times New Roman"/>
                <w:sz w:val="20"/>
                <w:szCs w:val="20"/>
              </w:rPr>
              <w:t>13</w:t>
            </w:r>
          </w:p>
        </w:tc>
        <w:tc>
          <w:tcPr>
            <w:tcW w:w="144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A74F9A" w:rsidRPr="004B7651" w:rsidP="00A74F9A">
            <w:pPr>
              <w:pStyle w:val="Header"/>
              <w:tabs>
                <w:tab w:val="clear" w:pos="4536"/>
                <w:tab w:val="clear" w:pos="9072"/>
              </w:tabs>
              <w:jc w:val="right"/>
              <w:rPr>
                <w:rFonts w:ascii="Times New Roman" w:hAnsi="Times New Roman" w:cs="Times New Roman"/>
                <w:sz w:val="20"/>
                <w:szCs w:val="20"/>
              </w:rPr>
            </w:pPr>
            <w:r w:rsidRPr="004B7651">
              <w:rPr>
                <w:rFonts w:ascii="Times New Roman" w:hAnsi="Times New Roman" w:cs="Times New Roman"/>
                <w:sz w:val="20"/>
                <w:szCs w:val="20"/>
              </w:rPr>
              <w:t>485 610</w:t>
            </w:r>
          </w:p>
        </w:tc>
      </w:tr>
      <w:tr>
        <w:tblPrEx>
          <w:tblW w:w="7740" w:type="dxa"/>
          <w:tblInd w:w="610" w:type="dxa"/>
          <w:tblLayout w:type="fixed"/>
          <w:tblCellMar>
            <w:top w:w="0" w:type="dxa"/>
            <w:left w:w="70" w:type="dxa"/>
            <w:bottom w:w="0" w:type="dxa"/>
            <w:right w:w="70" w:type="dxa"/>
          </w:tblCellMar>
        </w:tblPrEx>
        <w:trPr>
          <w:trHeight w:hRule="auto" w:val="0"/>
        </w:trPr>
        <w:tc>
          <w:tcPr>
            <w:tcW w:w="5040" w:type="dxa"/>
            <w:tcBorders>
              <w:top w:val="single" w:sz="4" w:space="0" w:color="auto"/>
              <w:left w:val="single" w:sz="8" w:space="0" w:color="auto"/>
              <w:bottom w:val="double" w:sz="6" w:space="0" w:color="auto"/>
              <w:right w:val="single" w:sz="4" w:space="0" w:color="auto"/>
              <w:tl2br w:val="nil"/>
              <w:tr2bl w:val="nil"/>
            </w:tcBorders>
            <w:textDirection w:val="lrTb"/>
            <w:vAlign w:val="top"/>
          </w:tcPr>
          <w:p w:rsidR="00A74F9A" w:rsidRPr="004B7651" w:rsidP="00A74F9A">
            <w:pPr>
              <w:pStyle w:val="Header"/>
              <w:tabs>
                <w:tab w:val="clear" w:pos="4536"/>
                <w:tab w:val="clear" w:pos="9072"/>
              </w:tabs>
              <w:rPr>
                <w:rFonts w:ascii="Times New Roman" w:hAnsi="Times New Roman" w:cs="Times New Roman"/>
                <w:b/>
                <w:bCs/>
                <w:sz w:val="20"/>
                <w:szCs w:val="20"/>
              </w:rPr>
            </w:pPr>
            <w:r w:rsidRPr="004B7651" w:rsidR="004B7651">
              <w:rPr>
                <w:rFonts w:ascii="Times New Roman" w:hAnsi="Times New Roman" w:cs="Times New Roman"/>
                <w:b/>
                <w:bCs/>
                <w:sz w:val="20"/>
                <w:szCs w:val="20"/>
              </w:rPr>
              <w:t>SPOLU</w:t>
            </w:r>
          </w:p>
        </w:tc>
        <w:tc>
          <w:tcPr>
            <w:tcW w:w="1260" w:type="dxa"/>
            <w:tcBorders>
              <w:top w:val="single" w:sz="4" w:space="0" w:color="auto"/>
              <w:left w:val="single" w:sz="4" w:space="0" w:color="auto"/>
              <w:bottom w:val="double" w:sz="6" w:space="0" w:color="auto"/>
              <w:right w:val="single" w:sz="4" w:space="0" w:color="auto"/>
              <w:tl2br w:val="nil"/>
              <w:tr2bl w:val="nil"/>
            </w:tcBorders>
            <w:textDirection w:val="lrTb"/>
            <w:vAlign w:val="top"/>
          </w:tcPr>
          <w:p w:rsidR="00A74F9A" w:rsidRPr="004B7651" w:rsidP="00A74F9A">
            <w:pPr>
              <w:pStyle w:val="Header"/>
              <w:tabs>
                <w:tab w:val="clear" w:pos="4536"/>
                <w:tab w:val="clear" w:pos="9072"/>
              </w:tabs>
              <w:jc w:val="right"/>
              <w:rPr>
                <w:rFonts w:ascii="Times New Roman" w:hAnsi="Times New Roman" w:cs="Times New Roman"/>
                <w:b/>
                <w:bCs/>
                <w:sz w:val="20"/>
                <w:szCs w:val="20"/>
              </w:rPr>
            </w:pPr>
            <w:r w:rsidRPr="004B7651">
              <w:rPr>
                <w:rFonts w:ascii="Times New Roman" w:hAnsi="Times New Roman" w:cs="Times New Roman"/>
                <w:b/>
                <w:bCs/>
                <w:sz w:val="20"/>
                <w:szCs w:val="20"/>
              </w:rPr>
              <w:t>502</w:t>
            </w:r>
          </w:p>
        </w:tc>
        <w:tc>
          <w:tcPr>
            <w:tcW w:w="1440" w:type="dxa"/>
            <w:tcBorders>
              <w:top w:val="single" w:sz="4" w:space="0" w:color="auto"/>
              <w:left w:val="single" w:sz="4" w:space="0" w:color="auto"/>
              <w:bottom w:val="double" w:sz="6" w:space="0" w:color="auto"/>
              <w:right w:val="single" w:sz="8" w:space="0" w:color="auto"/>
              <w:tl2br w:val="nil"/>
              <w:tr2bl w:val="nil"/>
            </w:tcBorders>
            <w:textDirection w:val="lrTb"/>
            <w:vAlign w:val="top"/>
          </w:tcPr>
          <w:p w:rsidR="00A74F9A" w:rsidRPr="004B7651" w:rsidP="00A74F9A">
            <w:pPr>
              <w:pStyle w:val="Header"/>
              <w:tabs>
                <w:tab w:val="clear" w:pos="4536"/>
                <w:tab w:val="clear" w:pos="9072"/>
              </w:tabs>
              <w:jc w:val="right"/>
              <w:rPr>
                <w:rFonts w:ascii="Times New Roman" w:hAnsi="Times New Roman" w:cs="Times New Roman"/>
                <w:b/>
                <w:bCs/>
                <w:sz w:val="20"/>
                <w:szCs w:val="20"/>
              </w:rPr>
            </w:pPr>
            <w:r w:rsidRPr="004B7651">
              <w:rPr>
                <w:rFonts w:ascii="Times New Roman" w:hAnsi="Times New Roman" w:cs="Times New Roman"/>
                <w:b/>
                <w:bCs/>
                <w:sz w:val="20"/>
                <w:szCs w:val="20"/>
              </w:rPr>
              <w:t>10 987 202</w:t>
            </w:r>
          </w:p>
        </w:tc>
      </w:tr>
    </w:tbl>
    <w:p w:rsidR="00A74F9A" w:rsidRPr="00B652E3" w:rsidP="00A74F9A">
      <w:pPr>
        <w:pStyle w:val="Header"/>
        <w:tabs>
          <w:tab w:val="clear" w:pos="4536"/>
          <w:tab w:val="clear" w:pos="9072"/>
        </w:tabs>
        <w:spacing w:before="120"/>
        <w:rPr>
          <w:rFonts w:ascii="Times New Roman" w:hAnsi="Times New Roman" w:cs="Times New Roman"/>
          <w:b/>
          <w:bCs/>
          <w:sz w:val="20"/>
          <w:szCs w:val="20"/>
        </w:rPr>
      </w:pPr>
      <w:r w:rsidRPr="00B652E3">
        <w:rPr>
          <w:rFonts w:ascii="Times New Roman" w:hAnsi="Times New Roman" w:cs="Times New Roman"/>
          <w:sz w:val="20"/>
          <w:szCs w:val="20"/>
        </w:rPr>
        <w:t xml:space="preserve">         </w:t>
      </w:r>
      <w:r w:rsidR="004B7651">
        <w:rPr>
          <w:rFonts w:ascii="Times New Roman" w:hAnsi="Times New Roman" w:cs="Times New Roman"/>
          <w:sz w:val="20"/>
          <w:szCs w:val="20"/>
        </w:rPr>
        <w:t xml:space="preserve">  </w:t>
      </w:r>
      <w:r w:rsidRPr="00B652E3">
        <w:rPr>
          <w:rFonts w:ascii="Times New Roman" w:hAnsi="Times New Roman" w:cs="Times New Roman"/>
          <w:sz w:val="20"/>
          <w:szCs w:val="20"/>
        </w:rPr>
        <w:t xml:space="preserve"> Zdroj: Daňové riaditeľstvo SR</w:t>
      </w:r>
    </w:p>
    <w:p w:rsidR="00A74F9A" w:rsidP="00A74F9A">
      <w:pPr>
        <w:pStyle w:val="Header"/>
        <w:tabs>
          <w:tab w:val="clear" w:pos="4536"/>
          <w:tab w:val="clear" w:pos="9072"/>
        </w:tabs>
        <w:rPr>
          <w:rFonts w:ascii="Times New Roman" w:hAnsi="Times New Roman" w:cs="Times New Roman"/>
          <w:b/>
          <w:bCs/>
        </w:rPr>
      </w:pPr>
    </w:p>
    <w:p w:rsidR="00A74F9A" w:rsidP="00A74F9A">
      <w:pPr>
        <w:pStyle w:val="Header"/>
        <w:tabs>
          <w:tab w:val="clear" w:pos="4536"/>
          <w:tab w:val="clear" w:pos="9072"/>
        </w:tabs>
        <w:rPr>
          <w:rFonts w:ascii="Times New Roman" w:hAnsi="Times New Roman" w:cs="Times New Roman"/>
          <w:b/>
          <w:bCs/>
        </w:rPr>
      </w:pPr>
    </w:p>
    <w:p w:rsidR="004B7651" w:rsidP="00A74F9A">
      <w:pPr>
        <w:pStyle w:val="Header"/>
        <w:tabs>
          <w:tab w:val="clear" w:pos="4536"/>
          <w:tab w:val="clear" w:pos="9072"/>
        </w:tabs>
        <w:rPr>
          <w:rFonts w:ascii="Times New Roman" w:hAnsi="Times New Roman" w:cs="Times New Roman"/>
          <w:b/>
          <w:bCs/>
        </w:rPr>
      </w:pPr>
    </w:p>
    <w:p w:rsidR="00A74F9A" w:rsidP="00A74F9A">
      <w:pPr>
        <w:pStyle w:val="Header"/>
        <w:tabs>
          <w:tab w:val="clear" w:pos="4536"/>
          <w:tab w:val="clear" w:pos="9072"/>
        </w:tabs>
        <w:jc w:val="center"/>
        <w:rPr>
          <w:rFonts w:ascii="Times New Roman" w:hAnsi="Times New Roman" w:cs="Times New Roman"/>
          <w:b/>
          <w:bCs/>
        </w:rPr>
      </w:pPr>
      <w:r w:rsidR="00644DA1">
        <w:rPr>
          <w:rFonts w:ascii="Times New Roman" w:hAnsi="Times New Roman" w:cs="Times New Roman"/>
          <w:b/>
          <w:bCs/>
        </w:rPr>
        <w:t>5</w:t>
      </w:r>
      <w:r>
        <w:rPr>
          <w:rFonts w:ascii="Times New Roman" w:hAnsi="Times New Roman" w:cs="Times New Roman"/>
          <w:b/>
          <w:bCs/>
        </w:rPr>
        <w:t>.1.3. Výška povolených úľav zo sankcií a odpustených sankcií</w:t>
      </w:r>
    </w:p>
    <w:p w:rsidR="00A74F9A" w:rsidP="00A74F9A">
      <w:pPr>
        <w:pStyle w:val="Header"/>
        <w:tabs>
          <w:tab w:val="clear" w:pos="4536"/>
          <w:tab w:val="clear" w:pos="9072"/>
        </w:tabs>
        <w:jc w:val="center"/>
        <w:rPr>
          <w:rFonts w:ascii="Times New Roman" w:hAnsi="Times New Roman" w:cs="Times New Roman"/>
          <w:b/>
          <w:bCs/>
        </w:rPr>
      </w:pPr>
    </w:p>
    <w:p w:rsidR="00A74F9A" w:rsidP="00A74F9A">
      <w:pPr>
        <w:spacing w:line="360" w:lineRule="auto"/>
        <w:ind w:firstLine="708"/>
        <w:jc w:val="both"/>
        <w:rPr>
          <w:rFonts w:ascii="Times New Roman" w:hAnsi="Times New Roman" w:cs="Times New Roman"/>
          <w:lang w:val="cs-CZ"/>
        </w:rPr>
      </w:pPr>
      <w:r>
        <w:rPr>
          <w:rFonts w:ascii="Times New Roman" w:hAnsi="Times New Roman" w:cs="Times New Roman"/>
        </w:rPr>
        <w:t>Daňové orgány  v  sledovanom  roku  poskytli úľavu zo sankcií v zmysle § 103 zákona č. 511/1992 Zb. o správe daní a poplatkov a o zmenách v sústave územných finančných orgánov v znení neskorších predpisov v 23 286</w:t>
      </w:r>
      <w:r>
        <w:rPr>
          <w:rFonts w:ascii="Times New Roman" w:hAnsi="Times New Roman" w:cs="Times New Roman"/>
          <w:sz w:val="20"/>
        </w:rPr>
        <w:t xml:space="preserve"> </w:t>
      </w:r>
      <w:r>
        <w:rPr>
          <w:rFonts w:ascii="Times New Roman" w:hAnsi="Times New Roman" w:cs="Times New Roman"/>
        </w:rPr>
        <w:t xml:space="preserve">prípadoch (v roku 2005: 8 099) v celkovej výške 224,4 mil. Sk (v roku 2005: 142,7 mil. Sk): </w:t>
      </w:r>
    </w:p>
    <w:p w:rsidR="00A74F9A" w:rsidP="00A74F9A">
      <w:pPr>
        <w:ind w:firstLine="708"/>
        <w:jc w:val="both"/>
        <w:rPr>
          <w:rFonts w:ascii="Times New Roman" w:hAnsi="Times New Roman" w:cs="Times New Roman"/>
          <w:sz w:val="20"/>
          <w:lang w:val="cs-CZ"/>
        </w:rPr>
      </w:pPr>
    </w:p>
    <w:p w:rsidR="00A74F9A" w:rsidP="00A74F9A">
      <w:pPr>
        <w:ind w:firstLine="708"/>
        <w:jc w:val="both"/>
        <w:rPr>
          <w:rFonts w:ascii="Times New Roman" w:hAnsi="Times New Roman" w:cs="Times New Roman"/>
          <w:sz w:val="20"/>
          <w:lang w:val="cs-CZ"/>
        </w:rPr>
      </w:pPr>
      <w:r>
        <w:rPr>
          <w:rFonts w:ascii="Times New Roman" w:hAnsi="Times New Roman" w:cs="Times New Roman"/>
          <w:sz w:val="20"/>
          <w:lang w:val="cs-CZ"/>
        </w:rPr>
        <w:t xml:space="preserve">                                                                                                                                                           </w:t>
      </w:r>
    </w:p>
    <w:tbl>
      <w:tblPr>
        <w:tblW w:w="9498"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CellMar>
          <w:left w:w="70" w:type="dxa"/>
          <w:right w:w="70" w:type="dxa"/>
        </w:tblCellMar>
      </w:tblPr>
      <w:tblGrid>
        <w:gridCol w:w="1690"/>
        <w:gridCol w:w="720"/>
        <w:gridCol w:w="1260"/>
        <w:gridCol w:w="776"/>
        <w:gridCol w:w="1204"/>
        <w:gridCol w:w="720"/>
        <w:gridCol w:w="1260"/>
        <w:gridCol w:w="900"/>
        <w:gridCol w:w="968"/>
      </w:tblGrid>
      <w:tr>
        <w:tblPrEx>
          <w:tblW w:w="9498"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CellMar>
            <w:left w:w="70" w:type="dxa"/>
            <w:right w:w="70" w:type="dxa"/>
          </w:tblCellMar>
        </w:tblPrEx>
        <w:trPr>
          <w:cantSplit/>
          <w:trHeight w:val="300"/>
        </w:trPr>
        <w:tc>
          <w:tcPr>
            <w:tcW w:w="1690" w:type="dxa"/>
            <w:vMerge w:val="restart"/>
            <w:tcBorders>
              <w:top w:val="single" w:sz="8" w:space="0" w:color="auto"/>
              <w:left w:val="single" w:sz="8" w:space="0" w:color="auto"/>
              <w:bottom w:val="single" w:sz="4" w:space="0" w:color="auto"/>
              <w:right w:val="single" w:sz="4" w:space="0" w:color="auto"/>
              <w:tl2br w:val="nil"/>
              <w:tr2bl w:val="nil"/>
            </w:tcBorders>
            <w:noWrap/>
            <w:textDirection w:val="lrTb"/>
            <w:vAlign w:val="center"/>
          </w:tcPr>
          <w:p w:rsidR="00A74F9A" w:rsidRPr="001B08E6" w:rsidP="001B08E6">
            <w:pPr>
              <w:jc w:val="center"/>
              <w:rPr>
                <w:rFonts w:ascii="Times New Roman" w:hAnsi="Times New Roman" w:cs="Times New Roman"/>
                <w:b/>
                <w:bCs/>
                <w:iCs/>
                <w:sz w:val="20"/>
                <w:szCs w:val="20"/>
              </w:rPr>
            </w:pPr>
            <w:r w:rsidRPr="001B08E6">
              <w:rPr>
                <w:rFonts w:ascii="Times New Roman" w:hAnsi="Times New Roman" w:cs="Times New Roman"/>
                <w:b/>
                <w:bCs/>
                <w:iCs/>
                <w:sz w:val="20"/>
                <w:szCs w:val="20"/>
              </w:rPr>
              <w:t>Druh dane</w:t>
            </w:r>
          </w:p>
          <w:p w:rsidR="00A74F9A" w:rsidRPr="001B08E6" w:rsidP="001B08E6">
            <w:pPr>
              <w:jc w:val="center"/>
              <w:rPr>
                <w:rFonts w:ascii="Times New Roman" w:hAnsi="Times New Roman" w:cs="Times New Roman"/>
                <w:b/>
                <w:bCs/>
                <w:iCs/>
                <w:sz w:val="20"/>
                <w:szCs w:val="20"/>
              </w:rPr>
            </w:pPr>
          </w:p>
        </w:tc>
        <w:tc>
          <w:tcPr>
            <w:tcW w:w="1980" w:type="dxa"/>
            <w:gridSpan w:val="2"/>
            <w:tcBorders>
              <w:top w:val="single" w:sz="8"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1B08E6">
            <w:pPr>
              <w:jc w:val="center"/>
              <w:rPr>
                <w:rFonts w:ascii="Times New Roman" w:hAnsi="Times New Roman" w:cs="Times New Roman"/>
                <w:b/>
                <w:bCs/>
                <w:iCs/>
                <w:sz w:val="20"/>
                <w:szCs w:val="20"/>
              </w:rPr>
            </w:pPr>
            <w:r w:rsidRPr="001B08E6">
              <w:rPr>
                <w:rFonts w:ascii="Times New Roman" w:hAnsi="Times New Roman" w:cs="Times New Roman"/>
                <w:b/>
                <w:bCs/>
                <w:iCs/>
                <w:sz w:val="20"/>
                <w:szCs w:val="20"/>
              </w:rPr>
              <w:t>Pokuty</w:t>
            </w:r>
          </w:p>
        </w:tc>
        <w:tc>
          <w:tcPr>
            <w:tcW w:w="1980" w:type="dxa"/>
            <w:gridSpan w:val="2"/>
            <w:tcBorders>
              <w:top w:val="single" w:sz="8"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1B08E6">
            <w:pPr>
              <w:jc w:val="center"/>
              <w:rPr>
                <w:rFonts w:ascii="Times New Roman" w:hAnsi="Times New Roman" w:cs="Times New Roman"/>
                <w:b/>
                <w:bCs/>
                <w:iCs/>
                <w:sz w:val="20"/>
                <w:szCs w:val="20"/>
              </w:rPr>
            </w:pPr>
            <w:r w:rsidRPr="001B08E6">
              <w:rPr>
                <w:rFonts w:ascii="Times New Roman" w:hAnsi="Times New Roman" w:cs="Times New Roman"/>
                <w:b/>
                <w:bCs/>
                <w:iCs/>
                <w:sz w:val="20"/>
                <w:szCs w:val="20"/>
              </w:rPr>
              <w:t>Zvýšenie dane</w:t>
            </w:r>
          </w:p>
        </w:tc>
        <w:tc>
          <w:tcPr>
            <w:tcW w:w="1980" w:type="dxa"/>
            <w:gridSpan w:val="2"/>
            <w:tcBorders>
              <w:top w:val="single" w:sz="8"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1B08E6">
            <w:pPr>
              <w:jc w:val="center"/>
              <w:rPr>
                <w:rFonts w:ascii="Times New Roman" w:hAnsi="Times New Roman" w:cs="Times New Roman"/>
                <w:b/>
                <w:bCs/>
                <w:iCs/>
                <w:sz w:val="20"/>
                <w:szCs w:val="20"/>
              </w:rPr>
            </w:pPr>
            <w:r w:rsidRPr="001B08E6">
              <w:rPr>
                <w:rFonts w:ascii="Times New Roman" w:hAnsi="Times New Roman" w:cs="Times New Roman"/>
                <w:b/>
                <w:bCs/>
                <w:iCs/>
                <w:sz w:val="20"/>
                <w:szCs w:val="20"/>
              </w:rPr>
              <w:t>Penále</w:t>
            </w:r>
          </w:p>
        </w:tc>
        <w:tc>
          <w:tcPr>
            <w:tcW w:w="1868" w:type="dxa"/>
            <w:gridSpan w:val="2"/>
            <w:tcBorders>
              <w:top w:val="single" w:sz="8" w:space="0" w:color="auto"/>
              <w:left w:val="single" w:sz="4" w:space="0" w:color="auto"/>
              <w:bottom w:val="single" w:sz="4" w:space="0" w:color="auto"/>
              <w:right w:val="single" w:sz="8" w:space="0" w:color="auto"/>
              <w:tl2br w:val="nil"/>
              <w:tr2bl w:val="nil"/>
            </w:tcBorders>
            <w:noWrap/>
            <w:textDirection w:val="lrTb"/>
            <w:vAlign w:val="center"/>
          </w:tcPr>
          <w:p w:rsidR="00A74F9A" w:rsidRPr="001B08E6" w:rsidP="001B08E6">
            <w:pPr>
              <w:jc w:val="center"/>
              <w:rPr>
                <w:rFonts w:ascii="Times New Roman" w:hAnsi="Times New Roman" w:cs="Times New Roman"/>
                <w:b/>
                <w:bCs/>
                <w:iCs/>
                <w:sz w:val="20"/>
                <w:szCs w:val="20"/>
              </w:rPr>
            </w:pPr>
            <w:r w:rsidRPr="001B08E6">
              <w:rPr>
                <w:rFonts w:ascii="Times New Roman" w:hAnsi="Times New Roman" w:cs="Times New Roman"/>
                <w:b/>
                <w:bCs/>
                <w:iCs/>
                <w:sz w:val="20"/>
                <w:szCs w:val="20"/>
              </w:rPr>
              <w:t>Úrok</w:t>
            </w:r>
          </w:p>
        </w:tc>
      </w:tr>
      <w:tr>
        <w:tblPrEx>
          <w:tblW w:w="9498" w:type="dxa"/>
          <w:tblCellMar>
            <w:left w:w="70" w:type="dxa"/>
            <w:right w:w="70" w:type="dxa"/>
          </w:tblCellMar>
        </w:tblPrEx>
        <w:trPr>
          <w:cantSplit/>
          <w:trHeight w:val="300"/>
        </w:trPr>
        <w:tc>
          <w:tcPr>
            <w:tcW w:w="1690" w:type="dxa"/>
            <w:vMerge/>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A74F9A" w:rsidRPr="001B08E6" w:rsidP="001B08E6">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1B08E6">
            <w:pPr>
              <w:jc w:val="center"/>
              <w:rPr>
                <w:rFonts w:ascii="Times New Roman" w:hAnsi="Times New Roman" w:cs="Times New Roman"/>
                <w:b/>
                <w:bCs/>
                <w:iCs/>
                <w:sz w:val="20"/>
                <w:szCs w:val="20"/>
              </w:rPr>
            </w:pPr>
            <w:r w:rsidRPr="001B08E6">
              <w:rPr>
                <w:rFonts w:ascii="Times New Roman" w:hAnsi="Times New Roman" w:cs="Times New Roman"/>
                <w:b/>
                <w:bCs/>
                <w:iCs/>
                <w:sz w:val="20"/>
                <w:szCs w:val="20"/>
              </w:rPr>
              <w:t>počet</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1B08E6">
            <w:pPr>
              <w:jc w:val="center"/>
              <w:rPr>
                <w:rFonts w:ascii="Times New Roman" w:hAnsi="Times New Roman" w:cs="Times New Roman"/>
                <w:b/>
                <w:bCs/>
                <w:iCs/>
                <w:sz w:val="20"/>
                <w:szCs w:val="20"/>
              </w:rPr>
            </w:pPr>
            <w:r w:rsidRPr="001B08E6">
              <w:rPr>
                <w:rFonts w:ascii="Times New Roman" w:hAnsi="Times New Roman" w:cs="Times New Roman"/>
                <w:b/>
                <w:bCs/>
                <w:iCs/>
                <w:sz w:val="20"/>
                <w:szCs w:val="20"/>
              </w:rPr>
              <w:t>Sk</w:t>
            </w:r>
          </w:p>
        </w:tc>
        <w:tc>
          <w:tcPr>
            <w:tcW w:w="77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1B08E6">
            <w:pPr>
              <w:jc w:val="center"/>
              <w:rPr>
                <w:rFonts w:ascii="Times New Roman" w:hAnsi="Times New Roman" w:cs="Times New Roman"/>
                <w:b/>
                <w:bCs/>
                <w:iCs/>
                <w:sz w:val="20"/>
                <w:szCs w:val="20"/>
              </w:rPr>
            </w:pPr>
            <w:r w:rsidRPr="001B08E6">
              <w:rPr>
                <w:rFonts w:ascii="Times New Roman" w:hAnsi="Times New Roman" w:cs="Times New Roman"/>
                <w:b/>
                <w:bCs/>
                <w:iCs/>
                <w:sz w:val="20"/>
                <w:szCs w:val="20"/>
              </w:rPr>
              <w:t>počet</w:t>
            </w:r>
          </w:p>
        </w:tc>
        <w:tc>
          <w:tcPr>
            <w:tcW w:w="120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1B08E6">
            <w:pPr>
              <w:jc w:val="center"/>
              <w:rPr>
                <w:rFonts w:ascii="Times New Roman" w:hAnsi="Times New Roman" w:cs="Times New Roman"/>
                <w:b/>
                <w:bCs/>
                <w:iCs/>
                <w:sz w:val="20"/>
                <w:szCs w:val="20"/>
              </w:rPr>
            </w:pPr>
            <w:r w:rsidRPr="001B08E6">
              <w:rPr>
                <w:rFonts w:ascii="Times New Roman" w:hAnsi="Times New Roman" w:cs="Times New Roman"/>
                <w:b/>
                <w:bCs/>
                <w:iCs/>
                <w:sz w:val="20"/>
                <w:szCs w:val="20"/>
              </w:rPr>
              <w:t>Sk</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1B08E6">
            <w:pPr>
              <w:jc w:val="center"/>
              <w:rPr>
                <w:rFonts w:ascii="Times New Roman" w:hAnsi="Times New Roman" w:cs="Times New Roman"/>
                <w:b/>
                <w:bCs/>
                <w:iCs/>
                <w:sz w:val="20"/>
                <w:szCs w:val="20"/>
              </w:rPr>
            </w:pPr>
            <w:r w:rsidRPr="001B08E6">
              <w:rPr>
                <w:rFonts w:ascii="Times New Roman" w:hAnsi="Times New Roman" w:cs="Times New Roman"/>
                <w:b/>
                <w:bCs/>
                <w:iCs/>
                <w:sz w:val="20"/>
                <w:szCs w:val="20"/>
              </w:rPr>
              <w:t>počet</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1B08E6">
            <w:pPr>
              <w:jc w:val="center"/>
              <w:rPr>
                <w:rFonts w:ascii="Times New Roman" w:hAnsi="Times New Roman" w:cs="Times New Roman"/>
                <w:b/>
                <w:bCs/>
                <w:iCs/>
                <w:sz w:val="20"/>
                <w:szCs w:val="20"/>
              </w:rPr>
            </w:pPr>
            <w:r w:rsidRPr="001B08E6">
              <w:rPr>
                <w:rFonts w:ascii="Times New Roman" w:hAnsi="Times New Roman" w:cs="Times New Roman"/>
                <w:b/>
                <w:bCs/>
                <w:iCs/>
                <w:sz w:val="20"/>
                <w:szCs w:val="20"/>
              </w:rPr>
              <w:t>Sk</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1B08E6">
            <w:pPr>
              <w:jc w:val="center"/>
              <w:rPr>
                <w:rFonts w:ascii="Times New Roman" w:hAnsi="Times New Roman" w:cs="Times New Roman"/>
                <w:b/>
                <w:bCs/>
                <w:iCs/>
                <w:sz w:val="20"/>
                <w:szCs w:val="20"/>
              </w:rPr>
            </w:pPr>
            <w:r w:rsidRPr="001B08E6">
              <w:rPr>
                <w:rFonts w:ascii="Times New Roman" w:hAnsi="Times New Roman" w:cs="Times New Roman"/>
                <w:b/>
                <w:bCs/>
                <w:iCs/>
                <w:sz w:val="20"/>
                <w:szCs w:val="20"/>
              </w:rPr>
              <w:t>počet</w:t>
            </w:r>
          </w:p>
        </w:tc>
        <w:tc>
          <w:tcPr>
            <w:tcW w:w="968" w:type="dxa"/>
            <w:tcBorders>
              <w:top w:val="single" w:sz="4" w:space="0" w:color="auto"/>
              <w:left w:val="single" w:sz="4" w:space="0" w:color="auto"/>
              <w:bottom w:val="single" w:sz="4" w:space="0" w:color="auto"/>
              <w:right w:val="single" w:sz="8" w:space="0" w:color="auto"/>
              <w:tl2br w:val="nil"/>
              <w:tr2bl w:val="nil"/>
            </w:tcBorders>
            <w:noWrap/>
            <w:textDirection w:val="lrTb"/>
            <w:vAlign w:val="center"/>
          </w:tcPr>
          <w:p w:rsidR="00A74F9A" w:rsidRPr="001B08E6" w:rsidP="001B08E6">
            <w:pPr>
              <w:jc w:val="center"/>
              <w:rPr>
                <w:rFonts w:ascii="Times New Roman" w:hAnsi="Times New Roman" w:cs="Times New Roman"/>
                <w:b/>
                <w:bCs/>
                <w:iCs/>
                <w:sz w:val="20"/>
                <w:szCs w:val="20"/>
              </w:rPr>
            </w:pPr>
            <w:r w:rsidRPr="001B08E6">
              <w:rPr>
                <w:rFonts w:ascii="Times New Roman" w:hAnsi="Times New Roman" w:cs="Times New Roman"/>
                <w:b/>
                <w:bCs/>
                <w:iCs/>
                <w:sz w:val="20"/>
                <w:szCs w:val="20"/>
              </w:rPr>
              <w:t>Sk</w:t>
            </w:r>
          </w:p>
        </w:tc>
      </w:tr>
      <w:tr>
        <w:tblPrEx>
          <w:tblW w:w="9498" w:type="dxa"/>
          <w:tblCellMar>
            <w:left w:w="70" w:type="dxa"/>
            <w:right w:w="70" w:type="dxa"/>
          </w:tblCellMar>
        </w:tblPrEx>
        <w:trPr>
          <w:trHeight w:val="285"/>
        </w:trPr>
        <w:tc>
          <w:tcPr>
            <w:tcW w:w="1690"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A74F9A" w:rsidRPr="001B08E6" w:rsidP="00A74F9A">
            <w:pPr>
              <w:rPr>
                <w:rFonts w:ascii="Times New Roman" w:hAnsi="Times New Roman" w:cs="Times New Roman"/>
                <w:bCs/>
                <w:iCs/>
                <w:sz w:val="20"/>
                <w:szCs w:val="20"/>
              </w:rPr>
            </w:pPr>
            <w:r w:rsidRPr="001B08E6">
              <w:rPr>
                <w:rFonts w:ascii="Times New Roman" w:hAnsi="Times New Roman" w:cs="Times New Roman"/>
                <w:bCs/>
                <w:iCs/>
                <w:sz w:val="20"/>
                <w:szCs w:val="20"/>
              </w:rPr>
              <w:t>DPH</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1 609</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18 123 583</w:t>
            </w:r>
          </w:p>
        </w:tc>
        <w:tc>
          <w:tcPr>
            <w:tcW w:w="77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67</w:t>
            </w:r>
          </w:p>
        </w:tc>
        <w:tc>
          <w:tcPr>
            <w:tcW w:w="120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2 178 920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2 566</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52 217 447</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11</w:t>
            </w:r>
          </w:p>
        </w:tc>
        <w:tc>
          <w:tcPr>
            <w:tcW w:w="968" w:type="dxa"/>
            <w:tcBorders>
              <w:top w:val="single" w:sz="4" w:space="0" w:color="auto"/>
              <w:left w:val="single" w:sz="4" w:space="0" w:color="auto"/>
              <w:bottom w:val="single" w:sz="4" w:space="0" w:color="auto"/>
              <w:right w:val="single" w:sz="8"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387 208</w:t>
            </w:r>
          </w:p>
        </w:tc>
      </w:tr>
      <w:tr>
        <w:tblPrEx>
          <w:tblW w:w="9498" w:type="dxa"/>
          <w:tblCellMar>
            <w:left w:w="70" w:type="dxa"/>
            <w:right w:w="70" w:type="dxa"/>
          </w:tblCellMar>
        </w:tblPrEx>
        <w:trPr>
          <w:trHeight w:val="285"/>
        </w:trPr>
        <w:tc>
          <w:tcPr>
            <w:tcW w:w="1690"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A74F9A" w:rsidRPr="001B08E6" w:rsidP="00A74F9A">
            <w:pPr>
              <w:rPr>
                <w:rFonts w:ascii="Times New Roman" w:hAnsi="Times New Roman" w:cs="Times New Roman"/>
                <w:bCs/>
                <w:iCs/>
                <w:sz w:val="20"/>
                <w:szCs w:val="20"/>
              </w:rPr>
            </w:pPr>
            <w:r w:rsidRPr="001B08E6">
              <w:rPr>
                <w:rFonts w:ascii="Times New Roman" w:hAnsi="Times New Roman" w:cs="Times New Roman"/>
                <w:bCs/>
                <w:iCs/>
                <w:sz w:val="20"/>
                <w:szCs w:val="20"/>
              </w:rPr>
              <w:t>DPFO zo záv. činnosti</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5 448</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10 681 851</w:t>
            </w:r>
          </w:p>
        </w:tc>
        <w:tc>
          <w:tcPr>
            <w:tcW w:w="77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120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538</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9 926 017</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968" w:type="dxa"/>
            <w:tcBorders>
              <w:top w:val="single" w:sz="4" w:space="0" w:color="auto"/>
              <w:left w:val="single" w:sz="4" w:space="0" w:color="auto"/>
              <w:bottom w:val="single" w:sz="4" w:space="0" w:color="auto"/>
              <w:right w:val="single" w:sz="8"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r>
      <w:tr>
        <w:tblPrEx>
          <w:tblW w:w="9498" w:type="dxa"/>
          <w:tblCellMar>
            <w:left w:w="70" w:type="dxa"/>
            <w:right w:w="70" w:type="dxa"/>
          </w:tblCellMar>
        </w:tblPrEx>
        <w:trPr>
          <w:trHeight w:val="285"/>
        </w:trPr>
        <w:tc>
          <w:tcPr>
            <w:tcW w:w="1690"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A74F9A" w:rsidRPr="001B08E6" w:rsidP="00A74F9A">
            <w:pPr>
              <w:rPr>
                <w:rFonts w:ascii="Times New Roman" w:hAnsi="Times New Roman" w:cs="Times New Roman"/>
                <w:bCs/>
                <w:iCs/>
                <w:sz w:val="20"/>
                <w:szCs w:val="20"/>
              </w:rPr>
            </w:pPr>
            <w:r w:rsidRPr="001B08E6">
              <w:rPr>
                <w:rFonts w:ascii="Times New Roman" w:hAnsi="Times New Roman" w:cs="Times New Roman"/>
                <w:bCs/>
                <w:iCs/>
                <w:sz w:val="20"/>
                <w:szCs w:val="20"/>
              </w:rPr>
              <w:t>DPFO</w:t>
            </w:r>
            <w:r w:rsidRPr="001B08E6">
              <w:rPr>
                <w:rFonts w:ascii="Times New Roman" w:hAnsi="Times New Roman" w:cs="Times New Roman"/>
                <w:sz w:val="20"/>
                <w:szCs w:val="20"/>
              </w:rPr>
              <w:t xml:space="preserve"> z podnik., z inej samost. zárobkovej čin. a z prenájmu</w:t>
            </w:r>
            <w:r w:rsidRPr="001B08E6">
              <w:rPr>
                <w:rFonts w:ascii="Times New Roman" w:hAnsi="Times New Roman" w:cs="Times New Roman"/>
                <w:bCs/>
                <w:iCs/>
                <w:sz w:val="20"/>
                <w:szCs w:val="20"/>
              </w:rPr>
              <w:t xml:space="preserve"> </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613</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2 316 322</w:t>
            </w:r>
          </w:p>
        </w:tc>
        <w:tc>
          <w:tcPr>
            <w:tcW w:w="77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1</w:t>
            </w:r>
          </w:p>
        </w:tc>
        <w:tc>
          <w:tcPr>
            <w:tcW w:w="120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1 025</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801</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9 677 303</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1</w:t>
            </w:r>
          </w:p>
        </w:tc>
        <w:tc>
          <w:tcPr>
            <w:tcW w:w="968" w:type="dxa"/>
            <w:tcBorders>
              <w:top w:val="single" w:sz="4" w:space="0" w:color="auto"/>
              <w:left w:val="single" w:sz="4" w:space="0" w:color="auto"/>
              <w:bottom w:val="single" w:sz="4" w:space="0" w:color="auto"/>
              <w:right w:val="single" w:sz="8"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7 479</w:t>
            </w:r>
          </w:p>
        </w:tc>
      </w:tr>
      <w:tr>
        <w:tblPrEx>
          <w:tblW w:w="9498" w:type="dxa"/>
          <w:tblCellMar>
            <w:left w:w="70" w:type="dxa"/>
            <w:right w:w="70" w:type="dxa"/>
          </w:tblCellMar>
        </w:tblPrEx>
        <w:trPr>
          <w:trHeight w:val="285"/>
        </w:trPr>
        <w:tc>
          <w:tcPr>
            <w:tcW w:w="1690"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A74F9A" w:rsidRPr="001B08E6" w:rsidP="00A74F9A">
            <w:pPr>
              <w:rPr>
                <w:rFonts w:ascii="Times New Roman" w:hAnsi="Times New Roman" w:cs="Times New Roman"/>
                <w:bCs/>
                <w:iCs/>
                <w:sz w:val="20"/>
                <w:szCs w:val="20"/>
              </w:rPr>
            </w:pPr>
            <w:r w:rsidRPr="001B08E6">
              <w:rPr>
                <w:rFonts w:ascii="Times New Roman" w:hAnsi="Times New Roman" w:cs="Times New Roman"/>
                <w:bCs/>
                <w:iCs/>
                <w:sz w:val="20"/>
                <w:szCs w:val="20"/>
              </w:rPr>
              <w:t>Cestná daň</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1 382</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2 517 969</w:t>
            </w:r>
          </w:p>
        </w:tc>
        <w:tc>
          <w:tcPr>
            <w:tcW w:w="77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120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346</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2 071 650</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968" w:type="dxa"/>
            <w:tcBorders>
              <w:top w:val="single" w:sz="4" w:space="0" w:color="auto"/>
              <w:left w:val="single" w:sz="4" w:space="0" w:color="auto"/>
              <w:bottom w:val="single" w:sz="4" w:space="0" w:color="auto"/>
              <w:right w:val="single" w:sz="8"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r>
      <w:tr>
        <w:tblPrEx>
          <w:tblW w:w="9498" w:type="dxa"/>
          <w:tblCellMar>
            <w:left w:w="70" w:type="dxa"/>
            <w:right w:w="70" w:type="dxa"/>
          </w:tblCellMar>
        </w:tblPrEx>
        <w:trPr>
          <w:trHeight w:val="285"/>
        </w:trPr>
        <w:tc>
          <w:tcPr>
            <w:tcW w:w="1690"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A74F9A" w:rsidRPr="001B08E6" w:rsidP="00A74F9A">
            <w:pPr>
              <w:rPr>
                <w:rFonts w:ascii="Times New Roman" w:hAnsi="Times New Roman" w:cs="Times New Roman"/>
                <w:bCs/>
                <w:iCs/>
                <w:sz w:val="20"/>
                <w:szCs w:val="20"/>
              </w:rPr>
            </w:pPr>
            <w:r w:rsidRPr="001B08E6">
              <w:rPr>
                <w:rFonts w:ascii="Times New Roman" w:hAnsi="Times New Roman" w:cs="Times New Roman"/>
                <w:bCs/>
                <w:iCs/>
                <w:sz w:val="20"/>
                <w:szCs w:val="20"/>
              </w:rPr>
              <w:t>Nepriame dane platné do roku 1992</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77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120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15 678</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968" w:type="dxa"/>
            <w:tcBorders>
              <w:top w:val="single" w:sz="4" w:space="0" w:color="auto"/>
              <w:left w:val="single" w:sz="4" w:space="0" w:color="auto"/>
              <w:bottom w:val="single" w:sz="4" w:space="0" w:color="auto"/>
              <w:right w:val="single" w:sz="8"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r>
      <w:tr>
        <w:tblPrEx>
          <w:tblW w:w="9498" w:type="dxa"/>
          <w:tblCellMar>
            <w:left w:w="70" w:type="dxa"/>
            <w:right w:w="70" w:type="dxa"/>
          </w:tblCellMar>
        </w:tblPrEx>
        <w:trPr>
          <w:trHeight w:val="285"/>
        </w:trPr>
        <w:tc>
          <w:tcPr>
            <w:tcW w:w="1690"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A74F9A" w:rsidRPr="001B08E6" w:rsidP="00A74F9A">
            <w:pPr>
              <w:rPr>
                <w:rFonts w:ascii="Times New Roman" w:hAnsi="Times New Roman" w:cs="Times New Roman"/>
                <w:bCs/>
                <w:iCs/>
                <w:sz w:val="20"/>
                <w:szCs w:val="20"/>
              </w:rPr>
            </w:pPr>
            <w:r w:rsidRPr="001B08E6">
              <w:rPr>
                <w:rFonts w:ascii="Times New Roman" w:hAnsi="Times New Roman" w:cs="Times New Roman"/>
                <w:bCs/>
                <w:iCs/>
                <w:sz w:val="20"/>
                <w:szCs w:val="20"/>
              </w:rPr>
              <w:t>Dane z príjmov platné do roku 1992</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2 000</w:t>
            </w:r>
          </w:p>
        </w:tc>
        <w:tc>
          <w:tcPr>
            <w:tcW w:w="77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120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66 506</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968" w:type="dxa"/>
            <w:tcBorders>
              <w:top w:val="single" w:sz="4" w:space="0" w:color="auto"/>
              <w:left w:val="single" w:sz="4" w:space="0" w:color="auto"/>
              <w:bottom w:val="single" w:sz="4" w:space="0" w:color="auto"/>
              <w:right w:val="single" w:sz="8"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r>
      <w:tr>
        <w:tblPrEx>
          <w:tblW w:w="9498" w:type="dxa"/>
          <w:tblCellMar>
            <w:left w:w="70" w:type="dxa"/>
            <w:right w:w="70" w:type="dxa"/>
          </w:tblCellMar>
        </w:tblPrEx>
        <w:trPr>
          <w:trHeight w:val="285"/>
        </w:trPr>
        <w:tc>
          <w:tcPr>
            <w:tcW w:w="1690"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A74F9A" w:rsidRPr="001B08E6" w:rsidP="00A74F9A">
            <w:pPr>
              <w:rPr>
                <w:rFonts w:ascii="Times New Roman" w:hAnsi="Times New Roman" w:cs="Times New Roman"/>
                <w:bCs/>
                <w:iCs/>
                <w:sz w:val="20"/>
                <w:szCs w:val="20"/>
              </w:rPr>
            </w:pPr>
            <w:r w:rsidRPr="001B08E6">
              <w:rPr>
                <w:rFonts w:ascii="Times New Roman" w:hAnsi="Times New Roman" w:cs="Times New Roman"/>
                <w:bCs/>
                <w:iCs/>
                <w:sz w:val="20"/>
                <w:szCs w:val="20"/>
              </w:rPr>
              <w:t>DPPO</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122</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5 111 993</w:t>
            </w:r>
          </w:p>
        </w:tc>
        <w:tc>
          <w:tcPr>
            <w:tcW w:w="77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120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269</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26 711 594</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968" w:type="dxa"/>
            <w:tcBorders>
              <w:top w:val="single" w:sz="4" w:space="0" w:color="auto"/>
              <w:left w:val="single" w:sz="4" w:space="0" w:color="auto"/>
              <w:bottom w:val="single" w:sz="4" w:space="0" w:color="auto"/>
              <w:right w:val="single" w:sz="8"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r>
      <w:tr>
        <w:tblPrEx>
          <w:tblW w:w="9498" w:type="dxa"/>
          <w:tblCellMar>
            <w:left w:w="70" w:type="dxa"/>
            <w:right w:w="70" w:type="dxa"/>
          </w:tblCellMar>
        </w:tblPrEx>
        <w:trPr>
          <w:trHeight w:val="285"/>
        </w:trPr>
        <w:tc>
          <w:tcPr>
            <w:tcW w:w="1690"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A74F9A" w:rsidRPr="001B08E6" w:rsidP="00A74F9A">
            <w:pPr>
              <w:rPr>
                <w:rFonts w:ascii="Times New Roman" w:hAnsi="Times New Roman" w:cs="Times New Roman"/>
                <w:bCs/>
                <w:iCs/>
                <w:sz w:val="20"/>
                <w:szCs w:val="20"/>
              </w:rPr>
            </w:pPr>
            <w:r w:rsidRPr="001B08E6">
              <w:rPr>
                <w:rFonts w:ascii="Times New Roman" w:hAnsi="Times New Roman" w:cs="Times New Roman"/>
                <w:bCs/>
                <w:iCs/>
                <w:sz w:val="20"/>
                <w:szCs w:val="20"/>
              </w:rPr>
              <w:t>Daň z dedičstva</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77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120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230</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1 143 747</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968" w:type="dxa"/>
            <w:tcBorders>
              <w:top w:val="single" w:sz="4" w:space="0" w:color="auto"/>
              <w:left w:val="single" w:sz="4" w:space="0" w:color="auto"/>
              <w:bottom w:val="single" w:sz="4" w:space="0" w:color="auto"/>
              <w:right w:val="single" w:sz="8"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r>
      <w:tr>
        <w:tblPrEx>
          <w:tblW w:w="9498" w:type="dxa"/>
          <w:tblCellMar>
            <w:left w:w="70" w:type="dxa"/>
            <w:right w:w="70" w:type="dxa"/>
          </w:tblCellMar>
        </w:tblPrEx>
        <w:trPr>
          <w:trHeight w:val="285"/>
        </w:trPr>
        <w:tc>
          <w:tcPr>
            <w:tcW w:w="1690"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A74F9A" w:rsidRPr="001B08E6" w:rsidP="00A74F9A">
            <w:pPr>
              <w:rPr>
                <w:rFonts w:ascii="Times New Roman" w:hAnsi="Times New Roman" w:cs="Times New Roman"/>
                <w:bCs/>
                <w:iCs/>
                <w:sz w:val="20"/>
                <w:szCs w:val="20"/>
              </w:rPr>
            </w:pPr>
            <w:r w:rsidRPr="001B08E6">
              <w:rPr>
                <w:rFonts w:ascii="Times New Roman" w:hAnsi="Times New Roman" w:cs="Times New Roman"/>
                <w:bCs/>
                <w:iCs/>
                <w:sz w:val="20"/>
                <w:szCs w:val="20"/>
              </w:rPr>
              <w:t>Daň z darov.</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77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120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255</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2 034 355</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968" w:type="dxa"/>
            <w:tcBorders>
              <w:top w:val="single" w:sz="4" w:space="0" w:color="auto"/>
              <w:left w:val="single" w:sz="4" w:space="0" w:color="auto"/>
              <w:bottom w:val="single" w:sz="4" w:space="0" w:color="auto"/>
              <w:right w:val="single" w:sz="8"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r>
      <w:tr>
        <w:tblPrEx>
          <w:tblW w:w="9498" w:type="dxa"/>
          <w:tblCellMar>
            <w:left w:w="70" w:type="dxa"/>
            <w:right w:w="70" w:type="dxa"/>
          </w:tblCellMar>
        </w:tblPrEx>
        <w:trPr>
          <w:trHeight w:val="285"/>
        </w:trPr>
        <w:tc>
          <w:tcPr>
            <w:tcW w:w="1690"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A74F9A" w:rsidRPr="001B08E6" w:rsidP="00A74F9A">
            <w:pPr>
              <w:rPr>
                <w:rFonts w:ascii="Times New Roman" w:hAnsi="Times New Roman" w:cs="Times New Roman"/>
                <w:bCs/>
                <w:iCs/>
                <w:sz w:val="20"/>
                <w:szCs w:val="20"/>
              </w:rPr>
            </w:pPr>
            <w:r w:rsidRPr="001B08E6">
              <w:rPr>
                <w:rFonts w:ascii="Times New Roman" w:hAnsi="Times New Roman" w:cs="Times New Roman"/>
                <w:bCs/>
                <w:iCs/>
                <w:sz w:val="20"/>
                <w:szCs w:val="20"/>
              </w:rPr>
              <w:t>Daň z prevodu a prechodu nehnuteľností</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2 114</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5 832 197</w:t>
            </w:r>
          </w:p>
        </w:tc>
        <w:tc>
          <w:tcPr>
            <w:tcW w:w="77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1</w:t>
            </w:r>
          </w:p>
        </w:tc>
        <w:tc>
          <w:tcPr>
            <w:tcW w:w="120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5 100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4 837</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56 466 201</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6</w:t>
            </w:r>
          </w:p>
        </w:tc>
        <w:tc>
          <w:tcPr>
            <w:tcW w:w="968" w:type="dxa"/>
            <w:tcBorders>
              <w:top w:val="single" w:sz="4" w:space="0" w:color="auto"/>
              <w:left w:val="single" w:sz="4" w:space="0" w:color="auto"/>
              <w:bottom w:val="single" w:sz="4" w:space="0" w:color="auto"/>
              <w:right w:val="single" w:sz="8"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71 923</w:t>
            </w:r>
          </w:p>
        </w:tc>
      </w:tr>
      <w:tr>
        <w:tblPrEx>
          <w:tblW w:w="9498" w:type="dxa"/>
          <w:tblCellMar>
            <w:left w:w="70" w:type="dxa"/>
            <w:right w:w="70" w:type="dxa"/>
          </w:tblCellMar>
        </w:tblPrEx>
        <w:trPr>
          <w:trHeight w:val="285"/>
        </w:trPr>
        <w:tc>
          <w:tcPr>
            <w:tcW w:w="1690"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A74F9A" w:rsidRPr="001B08E6" w:rsidP="00A74F9A">
            <w:pPr>
              <w:rPr>
                <w:rFonts w:ascii="Times New Roman" w:hAnsi="Times New Roman" w:cs="Times New Roman"/>
                <w:bCs/>
                <w:iCs/>
                <w:sz w:val="20"/>
                <w:szCs w:val="20"/>
              </w:rPr>
            </w:pPr>
            <w:r w:rsidRPr="001B08E6">
              <w:rPr>
                <w:rFonts w:ascii="Times New Roman" w:hAnsi="Times New Roman" w:cs="Times New Roman"/>
                <w:bCs/>
                <w:iCs/>
                <w:sz w:val="20"/>
                <w:szCs w:val="20"/>
              </w:rPr>
              <w:t>SD z minerál. oleja</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9 814 000</w:t>
            </w:r>
          </w:p>
        </w:tc>
        <w:tc>
          <w:tcPr>
            <w:tcW w:w="77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120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968" w:type="dxa"/>
            <w:tcBorders>
              <w:top w:val="single" w:sz="4" w:space="0" w:color="auto"/>
              <w:left w:val="single" w:sz="4" w:space="0" w:color="auto"/>
              <w:bottom w:val="single" w:sz="4" w:space="0" w:color="auto"/>
              <w:right w:val="single" w:sz="8"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r>
      <w:tr>
        <w:tblPrEx>
          <w:tblW w:w="9498" w:type="dxa"/>
          <w:tblCellMar>
            <w:left w:w="70" w:type="dxa"/>
            <w:right w:w="70" w:type="dxa"/>
          </w:tblCellMar>
        </w:tblPrEx>
        <w:trPr>
          <w:trHeight w:val="285"/>
        </w:trPr>
        <w:tc>
          <w:tcPr>
            <w:tcW w:w="1690"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A74F9A" w:rsidRPr="001B08E6" w:rsidP="00A74F9A">
            <w:pPr>
              <w:rPr>
                <w:rFonts w:ascii="Times New Roman" w:hAnsi="Times New Roman" w:cs="Times New Roman"/>
                <w:bCs/>
                <w:iCs/>
                <w:sz w:val="20"/>
                <w:szCs w:val="20"/>
              </w:rPr>
            </w:pPr>
            <w:r w:rsidRPr="001B08E6">
              <w:rPr>
                <w:rFonts w:ascii="Times New Roman" w:hAnsi="Times New Roman" w:cs="Times New Roman"/>
                <w:bCs/>
                <w:iCs/>
                <w:sz w:val="20"/>
                <w:szCs w:val="20"/>
              </w:rPr>
              <w:t>SD z liehovín</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40 800</w:t>
            </w:r>
          </w:p>
        </w:tc>
        <w:tc>
          <w:tcPr>
            <w:tcW w:w="77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120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1 574 204</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968" w:type="dxa"/>
            <w:tcBorders>
              <w:top w:val="single" w:sz="4" w:space="0" w:color="auto"/>
              <w:left w:val="single" w:sz="4" w:space="0" w:color="auto"/>
              <w:bottom w:val="single" w:sz="4" w:space="0" w:color="auto"/>
              <w:right w:val="single" w:sz="8"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r>
      <w:tr>
        <w:tblPrEx>
          <w:tblW w:w="9498" w:type="dxa"/>
          <w:tblCellMar>
            <w:left w:w="70" w:type="dxa"/>
            <w:right w:w="70" w:type="dxa"/>
          </w:tblCellMar>
        </w:tblPrEx>
        <w:trPr>
          <w:trHeight w:val="285"/>
        </w:trPr>
        <w:tc>
          <w:tcPr>
            <w:tcW w:w="1690"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A74F9A" w:rsidRPr="001B08E6" w:rsidP="00A74F9A">
            <w:pPr>
              <w:rPr>
                <w:rFonts w:ascii="Times New Roman" w:hAnsi="Times New Roman" w:cs="Times New Roman"/>
                <w:bCs/>
                <w:iCs/>
                <w:sz w:val="20"/>
                <w:szCs w:val="20"/>
              </w:rPr>
            </w:pPr>
            <w:r w:rsidRPr="001B08E6">
              <w:rPr>
                <w:rFonts w:ascii="Times New Roman" w:hAnsi="Times New Roman" w:cs="Times New Roman"/>
                <w:bCs/>
                <w:iCs/>
                <w:sz w:val="20"/>
                <w:szCs w:val="20"/>
              </w:rPr>
              <w:t>SD z tabakových výrobkov</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776 450</w:t>
            </w:r>
          </w:p>
        </w:tc>
        <w:tc>
          <w:tcPr>
            <w:tcW w:w="77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120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968" w:type="dxa"/>
            <w:tcBorders>
              <w:top w:val="single" w:sz="4" w:space="0" w:color="auto"/>
              <w:left w:val="single" w:sz="4" w:space="0" w:color="auto"/>
              <w:bottom w:val="single" w:sz="4" w:space="0" w:color="auto"/>
              <w:right w:val="single" w:sz="8"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r>
      <w:tr>
        <w:tblPrEx>
          <w:tblW w:w="9498" w:type="dxa"/>
          <w:tblCellMar>
            <w:left w:w="70" w:type="dxa"/>
            <w:right w:w="70" w:type="dxa"/>
          </w:tblCellMar>
        </w:tblPrEx>
        <w:trPr>
          <w:trHeight w:val="285"/>
        </w:trPr>
        <w:tc>
          <w:tcPr>
            <w:tcW w:w="1690"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A74F9A" w:rsidRPr="001B08E6" w:rsidP="00A74F9A">
            <w:pPr>
              <w:rPr>
                <w:rFonts w:ascii="Times New Roman" w:hAnsi="Times New Roman" w:cs="Times New Roman"/>
                <w:bCs/>
                <w:iCs/>
                <w:sz w:val="20"/>
                <w:szCs w:val="20"/>
              </w:rPr>
            </w:pPr>
            <w:r w:rsidRPr="001B08E6">
              <w:rPr>
                <w:rFonts w:ascii="Times New Roman" w:hAnsi="Times New Roman" w:cs="Times New Roman"/>
                <w:bCs/>
                <w:iCs/>
                <w:sz w:val="20"/>
                <w:szCs w:val="20"/>
              </w:rPr>
              <w:t xml:space="preserve">Pokuty z daňovej kontroly </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2 050</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4 602 471</w:t>
            </w:r>
          </w:p>
        </w:tc>
        <w:tc>
          <w:tcPr>
            <w:tcW w:w="77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1204"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c>
          <w:tcPr>
            <w:tcW w:w="968" w:type="dxa"/>
            <w:tcBorders>
              <w:top w:val="single" w:sz="4" w:space="0" w:color="auto"/>
              <w:left w:val="single" w:sz="4" w:space="0" w:color="auto"/>
              <w:bottom w:val="single" w:sz="4" w:space="0" w:color="auto"/>
              <w:right w:val="single" w:sz="8" w:space="0" w:color="auto"/>
              <w:tl2br w:val="nil"/>
              <w:tr2bl w:val="nil"/>
            </w:tcBorders>
            <w:noWrap/>
            <w:textDirection w:val="lrTb"/>
            <w:vAlign w:val="center"/>
          </w:tcPr>
          <w:p w:rsidR="00A74F9A" w:rsidRPr="001B08E6" w:rsidP="00A74F9A">
            <w:pPr>
              <w:jc w:val="right"/>
              <w:rPr>
                <w:rFonts w:ascii="Times New Roman" w:hAnsi="Times New Roman" w:cs="Times New Roman"/>
                <w:sz w:val="20"/>
                <w:szCs w:val="20"/>
              </w:rPr>
            </w:pPr>
            <w:r w:rsidRPr="001B08E6">
              <w:rPr>
                <w:rFonts w:ascii="Times New Roman" w:hAnsi="Times New Roman" w:cs="Times New Roman"/>
                <w:sz w:val="20"/>
                <w:szCs w:val="20"/>
              </w:rPr>
              <w:t>0</w:t>
            </w:r>
          </w:p>
        </w:tc>
      </w:tr>
      <w:tr>
        <w:tblPrEx>
          <w:tblW w:w="9498" w:type="dxa"/>
          <w:tblCellMar>
            <w:left w:w="70" w:type="dxa"/>
            <w:right w:w="70" w:type="dxa"/>
          </w:tblCellMar>
        </w:tblPrEx>
        <w:trPr>
          <w:trHeight w:val="285"/>
        </w:trPr>
        <w:tc>
          <w:tcPr>
            <w:tcW w:w="1690" w:type="dxa"/>
            <w:tcBorders>
              <w:top w:val="single" w:sz="4" w:space="0" w:color="auto"/>
              <w:left w:val="single" w:sz="8" w:space="0" w:color="auto"/>
              <w:bottom w:val="double" w:sz="6" w:space="0" w:color="auto"/>
              <w:right w:val="single" w:sz="4" w:space="0" w:color="auto"/>
              <w:tl2br w:val="nil"/>
              <w:tr2bl w:val="nil"/>
            </w:tcBorders>
            <w:noWrap/>
            <w:textDirection w:val="lrTb"/>
            <w:vAlign w:val="bottom"/>
          </w:tcPr>
          <w:p w:rsidR="00A74F9A" w:rsidRPr="001B08E6" w:rsidP="00A74F9A">
            <w:pPr>
              <w:rPr>
                <w:rFonts w:ascii="Times New Roman" w:hAnsi="Times New Roman" w:cs="Times New Roman"/>
                <w:b/>
                <w:bCs/>
                <w:iCs/>
                <w:sz w:val="20"/>
                <w:szCs w:val="20"/>
              </w:rPr>
            </w:pPr>
            <w:r w:rsidRPr="001B08E6">
              <w:rPr>
                <w:rFonts w:ascii="Times New Roman" w:hAnsi="Times New Roman" w:cs="Times New Roman"/>
                <w:b/>
                <w:bCs/>
                <w:iCs/>
                <w:sz w:val="20"/>
                <w:szCs w:val="20"/>
              </w:rPr>
              <w:t>S</w:t>
            </w:r>
            <w:r w:rsidR="001B08E6">
              <w:rPr>
                <w:rFonts w:ascii="Times New Roman" w:hAnsi="Times New Roman" w:cs="Times New Roman"/>
                <w:b/>
                <w:bCs/>
                <w:iCs/>
                <w:sz w:val="20"/>
                <w:szCs w:val="20"/>
              </w:rPr>
              <w:t>POLU</w:t>
            </w:r>
          </w:p>
        </w:tc>
        <w:tc>
          <w:tcPr>
            <w:tcW w:w="720"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A74F9A" w:rsidRPr="001B08E6" w:rsidP="00A74F9A">
            <w:pPr>
              <w:jc w:val="right"/>
              <w:rPr>
                <w:rFonts w:ascii="Times New Roman" w:hAnsi="Times New Roman" w:cs="Times New Roman"/>
                <w:b/>
                <w:sz w:val="20"/>
                <w:szCs w:val="20"/>
              </w:rPr>
            </w:pPr>
            <w:r w:rsidRPr="001B08E6">
              <w:rPr>
                <w:rFonts w:ascii="Times New Roman" w:hAnsi="Times New Roman" w:cs="Times New Roman"/>
                <w:b/>
                <w:sz w:val="20"/>
                <w:szCs w:val="20"/>
              </w:rPr>
              <w:t>13 346</w:t>
            </w:r>
          </w:p>
        </w:tc>
        <w:tc>
          <w:tcPr>
            <w:tcW w:w="1260"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A74F9A" w:rsidRPr="001B08E6" w:rsidP="00A74F9A">
            <w:pPr>
              <w:jc w:val="right"/>
              <w:rPr>
                <w:rFonts w:ascii="Times New Roman" w:hAnsi="Times New Roman" w:cs="Times New Roman"/>
                <w:b/>
                <w:sz w:val="20"/>
                <w:szCs w:val="20"/>
              </w:rPr>
            </w:pPr>
            <w:r w:rsidRPr="001B08E6">
              <w:rPr>
                <w:rFonts w:ascii="Times New Roman" w:hAnsi="Times New Roman" w:cs="Times New Roman"/>
                <w:b/>
                <w:sz w:val="20"/>
                <w:szCs w:val="20"/>
              </w:rPr>
              <w:t>59 819 636</w:t>
            </w:r>
          </w:p>
        </w:tc>
        <w:tc>
          <w:tcPr>
            <w:tcW w:w="776"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A74F9A" w:rsidRPr="001B08E6" w:rsidP="00A74F9A">
            <w:pPr>
              <w:jc w:val="right"/>
              <w:rPr>
                <w:rFonts w:ascii="Times New Roman" w:hAnsi="Times New Roman" w:cs="Times New Roman"/>
                <w:b/>
                <w:sz w:val="20"/>
                <w:szCs w:val="20"/>
              </w:rPr>
            </w:pPr>
            <w:r w:rsidRPr="001B08E6">
              <w:rPr>
                <w:rFonts w:ascii="Times New Roman" w:hAnsi="Times New Roman" w:cs="Times New Roman"/>
                <w:b/>
                <w:sz w:val="20"/>
                <w:szCs w:val="20"/>
              </w:rPr>
              <w:t>69</w:t>
            </w:r>
          </w:p>
        </w:tc>
        <w:tc>
          <w:tcPr>
            <w:tcW w:w="1204"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A74F9A" w:rsidRPr="001B08E6" w:rsidP="00A74F9A">
            <w:pPr>
              <w:jc w:val="right"/>
              <w:rPr>
                <w:rFonts w:ascii="Times New Roman" w:hAnsi="Times New Roman" w:cs="Times New Roman"/>
                <w:b/>
                <w:sz w:val="20"/>
                <w:szCs w:val="20"/>
              </w:rPr>
            </w:pPr>
            <w:r w:rsidRPr="001B08E6">
              <w:rPr>
                <w:rFonts w:ascii="Times New Roman" w:hAnsi="Times New Roman" w:cs="Times New Roman"/>
                <w:b/>
                <w:sz w:val="20"/>
                <w:szCs w:val="20"/>
              </w:rPr>
              <w:t>2 185 045</w:t>
            </w:r>
          </w:p>
        </w:tc>
        <w:tc>
          <w:tcPr>
            <w:tcW w:w="720"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A74F9A" w:rsidRPr="001B08E6" w:rsidP="00A74F9A">
            <w:pPr>
              <w:jc w:val="right"/>
              <w:rPr>
                <w:rFonts w:ascii="Times New Roman" w:hAnsi="Times New Roman" w:cs="Times New Roman"/>
                <w:b/>
                <w:sz w:val="20"/>
                <w:szCs w:val="20"/>
              </w:rPr>
            </w:pPr>
            <w:r w:rsidRPr="001B08E6">
              <w:rPr>
                <w:rFonts w:ascii="Times New Roman" w:hAnsi="Times New Roman" w:cs="Times New Roman"/>
                <w:b/>
                <w:sz w:val="20"/>
                <w:szCs w:val="20"/>
              </w:rPr>
              <w:t>9 853</w:t>
            </w:r>
          </w:p>
        </w:tc>
        <w:tc>
          <w:tcPr>
            <w:tcW w:w="1260"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A74F9A" w:rsidRPr="001B08E6" w:rsidP="00A74F9A">
            <w:pPr>
              <w:jc w:val="right"/>
              <w:rPr>
                <w:rFonts w:ascii="Times New Roman" w:hAnsi="Times New Roman" w:cs="Times New Roman"/>
                <w:b/>
                <w:sz w:val="20"/>
                <w:szCs w:val="20"/>
              </w:rPr>
            </w:pPr>
            <w:r w:rsidRPr="001B08E6">
              <w:rPr>
                <w:rFonts w:ascii="Times New Roman" w:hAnsi="Times New Roman" w:cs="Times New Roman"/>
                <w:b/>
                <w:sz w:val="20"/>
                <w:szCs w:val="20"/>
              </w:rPr>
              <w:t>161 904 702</w:t>
            </w:r>
          </w:p>
        </w:tc>
        <w:tc>
          <w:tcPr>
            <w:tcW w:w="900"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A74F9A" w:rsidRPr="001B08E6" w:rsidP="00A74F9A">
            <w:pPr>
              <w:jc w:val="right"/>
              <w:rPr>
                <w:rFonts w:ascii="Times New Roman" w:hAnsi="Times New Roman" w:cs="Times New Roman"/>
                <w:b/>
                <w:sz w:val="20"/>
                <w:szCs w:val="20"/>
              </w:rPr>
            </w:pPr>
            <w:r w:rsidRPr="001B08E6">
              <w:rPr>
                <w:rFonts w:ascii="Times New Roman" w:hAnsi="Times New Roman" w:cs="Times New Roman"/>
                <w:b/>
                <w:sz w:val="20"/>
                <w:szCs w:val="20"/>
              </w:rPr>
              <w:t>18</w:t>
            </w:r>
          </w:p>
        </w:tc>
        <w:tc>
          <w:tcPr>
            <w:tcW w:w="968" w:type="dxa"/>
            <w:tcBorders>
              <w:top w:val="single" w:sz="4" w:space="0" w:color="auto"/>
              <w:left w:val="single" w:sz="4" w:space="0" w:color="auto"/>
              <w:bottom w:val="double" w:sz="6" w:space="0" w:color="auto"/>
              <w:right w:val="single" w:sz="8" w:space="0" w:color="auto"/>
              <w:tl2br w:val="nil"/>
              <w:tr2bl w:val="nil"/>
            </w:tcBorders>
            <w:noWrap/>
            <w:textDirection w:val="lrTb"/>
            <w:vAlign w:val="bottom"/>
          </w:tcPr>
          <w:p w:rsidR="00A74F9A" w:rsidRPr="001B08E6" w:rsidP="00A74F9A">
            <w:pPr>
              <w:jc w:val="right"/>
              <w:rPr>
                <w:rFonts w:ascii="Times New Roman" w:hAnsi="Times New Roman" w:cs="Times New Roman"/>
                <w:b/>
                <w:sz w:val="20"/>
                <w:szCs w:val="20"/>
              </w:rPr>
            </w:pPr>
            <w:r w:rsidRPr="001B08E6">
              <w:rPr>
                <w:rFonts w:ascii="Times New Roman" w:hAnsi="Times New Roman" w:cs="Times New Roman"/>
                <w:b/>
                <w:sz w:val="20"/>
                <w:szCs w:val="20"/>
              </w:rPr>
              <w:t>466 610</w:t>
            </w:r>
          </w:p>
        </w:tc>
      </w:tr>
    </w:tbl>
    <w:p w:rsidR="00A74F9A" w:rsidRPr="001B08E6" w:rsidP="00A74F9A">
      <w:pPr>
        <w:pStyle w:val="BodyTextIndent"/>
        <w:spacing w:before="120"/>
        <w:ind w:left="0"/>
        <w:rPr>
          <w:rFonts w:ascii="Times New Roman" w:hAnsi="Times New Roman" w:cs="Times New Roman"/>
          <w:b/>
          <w:bCs/>
          <w:sz w:val="20"/>
          <w:szCs w:val="20"/>
        </w:rPr>
      </w:pPr>
      <w:r w:rsidRPr="001B08E6">
        <w:rPr>
          <w:rFonts w:ascii="Times New Roman" w:hAnsi="Times New Roman" w:cs="Times New Roman"/>
          <w:sz w:val="20"/>
          <w:szCs w:val="20"/>
        </w:rPr>
        <w:t>Zdroj: Daňové riaditeľstvo SR</w:t>
      </w:r>
    </w:p>
    <w:p w:rsidR="00A74F9A" w:rsidP="00A74F9A">
      <w:pPr>
        <w:pStyle w:val="BodyTextIndent"/>
        <w:rPr>
          <w:rFonts w:ascii="Times New Roman" w:hAnsi="Times New Roman" w:cs="Times New Roman"/>
          <w:b/>
          <w:bCs/>
        </w:rPr>
      </w:pPr>
    </w:p>
    <w:p w:rsidR="00A74F9A" w:rsidRPr="007F7AB9" w:rsidP="00A74F9A">
      <w:pPr>
        <w:spacing w:line="360" w:lineRule="auto"/>
        <w:ind w:firstLine="708"/>
        <w:jc w:val="center"/>
        <w:rPr>
          <w:rFonts w:ascii="Times New Roman" w:hAnsi="Times New Roman" w:cs="Times New Roman"/>
          <w:b/>
        </w:rPr>
      </w:pPr>
      <w:r w:rsidR="00644DA1">
        <w:rPr>
          <w:rFonts w:ascii="Times New Roman" w:hAnsi="Times New Roman" w:cs="Times New Roman"/>
          <w:b/>
        </w:rPr>
        <w:t>5</w:t>
      </w:r>
      <w:r>
        <w:rPr>
          <w:rFonts w:ascii="Times New Roman" w:hAnsi="Times New Roman" w:cs="Times New Roman"/>
          <w:b/>
        </w:rPr>
        <w:t>.2. V pôsobnosti colných orgánov</w:t>
      </w:r>
    </w:p>
    <w:p w:rsidR="00A74F9A" w:rsidRPr="007A7D9D" w:rsidP="00644DA1">
      <w:pPr>
        <w:numPr>
          <w:ilvl w:val="2"/>
          <w:numId w:val="153"/>
        </w:numPr>
        <w:tabs>
          <w:tab w:val="left" w:pos="720"/>
        </w:tabs>
        <w:spacing w:before="240"/>
        <w:jc w:val="center"/>
        <w:rPr>
          <w:rFonts w:ascii="Times New Roman" w:hAnsi="Times New Roman" w:cs="Times New Roman"/>
          <w:b/>
        </w:rPr>
      </w:pPr>
      <w:r w:rsidRPr="007A7D9D">
        <w:rPr>
          <w:rFonts w:ascii="Times New Roman" w:hAnsi="Times New Roman" w:cs="Times New Roman"/>
          <w:b/>
        </w:rPr>
        <w:t>Povolené odklady platieb a</w:t>
      </w:r>
      <w:r>
        <w:rPr>
          <w:rFonts w:ascii="Times New Roman" w:hAnsi="Times New Roman" w:cs="Times New Roman"/>
          <w:b/>
        </w:rPr>
        <w:t> </w:t>
      </w:r>
      <w:r w:rsidRPr="007A7D9D">
        <w:rPr>
          <w:rFonts w:ascii="Times New Roman" w:hAnsi="Times New Roman" w:cs="Times New Roman"/>
          <w:b/>
        </w:rPr>
        <w:t>povolenie</w:t>
      </w:r>
      <w:r>
        <w:rPr>
          <w:rFonts w:ascii="Times New Roman" w:hAnsi="Times New Roman" w:cs="Times New Roman"/>
          <w:b/>
        </w:rPr>
        <w:t xml:space="preserve"> platiť</w:t>
      </w:r>
      <w:r w:rsidRPr="007A7D9D">
        <w:rPr>
          <w:rFonts w:ascii="Times New Roman" w:hAnsi="Times New Roman" w:cs="Times New Roman"/>
          <w:b/>
        </w:rPr>
        <w:t xml:space="preserve"> v splátkach</w:t>
      </w:r>
    </w:p>
    <w:p w:rsidR="00A74F9A" w:rsidRPr="007A7D9D" w:rsidP="00A74F9A">
      <w:pPr>
        <w:ind w:firstLine="567"/>
        <w:jc w:val="both"/>
        <w:rPr>
          <w:rFonts w:ascii="Times New Roman" w:hAnsi="Times New Roman" w:cs="Times New Roman"/>
          <w:sz w:val="22"/>
        </w:rPr>
      </w:pPr>
    </w:p>
    <w:p w:rsidR="00A74F9A" w:rsidRPr="00C30955" w:rsidP="00A74F9A">
      <w:pPr>
        <w:spacing w:line="360" w:lineRule="auto"/>
        <w:ind w:firstLine="567"/>
        <w:jc w:val="both"/>
        <w:rPr>
          <w:rFonts w:ascii="Times New Roman" w:hAnsi="Times New Roman" w:cs="Times New Roman"/>
        </w:rPr>
      </w:pPr>
      <w:r>
        <w:rPr>
          <w:rFonts w:ascii="Times New Roman" w:hAnsi="Times New Roman" w:cs="Times New Roman"/>
        </w:rPr>
        <w:t>Colná správa povolila v</w:t>
      </w:r>
      <w:r w:rsidRPr="00C30955">
        <w:rPr>
          <w:rFonts w:ascii="Times New Roman" w:hAnsi="Times New Roman" w:cs="Times New Roman"/>
        </w:rPr>
        <w:t xml:space="preserve"> roku 2006 </w:t>
      </w:r>
      <w:r>
        <w:rPr>
          <w:rFonts w:ascii="Times New Roman" w:hAnsi="Times New Roman" w:cs="Times New Roman"/>
        </w:rPr>
        <w:t>platenie colných a daňových platieb v </w:t>
      </w:r>
      <w:r w:rsidRPr="00C30955">
        <w:rPr>
          <w:rFonts w:ascii="Times New Roman" w:hAnsi="Times New Roman" w:cs="Times New Roman"/>
        </w:rPr>
        <w:t>splátk</w:t>
      </w:r>
      <w:r>
        <w:rPr>
          <w:rFonts w:ascii="Times New Roman" w:hAnsi="Times New Roman" w:cs="Times New Roman"/>
        </w:rPr>
        <w:t xml:space="preserve">ach </w:t>
      </w:r>
      <w:r w:rsidRPr="00D728C1">
        <w:rPr>
          <w:rFonts w:ascii="Times New Roman" w:hAnsi="Times New Roman" w:cs="Times New Roman"/>
        </w:rPr>
        <w:t>v sume 1,7 mil. Sk</w:t>
      </w:r>
      <w:r>
        <w:rPr>
          <w:rFonts w:ascii="Times New Roman" w:hAnsi="Times New Roman" w:cs="Times New Roman"/>
        </w:rPr>
        <w:t xml:space="preserve"> (v roku 2005: 13,5 mil. Sk)</w:t>
      </w:r>
      <w:r w:rsidRPr="00D728C1">
        <w:rPr>
          <w:rFonts w:ascii="Times New Roman" w:hAnsi="Times New Roman" w:cs="Times New Roman"/>
        </w:rPr>
        <w:t xml:space="preserve"> a odklady platieb vo výške 8,2 mil. Sk</w:t>
      </w:r>
      <w:r>
        <w:rPr>
          <w:rFonts w:ascii="Times New Roman" w:hAnsi="Times New Roman" w:cs="Times New Roman"/>
        </w:rPr>
        <w:t xml:space="preserve"> (v roku 2005: 0 Sk)</w:t>
      </w:r>
      <w:r w:rsidRPr="00D728C1">
        <w:rPr>
          <w:rFonts w:ascii="Times New Roman" w:hAnsi="Times New Roman" w:cs="Times New Roman"/>
        </w:rPr>
        <w:t>. Splátky poskytli colné úrady</w:t>
      </w:r>
      <w:r w:rsidRPr="00C30955">
        <w:rPr>
          <w:rFonts w:ascii="Times New Roman" w:hAnsi="Times New Roman" w:cs="Times New Roman"/>
        </w:rPr>
        <w:t xml:space="preserve"> Banská Bystrica</w:t>
      </w:r>
      <w:r>
        <w:rPr>
          <w:rFonts w:ascii="Times New Roman" w:hAnsi="Times New Roman" w:cs="Times New Roman"/>
        </w:rPr>
        <w:t xml:space="preserve">, </w:t>
      </w:r>
      <w:r w:rsidRPr="00C30955">
        <w:rPr>
          <w:rFonts w:ascii="Times New Roman" w:hAnsi="Times New Roman" w:cs="Times New Roman"/>
        </w:rPr>
        <w:t>Nitra a</w:t>
      </w:r>
      <w:r>
        <w:rPr>
          <w:rFonts w:ascii="Times New Roman" w:hAnsi="Times New Roman" w:cs="Times New Roman"/>
        </w:rPr>
        <w:t> </w:t>
      </w:r>
      <w:r w:rsidRPr="00C30955">
        <w:rPr>
          <w:rFonts w:ascii="Times New Roman" w:hAnsi="Times New Roman" w:cs="Times New Roman"/>
        </w:rPr>
        <w:t>Žilina</w:t>
      </w:r>
      <w:r>
        <w:rPr>
          <w:rFonts w:ascii="Times New Roman" w:hAnsi="Times New Roman" w:cs="Times New Roman"/>
        </w:rPr>
        <w:t>, o</w:t>
      </w:r>
      <w:r w:rsidRPr="00C30955">
        <w:rPr>
          <w:rFonts w:ascii="Times New Roman" w:hAnsi="Times New Roman" w:cs="Times New Roman"/>
        </w:rPr>
        <w:t xml:space="preserve">dklady </w:t>
      </w:r>
      <w:r>
        <w:rPr>
          <w:rFonts w:ascii="Times New Roman" w:hAnsi="Times New Roman" w:cs="Times New Roman"/>
        </w:rPr>
        <w:t>c</w:t>
      </w:r>
      <w:r w:rsidRPr="00C30955">
        <w:rPr>
          <w:rFonts w:ascii="Times New Roman" w:hAnsi="Times New Roman" w:cs="Times New Roman"/>
        </w:rPr>
        <w:t>olné úrady</w:t>
      </w:r>
      <w:r>
        <w:rPr>
          <w:rFonts w:ascii="Times New Roman" w:hAnsi="Times New Roman" w:cs="Times New Roman"/>
        </w:rPr>
        <w:t xml:space="preserve"> </w:t>
      </w:r>
      <w:r w:rsidRPr="00C30955">
        <w:rPr>
          <w:rFonts w:ascii="Times New Roman" w:hAnsi="Times New Roman" w:cs="Times New Roman"/>
        </w:rPr>
        <w:t>Prešov</w:t>
      </w:r>
      <w:r>
        <w:rPr>
          <w:rFonts w:ascii="Times New Roman" w:hAnsi="Times New Roman" w:cs="Times New Roman"/>
        </w:rPr>
        <w:t xml:space="preserve"> </w:t>
      </w:r>
      <w:r w:rsidRPr="00C30955">
        <w:rPr>
          <w:rFonts w:ascii="Times New Roman" w:hAnsi="Times New Roman" w:cs="Times New Roman"/>
        </w:rPr>
        <w:t>a</w:t>
      </w:r>
      <w:r>
        <w:rPr>
          <w:rFonts w:ascii="Times New Roman" w:hAnsi="Times New Roman" w:cs="Times New Roman"/>
        </w:rPr>
        <w:t> </w:t>
      </w:r>
      <w:r w:rsidRPr="00C30955">
        <w:rPr>
          <w:rFonts w:ascii="Times New Roman" w:hAnsi="Times New Roman" w:cs="Times New Roman"/>
        </w:rPr>
        <w:t>Žilina</w:t>
      </w:r>
      <w:r>
        <w:rPr>
          <w:rFonts w:ascii="Times New Roman" w:hAnsi="Times New Roman" w:cs="Times New Roman"/>
        </w:rPr>
        <w:t>. K</w:t>
      </w:r>
      <w:r w:rsidRPr="007A7D9D">
        <w:rPr>
          <w:rFonts w:ascii="Times New Roman" w:hAnsi="Times New Roman" w:cs="Times New Roman"/>
        </w:rPr>
        <w:t xml:space="preserve"> 31.12.2006 </w:t>
      </w:r>
      <w:r>
        <w:rPr>
          <w:rFonts w:ascii="Times New Roman" w:hAnsi="Times New Roman" w:cs="Times New Roman"/>
        </w:rPr>
        <w:t xml:space="preserve">evidovala </w:t>
      </w:r>
      <w:r w:rsidRPr="007A7D9D">
        <w:rPr>
          <w:rFonts w:ascii="Times New Roman" w:hAnsi="Times New Roman" w:cs="Times New Roman"/>
        </w:rPr>
        <w:t>odklady</w:t>
      </w:r>
      <w:r>
        <w:rPr>
          <w:rFonts w:ascii="Times New Roman" w:hAnsi="Times New Roman" w:cs="Times New Roman"/>
        </w:rPr>
        <w:t xml:space="preserve"> </w:t>
      </w:r>
      <w:r w:rsidRPr="007A7D9D">
        <w:rPr>
          <w:rFonts w:ascii="Times New Roman" w:hAnsi="Times New Roman" w:cs="Times New Roman"/>
        </w:rPr>
        <w:t xml:space="preserve">a  splátky pohľadávok  </w:t>
      </w:r>
      <w:r>
        <w:rPr>
          <w:rFonts w:ascii="Times New Roman" w:hAnsi="Times New Roman" w:cs="Times New Roman"/>
        </w:rPr>
        <w:t>za</w:t>
      </w:r>
      <w:r w:rsidRPr="007A7D9D">
        <w:rPr>
          <w:rFonts w:ascii="Times New Roman" w:hAnsi="Times New Roman" w:cs="Times New Roman"/>
        </w:rPr>
        <w:t xml:space="preserve"> 2,6 mil. Sk</w:t>
      </w:r>
      <w:r>
        <w:rPr>
          <w:rFonts w:ascii="Times New Roman" w:hAnsi="Times New Roman" w:cs="Times New Roman"/>
        </w:rPr>
        <w:t xml:space="preserve">, z toho 2,4 mil. Sk tvoria nezaplatené úľavy z roku 2003.  </w:t>
      </w:r>
    </w:p>
    <w:p w:rsidR="00A74F9A" w:rsidRPr="007A7D9D" w:rsidP="00A74F9A">
      <w:pPr>
        <w:ind w:firstLine="567"/>
        <w:jc w:val="both"/>
        <w:rPr>
          <w:rFonts w:ascii="Times New Roman" w:hAnsi="Times New Roman" w:cs="Times New Roman"/>
          <w:sz w:val="22"/>
        </w:rPr>
      </w:pPr>
    </w:p>
    <w:p w:rsidR="00A74F9A" w:rsidRPr="007A7D9D" w:rsidP="00644DA1">
      <w:pPr>
        <w:numPr>
          <w:ilvl w:val="2"/>
          <w:numId w:val="153"/>
        </w:numPr>
        <w:tabs>
          <w:tab w:val="left" w:pos="720"/>
        </w:tabs>
        <w:jc w:val="center"/>
        <w:rPr>
          <w:rFonts w:ascii="Times New Roman" w:hAnsi="Times New Roman" w:cs="Times New Roman"/>
          <w:b/>
        </w:rPr>
      </w:pPr>
      <w:r w:rsidRPr="007A7D9D">
        <w:rPr>
          <w:rFonts w:ascii="Times New Roman" w:hAnsi="Times New Roman" w:cs="Times New Roman"/>
          <w:b/>
        </w:rPr>
        <w:t>Výška odpustených a vrátených colných a daňových platieb</w:t>
      </w:r>
    </w:p>
    <w:p w:rsidR="00A74F9A" w:rsidRPr="007A7D9D" w:rsidP="00A74F9A">
      <w:pPr>
        <w:jc w:val="both"/>
        <w:rPr>
          <w:rFonts w:ascii="Times New Roman" w:hAnsi="Times New Roman" w:cs="Times New Roman"/>
          <w:b/>
        </w:rPr>
      </w:pPr>
    </w:p>
    <w:p w:rsidR="00A74F9A" w:rsidRPr="007A7D9D" w:rsidP="00A74F9A">
      <w:pPr>
        <w:pStyle w:val="Header"/>
        <w:tabs>
          <w:tab w:val="clear" w:pos="4536"/>
          <w:tab w:val="clear" w:pos="9072"/>
        </w:tabs>
        <w:spacing w:line="360" w:lineRule="auto"/>
        <w:ind w:firstLine="567"/>
        <w:jc w:val="both"/>
        <w:rPr>
          <w:rFonts w:ascii="Times New Roman" w:hAnsi="Times New Roman" w:cs="Times New Roman"/>
          <w:sz w:val="22"/>
          <w:szCs w:val="22"/>
        </w:rPr>
      </w:pPr>
      <w:r w:rsidRPr="00D728C1">
        <w:rPr>
          <w:rFonts w:ascii="Times New Roman" w:hAnsi="Times New Roman" w:cs="Times New Roman"/>
        </w:rPr>
        <w:t xml:space="preserve">Colné orgány  odpustili </w:t>
      </w:r>
      <w:r>
        <w:rPr>
          <w:rFonts w:ascii="Times New Roman" w:hAnsi="Times New Roman" w:cs="Times New Roman"/>
        </w:rPr>
        <w:t xml:space="preserve">v roku </w:t>
      </w:r>
      <w:r w:rsidRPr="00D728C1">
        <w:rPr>
          <w:rFonts w:ascii="Times New Roman" w:hAnsi="Times New Roman" w:cs="Times New Roman"/>
        </w:rPr>
        <w:t>2006 platby v celkovej výške 24,7 mil. Sk</w:t>
      </w:r>
      <w:r>
        <w:rPr>
          <w:rFonts w:ascii="Times New Roman" w:hAnsi="Times New Roman" w:cs="Times New Roman"/>
        </w:rPr>
        <w:t xml:space="preserve"> (v roku 2005: 14,5 mil. Sk)</w:t>
      </w:r>
      <w:r w:rsidRPr="00D728C1">
        <w:rPr>
          <w:rFonts w:ascii="Times New Roman" w:hAnsi="Times New Roman" w:cs="Times New Roman"/>
        </w:rPr>
        <w:t>, z toho v zmysle colných predpisov 13</w:t>
      </w:r>
      <w:r>
        <w:rPr>
          <w:rFonts w:ascii="Times New Roman" w:hAnsi="Times New Roman" w:cs="Times New Roman"/>
        </w:rPr>
        <w:t>,</w:t>
      </w:r>
      <w:r w:rsidRPr="00D728C1">
        <w:rPr>
          <w:rFonts w:ascii="Times New Roman" w:hAnsi="Times New Roman" w:cs="Times New Roman"/>
        </w:rPr>
        <w:t xml:space="preserve">8 </w:t>
      </w:r>
      <w:r>
        <w:rPr>
          <w:rFonts w:ascii="Times New Roman" w:hAnsi="Times New Roman" w:cs="Times New Roman"/>
        </w:rPr>
        <w:t>mil.</w:t>
      </w:r>
      <w:r w:rsidRPr="00D728C1">
        <w:rPr>
          <w:rFonts w:ascii="Times New Roman" w:hAnsi="Times New Roman" w:cs="Times New Roman"/>
        </w:rPr>
        <w:t xml:space="preserve"> Sk a v zmysle daňových predpisov 10</w:t>
      </w:r>
      <w:r>
        <w:rPr>
          <w:rFonts w:ascii="Times New Roman" w:hAnsi="Times New Roman" w:cs="Times New Roman"/>
        </w:rPr>
        <w:t>,</w:t>
      </w:r>
      <w:r w:rsidRPr="00D728C1">
        <w:rPr>
          <w:rFonts w:ascii="Times New Roman" w:hAnsi="Times New Roman" w:cs="Times New Roman"/>
        </w:rPr>
        <w:t xml:space="preserve">9 </w:t>
      </w:r>
      <w:r>
        <w:rPr>
          <w:rFonts w:ascii="Times New Roman" w:hAnsi="Times New Roman" w:cs="Times New Roman"/>
        </w:rPr>
        <w:t>mil.</w:t>
      </w:r>
      <w:r w:rsidRPr="00D728C1">
        <w:rPr>
          <w:rFonts w:ascii="Times New Roman" w:hAnsi="Times New Roman" w:cs="Times New Roman"/>
        </w:rPr>
        <w:t xml:space="preserve"> Sk (len sankcie)</w:t>
      </w:r>
      <w:r>
        <w:rPr>
          <w:rFonts w:ascii="Times New Roman" w:hAnsi="Times New Roman" w:cs="Times New Roman"/>
        </w:rPr>
        <w:t xml:space="preserve"> v nasledovnej š</w:t>
      </w:r>
      <w:r w:rsidRPr="00D728C1">
        <w:rPr>
          <w:rFonts w:ascii="Times New Roman" w:hAnsi="Times New Roman" w:cs="Times New Roman"/>
        </w:rPr>
        <w:t>truktúr</w:t>
      </w:r>
      <w:r>
        <w:rPr>
          <w:rFonts w:ascii="Times New Roman" w:hAnsi="Times New Roman" w:cs="Times New Roman"/>
        </w:rPr>
        <w:t>e</w:t>
      </w:r>
      <w:r w:rsidRPr="00D728C1">
        <w:rPr>
          <w:rFonts w:ascii="Times New Roman" w:hAnsi="Times New Roman" w:cs="Times New Roman"/>
        </w:rPr>
        <w:t>:</w:t>
      </w:r>
      <w:r w:rsidRPr="007A7D9D">
        <w:rPr>
          <w:rFonts w:ascii="Times New Roman" w:hAnsi="Times New Roman" w:cs="Times New Roman"/>
          <w:sz w:val="22"/>
          <w:szCs w:val="22"/>
        </w:rPr>
        <w:t xml:space="preserve">                                          </w:t>
      </w:r>
    </w:p>
    <w:p w:rsidR="00A74F9A" w:rsidRPr="007A7D9D" w:rsidP="00A74F9A">
      <w:pPr>
        <w:pStyle w:val="Header"/>
        <w:tabs>
          <w:tab w:val="clear" w:pos="4536"/>
          <w:tab w:val="clear" w:pos="9072"/>
        </w:tabs>
        <w:ind w:firstLine="567"/>
        <w:jc w:val="both"/>
        <w:rPr>
          <w:rFonts w:ascii="Times New Roman" w:hAnsi="Times New Roman" w:cs="Times New Roman"/>
          <w:sz w:val="22"/>
          <w:szCs w:val="22"/>
        </w:rPr>
      </w:pPr>
      <w:r w:rsidRPr="007A7D9D">
        <w:rPr>
          <w:rFonts w:ascii="Times New Roman" w:hAnsi="Times New Roman" w:cs="Times New Roman"/>
          <w:sz w:val="22"/>
          <w:szCs w:val="22"/>
        </w:rPr>
        <w:t xml:space="preserve">                                                                                                             </w:t>
      </w:r>
    </w:p>
    <w:tbl>
      <w:tblPr>
        <w:tblW w:w="0" w:type="auto"/>
        <w:tblInd w:w="2376"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Pr>
      <w:tblGrid>
        <w:gridCol w:w="2232"/>
        <w:gridCol w:w="2340"/>
      </w:tblGrid>
      <w:tr>
        <w:tblPrEx>
          <w:tblW w:w="0" w:type="auto"/>
          <w:tblInd w:w="2376"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PrEx>
        <w:trPr>
          <w:trHeight w:val="282"/>
        </w:trPr>
        <w:tc>
          <w:tcPr>
            <w:tcW w:w="2232"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A74F9A" w:rsidRPr="001B08E6" w:rsidP="001B08E6">
            <w:pPr>
              <w:pStyle w:val="Header"/>
              <w:tabs>
                <w:tab w:val="clear" w:pos="4536"/>
                <w:tab w:val="clear" w:pos="9072"/>
              </w:tabs>
              <w:jc w:val="center"/>
              <w:rPr>
                <w:rFonts w:ascii="Times New Roman" w:hAnsi="Times New Roman" w:cs="Times New Roman"/>
                <w:b/>
                <w:sz w:val="20"/>
                <w:szCs w:val="20"/>
              </w:rPr>
            </w:pPr>
            <w:r w:rsidRPr="001B08E6">
              <w:rPr>
                <w:rFonts w:ascii="Times New Roman" w:hAnsi="Times New Roman" w:cs="Times New Roman"/>
                <w:b/>
                <w:sz w:val="20"/>
                <w:szCs w:val="20"/>
              </w:rPr>
              <w:t>Druh príjmu</w:t>
            </w:r>
          </w:p>
        </w:tc>
        <w:tc>
          <w:tcPr>
            <w:tcW w:w="2340"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A74F9A" w:rsidRPr="001B08E6" w:rsidP="001B08E6">
            <w:pPr>
              <w:pStyle w:val="Header"/>
              <w:tabs>
                <w:tab w:val="clear" w:pos="4536"/>
                <w:tab w:val="clear" w:pos="9072"/>
              </w:tabs>
              <w:jc w:val="center"/>
              <w:rPr>
                <w:rFonts w:ascii="Times New Roman" w:hAnsi="Times New Roman" w:cs="Times New Roman"/>
                <w:b/>
                <w:sz w:val="20"/>
                <w:szCs w:val="20"/>
              </w:rPr>
            </w:pPr>
            <w:r w:rsidRPr="001B08E6">
              <w:rPr>
                <w:rFonts w:ascii="Times New Roman" w:hAnsi="Times New Roman" w:cs="Times New Roman"/>
                <w:b/>
                <w:sz w:val="20"/>
                <w:szCs w:val="20"/>
              </w:rPr>
              <w:t>Odpustená platba v Sk</w:t>
            </w:r>
          </w:p>
        </w:tc>
      </w:tr>
      <w:tr>
        <w:tblPrEx>
          <w:tblW w:w="0" w:type="auto"/>
          <w:tblInd w:w="2376" w:type="dxa"/>
        </w:tblPrEx>
        <w:trPr>
          <w:trHeight w:hRule="exact" w:val="340"/>
        </w:trPr>
        <w:tc>
          <w:tcPr>
            <w:tcW w:w="223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A74F9A" w:rsidRPr="001B08E6" w:rsidP="00A74F9A">
            <w:pPr>
              <w:pStyle w:val="Header"/>
              <w:tabs>
                <w:tab w:val="clear" w:pos="4536"/>
                <w:tab w:val="clear" w:pos="9072"/>
              </w:tabs>
              <w:rPr>
                <w:rFonts w:ascii="Times New Roman" w:hAnsi="Times New Roman" w:cs="Times New Roman"/>
                <w:sz w:val="20"/>
                <w:szCs w:val="20"/>
              </w:rPr>
            </w:pPr>
            <w:r w:rsidRPr="001B08E6">
              <w:rPr>
                <w:rFonts w:ascii="Times New Roman" w:hAnsi="Times New Roman" w:cs="Times New Roman"/>
                <w:sz w:val="20"/>
                <w:szCs w:val="20"/>
              </w:rPr>
              <w:t>Clo</w:t>
            </w:r>
          </w:p>
        </w:tc>
        <w:tc>
          <w:tcPr>
            <w:tcW w:w="234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A74F9A" w:rsidRPr="001B08E6" w:rsidP="00A74F9A">
            <w:pPr>
              <w:pStyle w:val="Header"/>
              <w:tabs>
                <w:tab w:val="clear" w:pos="4536"/>
                <w:tab w:val="clear" w:pos="9072"/>
              </w:tabs>
              <w:jc w:val="right"/>
              <w:rPr>
                <w:rFonts w:ascii="Times New Roman" w:hAnsi="Times New Roman" w:cs="Times New Roman"/>
                <w:sz w:val="20"/>
                <w:szCs w:val="20"/>
              </w:rPr>
            </w:pPr>
            <w:r w:rsidRPr="001B08E6">
              <w:rPr>
                <w:rFonts w:ascii="Times New Roman" w:hAnsi="Times New Roman" w:cs="Times New Roman"/>
                <w:sz w:val="20"/>
                <w:szCs w:val="20"/>
              </w:rPr>
              <w:t xml:space="preserve">            935 731</w:t>
            </w:r>
          </w:p>
        </w:tc>
      </w:tr>
      <w:tr>
        <w:tblPrEx>
          <w:tblW w:w="0" w:type="auto"/>
          <w:tblInd w:w="2376" w:type="dxa"/>
        </w:tblPrEx>
        <w:trPr>
          <w:trHeight w:hRule="exact" w:val="340"/>
        </w:trPr>
        <w:tc>
          <w:tcPr>
            <w:tcW w:w="223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A74F9A" w:rsidRPr="001B08E6" w:rsidP="00A74F9A">
            <w:pPr>
              <w:pStyle w:val="Header"/>
              <w:tabs>
                <w:tab w:val="clear" w:pos="4536"/>
                <w:tab w:val="clear" w:pos="9072"/>
              </w:tabs>
              <w:rPr>
                <w:rFonts w:ascii="Times New Roman" w:hAnsi="Times New Roman" w:cs="Times New Roman"/>
                <w:sz w:val="20"/>
                <w:szCs w:val="20"/>
              </w:rPr>
            </w:pPr>
            <w:r w:rsidRPr="001B08E6">
              <w:rPr>
                <w:rFonts w:ascii="Times New Roman" w:hAnsi="Times New Roman" w:cs="Times New Roman"/>
                <w:sz w:val="20"/>
                <w:szCs w:val="20"/>
              </w:rPr>
              <w:t>Spotrebné dane</w:t>
            </w:r>
          </w:p>
        </w:tc>
        <w:tc>
          <w:tcPr>
            <w:tcW w:w="234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A74F9A" w:rsidRPr="001B08E6" w:rsidP="00A74F9A">
            <w:pPr>
              <w:pStyle w:val="Header"/>
              <w:tabs>
                <w:tab w:val="clear" w:pos="4536"/>
                <w:tab w:val="clear" w:pos="9072"/>
              </w:tabs>
              <w:jc w:val="right"/>
              <w:rPr>
                <w:rFonts w:ascii="Times New Roman" w:hAnsi="Times New Roman" w:cs="Times New Roman"/>
                <w:sz w:val="20"/>
                <w:szCs w:val="20"/>
              </w:rPr>
            </w:pPr>
            <w:r w:rsidRPr="001B08E6">
              <w:rPr>
                <w:rFonts w:ascii="Times New Roman" w:hAnsi="Times New Roman" w:cs="Times New Roman"/>
                <w:sz w:val="20"/>
                <w:szCs w:val="20"/>
              </w:rPr>
              <w:t xml:space="preserve">         8 839 210</w:t>
            </w:r>
          </w:p>
        </w:tc>
      </w:tr>
      <w:tr>
        <w:tblPrEx>
          <w:tblW w:w="0" w:type="auto"/>
          <w:tblInd w:w="2376" w:type="dxa"/>
        </w:tblPrEx>
        <w:trPr>
          <w:trHeight w:hRule="exact" w:val="340"/>
        </w:trPr>
        <w:tc>
          <w:tcPr>
            <w:tcW w:w="223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A74F9A" w:rsidRPr="001B08E6" w:rsidP="00A74F9A">
            <w:pPr>
              <w:pStyle w:val="Header"/>
              <w:tabs>
                <w:tab w:val="clear" w:pos="4536"/>
                <w:tab w:val="clear" w:pos="9072"/>
              </w:tabs>
              <w:rPr>
                <w:rFonts w:ascii="Times New Roman" w:hAnsi="Times New Roman" w:cs="Times New Roman"/>
                <w:sz w:val="20"/>
                <w:szCs w:val="20"/>
              </w:rPr>
            </w:pPr>
            <w:r w:rsidRPr="001B08E6">
              <w:rPr>
                <w:rFonts w:ascii="Times New Roman" w:hAnsi="Times New Roman" w:cs="Times New Roman"/>
                <w:sz w:val="20"/>
                <w:szCs w:val="20"/>
              </w:rPr>
              <w:t>Dovozná prirážka</w:t>
            </w:r>
          </w:p>
        </w:tc>
        <w:tc>
          <w:tcPr>
            <w:tcW w:w="234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A74F9A" w:rsidRPr="001B08E6" w:rsidP="00A74F9A">
            <w:pPr>
              <w:pStyle w:val="Header"/>
              <w:tabs>
                <w:tab w:val="clear" w:pos="4536"/>
                <w:tab w:val="clear" w:pos="9072"/>
              </w:tabs>
              <w:jc w:val="right"/>
              <w:rPr>
                <w:rFonts w:ascii="Times New Roman" w:hAnsi="Times New Roman" w:cs="Times New Roman"/>
                <w:sz w:val="20"/>
                <w:szCs w:val="20"/>
              </w:rPr>
            </w:pPr>
            <w:r w:rsidRPr="001B08E6">
              <w:rPr>
                <w:rFonts w:ascii="Times New Roman" w:hAnsi="Times New Roman" w:cs="Times New Roman"/>
                <w:sz w:val="20"/>
                <w:szCs w:val="20"/>
              </w:rPr>
              <w:t xml:space="preserve">                1 008</w:t>
            </w:r>
          </w:p>
        </w:tc>
      </w:tr>
      <w:tr>
        <w:tblPrEx>
          <w:tblW w:w="0" w:type="auto"/>
          <w:tblInd w:w="2376" w:type="dxa"/>
        </w:tblPrEx>
        <w:trPr>
          <w:trHeight w:hRule="exact" w:val="340"/>
        </w:trPr>
        <w:tc>
          <w:tcPr>
            <w:tcW w:w="223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A74F9A" w:rsidRPr="001B08E6" w:rsidP="00A74F9A">
            <w:pPr>
              <w:pStyle w:val="Header"/>
              <w:tabs>
                <w:tab w:val="clear" w:pos="4536"/>
                <w:tab w:val="clear" w:pos="9072"/>
              </w:tabs>
              <w:rPr>
                <w:rFonts w:ascii="Times New Roman" w:hAnsi="Times New Roman" w:cs="Times New Roman"/>
                <w:sz w:val="20"/>
                <w:szCs w:val="20"/>
              </w:rPr>
            </w:pPr>
            <w:r w:rsidRPr="001B08E6">
              <w:rPr>
                <w:rFonts w:ascii="Times New Roman" w:hAnsi="Times New Roman" w:cs="Times New Roman"/>
                <w:sz w:val="20"/>
                <w:szCs w:val="20"/>
              </w:rPr>
              <w:t>Daň z pridanej hodnoty</w:t>
            </w:r>
          </w:p>
        </w:tc>
        <w:tc>
          <w:tcPr>
            <w:tcW w:w="234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A74F9A" w:rsidRPr="001B08E6" w:rsidP="00A74F9A">
            <w:pPr>
              <w:pStyle w:val="Header"/>
              <w:tabs>
                <w:tab w:val="clear" w:pos="4536"/>
                <w:tab w:val="clear" w:pos="9072"/>
              </w:tabs>
              <w:jc w:val="right"/>
              <w:rPr>
                <w:rFonts w:ascii="Times New Roman" w:hAnsi="Times New Roman" w:cs="Times New Roman"/>
                <w:sz w:val="20"/>
                <w:szCs w:val="20"/>
              </w:rPr>
            </w:pPr>
            <w:r w:rsidRPr="001B08E6">
              <w:rPr>
                <w:rFonts w:ascii="Times New Roman" w:hAnsi="Times New Roman" w:cs="Times New Roman"/>
                <w:sz w:val="20"/>
                <w:szCs w:val="20"/>
              </w:rPr>
              <w:t xml:space="preserve">         4 045 327</w:t>
            </w:r>
          </w:p>
        </w:tc>
      </w:tr>
      <w:tr>
        <w:tblPrEx>
          <w:tblW w:w="0" w:type="auto"/>
          <w:tblInd w:w="2376" w:type="dxa"/>
        </w:tblPrEx>
        <w:trPr>
          <w:trHeight w:hRule="exact" w:val="340"/>
        </w:trPr>
        <w:tc>
          <w:tcPr>
            <w:tcW w:w="223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A74F9A" w:rsidRPr="001B08E6" w:rsidP="00A74F9A">
            <w:pPr>
              <w:pStyle w:val="Header"/>
              <w:tabs>
                <w:tab w:val="clear" w:pos="4536"/>
                <w:tab w:val="clear" w:pos="9072"/>
              </w:tabs>
              <w:rPr>
                <w:rFonts w:ascii="Times New Roman" w:hAnsi="Times New Roman" w:cs="Times New Roman"/>
                <w:sz w:val="20"/>
                <w:szCs w:val="20"/>
              </w:rPr>
            </w:pPr>
            <w:r w:rsidRPr="001B08E6">
              <w:rPr>
                <w:rFonts w:ascii="Times New Roman" w:hAnsi="Times New Roman" w:cs="Times New Roman"/>
                <w:sz w:val="20"/>
                <w:szCs w:val="20"/>
              </w:rPr>
              <w:t>Iné (úroky, sankcie)</w:t>
            </w:r>
          </w:p>
        </w:tc>
        <w:tc>
          <w:tcPr>
            <w:tcW w:w="234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A74F9A" w:rsidRPr="001B08E6" w:rsidP="00A74F9A">
            <w:pPr>
              <w:pStyle w:val="Header"/>
              <w:tabs>
                <w:tab w:val="clear" w:pos="4536"/>
                <w:tab w:val="clear" w:pos="9072"/>
              </w:tabs>
              <w:jc w:val="right"/>
              <w:rPr>
                <w:rFonts w:ascii="Times New Roman" w:hAnsi="Times New Roman" w:cs="Times New Roman"/>
                <w:sz w:val="20"/>
                <w:szCs w:val="20"/>
              </w:rPr>
            </w:pPr>
            <w:r w:rsidRPr="001B08E6">
              <w:rPr>
                <w:rFonts w:ascii="Times New Roman" w:hAnsi="Times New Roman" w:cs="Times New Roman"/>
                <w:sz w:val="20"/>
                <w:szCs w:val="20"/>
              </w:rPr>
              <w:t xml:space="preserve">       10 895 510</w:t>
            </w:r>
          </w:p>
        </w:tc>
      </w:tr>
      <w:tr>
        <w:tblPrEx>
          <w:tblW w:w="0" w:type="auto"/>
          <w:tblInd w:w="2376" w:type="dxa"/>
        </w:tblPrEx>
        <w:trPr>
          <w:trHeight w:hRule="exact" w:val="340"/>
        </w:trPr>
        <w:tc>
          <w:tcPr>
            <w:tcW w:w="2232" w:type="dxa"/>
            <w:tcBorders>
              <w:top w:val="single" w:sz="4" w:space="0" w:color="auto"/>
              <w:left w:val="single" w:sz="8" w:space="0" w:color="auto"/>
              <w:bottom w:val="double" w:sz="6" w:space="0" w:color="auto"/>
              <w:right w:val="single" w:sz="4" w:space="0" w:color="auto"/>
              <w:tl2br w:val="nil"/>
              <w:tr2bl w:val="nil"/>
            </w:tcBorders>
            <w:textDirection w:val="lrTb"/>
            <w:vAlign w:val="center"/>
          </w:tcPr>
          <w:p w:rsidR="00A74F9A" w:rsidRPr="001B08E6" w:rsidP="00A74F9A">
            <w:pPr>
              <w:pStyle w:val="Header"/>
              <w:tabs>
                <w:tab w:val="clear" w:pos="4536"/>
                <w:tab w:val="clear" w:pos="9072"/>
              </w:tabs>
              <w:rPr>
                <w:rFonts w:ascii="Times New Roman" w:hAnsi="Times New Roman" w:cs="Times New Roman"/>
                <w:b/>
                <w:sz w:val="20"/>
                <w:szCs w:val="20"/>
              </w:rPr>
            </w:pPr>
            <w:r w:rsidRPr="001B08E6" w:rsidR="001B08E6">
              <w:rPr>
                <w:rFonts w:ascii="Times New Roman" w:hAnsi="Times New Roman" w:cs="Times New Roman"/>
                <w:b/>
                <w:sz w:val="20"/>
                <w:szCs w:val="20"/>
              </w:rPr>
              <w:t>SPOLU</w:t>
            </w:r>
          </w:p>
        </w:tc>
        <w:tc>
          <w:tcPr>
            <w:tcW w:w="2340" w:type="dxa"/>
            <w:tcBorders>
              <w:top w:val="single" w:sz="4" w:space="0" w:color="auto"/>
              <w:left w:val="single" w:sz="4" w:space="0" w:color="auto"/>
              <w:bottom w:val="double" w:sz="6" w:space="0" w:color="auto"/>
              <w:right w:val="single" w:sz="8" w:space="0" w:color="auto"/>
              <w:tl2br w:val="nil"/>
              <w:tr2bl w:val="nil"/>
            </w:tcBorders>
            <w:textDirection w:val="lrTb"/>
            <w:vAlign w:val="center"/>
          </w:tcPr>
          <w:p w:rsidR="00A74F9A" w:rsidRPr="001B08E6" w:rsidP="00A74F9A">
            <w:pPr>
              <w:pStyle w:val="Header"/>
              <w:tabs>
                <w:tab w:val="clear" w:pos="4536"/>
                <w:tab w:val="clear" w:pos="9072"/>
              </w:tabs>
              <w:jc w:val="right"/>
              <w:rPr>
                <w:rFonts w:ascii="Times New Roman" w:hAnsi="Times New Roman" w:cs="Times New Roman"/>
                <w:b/>
                <w:sz w:val="20"/>
                <w:szCs w:val="20"/>
              </w:rPr>
            </w:pPr>
            <w:r w:rsidRPr="001B08E6">
              <w:rPr>
                <w:rFonts w:ascii="Times New Roman" w:hAnsi="Times New Roman" w:cs="Times New Roman"/>
                <w:b/>
                <w:sz w:val="20"/>
                <w:szCs w:val="20"/>
              </w:rPr>
              <w:t xml:space="preserve">       24 716 786</w:t>
            </w:r>
          </w:p>
        </w:tc>
      </w:tr>
    </w:tbl>
    <w:p w:rsidR="00A74F9A" w:rsidRPr="00633CCB" w:rsidP="00A74F9A">
      <w:pPr>
        <w:pStyle w:val="Header"/>
        <w:tabs>
          <w:tab w:val="clear" w:pos="4536"/>
          <w:tab w:val="clear" w:pos="9072"/>
        </w:tabs>
        <w:spacing w:before="120"/>
        <w:ind w:firstLine="567"/>
        <w:jc w:val="both"/>
        <w:rPr>
          <w:rFonts w:ascii="Times New Roman" w:hAnsi="Times New Roman" w:cs="Times New Roman"/>
          <w:sz w:val="20"/>
          <w:szCs w:val="20"/>
        </w:rPr>
      </w:pPr>
      <w:r w:rsidRPr="00633CCB">
        <w:rPr>
          <w:rFonts w:ascii="Times New Roman" w:hAnsi="Times New Roman" w:cs="Times New Roman"/>
          <w:sz w:val="20"/>
          <w:szCs w:val="20"/>
        </w:rPr>
        <w:t xml:space="preserve">                                 </w:t>
      </w:r>
      <w:r w:rsidR="00CD4423">
        <w:rPr>
          <w:rFonts w:ascii="Times New Roman" w:hAnsi="Times New Roman" w:cs="Times New Roman"/>
          <w:sz w:val="20"/>
          <w:szCs w:val="20"/>
        </w:rPr>
        <w:t xml:space="preserve"> </w:t>
      </w:r>
      <w:r w:rsidRPr="00633CCB">
        <w:rPr>
          <w:rFonts w:ascii="Times New Roman" w:hAnsi="Times New Roman" w:cs="Times New Roman"/>
          <w:sz w:val="20"/>
          <w:szCs w:val="20"/>
        </w:rPr>
        <w:t>Zdroj: Colné riaditeľstvo SR</w:t>
      </w:r>
    </w:p>
    <w:p w:rsidR="00A74F9A" w:rsidRPr="007A7D9D" w:rsidP="00A74F9A">
      <w:pPr>
        <w:pStyle w:val="Header"/>
        <w:tabs>
          <w:tab w:val="clear" w:pos="4536"/>
          <w:tab w:val="clear" w:pos="9072"/>
        </w:tabs>
        <w:ind w:firstLine="567"/>
        <w:jc w:val="both"/>
        <w:rPr>
          <w:rFonts w:ascii="Times New Roman" w:hAnsi="Times New Roman" w:cs="Times New Roman"/>
          <w:sz w:val="22"/>
          <w:szCs w:val="22"/>
        </w:rPr>
      </w:pPr>
    </w:p>
    <w:p w:rsidR="00A74F9A" w:rsidRPr="00EB6F17" w:rsidP="00A74F9A">
      <w:pPr>
        <w:pStyle w:val="Header"/>
        <w:tabs>
          <w:tab w:val="clear" w:pos="4536"/>
          <w:tab w:val="clear" w:pos="9072"/>
        </w:tabs>
        <w:spacing w:line="360" w:lineRule="auto"/>
        <w:ind w:firstLine="567"/>
        <w:jc w:val="both"/>
        <w:rPr>
          <w:rFonts w:ascii="Times New Roman" w:hAnsi="Times New Roman" w:cs="Times New Roman"/>
        </w:rPr>
      </w:pPr>
      <w:r w:rsidRPr="00EB6F17">
        <w:rPr>
          <w:rFonts w:ascii="Times New Roman" w:hAnsi="Times New Roman" w:cs="Times New Roman"/>
        </w:rPr>
        <w:t xml:space="preserve"> </w:t>
      </w:r>
      <w:r>
        <w:rPr>
          <w:rFonts w:ascii="Times New Roman" w:hAnsi="Times New Roman" w:cs="Times New Roman"/>
        </w:rPr>
        <w:t xml:space="preserve">V roku </w:t>
      </w:r>
      <w:r w:rsidRPr="00EB6F17">
        <w:rPr>
          <w:rFonts w:ascii="Times New Roman" w:hAnsi="Times New Roman" w:cs="Times New Roman"/>
        </w:rPr>
        <w:t xml:space="preserve">2006 vrátili </w:t>
      </w:r>
      <w:r>
        <w:rPr>
          <w:rFonts w:ascii="Times New Roman" w:hAnsi="Times New Roman" w:cs="Times New Roman"/>
        </w:rPr>
        <w:t>c</w:t>
      </w:r>
      <w:r w:rsidRPr="00EB6F17">
        <w:rPr>
          <w:rFonts w:ascii="Times New Roman" w:hAnsi="Times New Roman" w:cs="Times New Roman"/>
        </w:rPr>
        <w:t>olné orgány platby v celkovej výške 268</w:t>
      </w:r>
      <w:r>
        <w:rPr>
          <w:rFonts w:ascii="Times New Roman" w:hAnsi="Times New Roman" w:cs="Times New Roman"/>
        </w:rPr>
        <w:t>,9 mil.</w:t>
      </w:r>
      <w:r w:rsidRPr="00EB6F17">
        <w:rPr>
          <w:rFonts w:ascii="Times New Roman" w:hAnsi="Times New Roman" w:cs="Times New Roman"/>
        </w:rPr>
        <w:t xml:space="preserve"> Sk</w:t>
      </w:r>
      <w:r>
        <w:rPr>
          <w:rFonts w:ascii="Times New Roman" w:hAnsi="Times New Roman" w:cs="Times New Roman"/>
        </w:rPr>
        <w:t xml:space="preserve"> (v roku 2005: 430,1 mil. Sk), z toho v </w:t>
      </w:r>
      <w:r w:rsidRPr="00EB6F17">
        <w:rPr>
          <w:rFonts w:ascii="Times New Roman" w:hAnsi="Times New Roman" w:cs="Times New Roman"/>
        </w:rPr>
        <w:t>zmysle colných predpisov 188</w:t>
      </w:r>
      <w:r>
        <w:rPr>
          <w:rFonts w:ascii="Times New Roman" w:hAnsi="Times New Roman" w:cs="Times New Roman"/>
        </w:rPr>
        <w:t>,5 mil. Sk</w:t>
      </w:r>
      <w:r w:rsidRPr="00EB6F17">
        <w:rPr>
          <w:rFonts w:ascii="Times New Roman" w:hAnsi="Times New Roman" w:cs="Times New Roman"/>
        </w:rPr>
        <w:t xml:space="preserve"> a  v zmysle  daňových   predpisov 80</w:t>
      </w:r>
      <w:r>
        <w:rPr>
          <w:rFonts w:ascii="Times New Roman" w:hAnsi="Times New Roman" w:cs="Times New Roman"/>
        </w:rPr>
        <w:t>,4 mil.</w:t>
      </w:r>
      <w:r w:rsidRPr="00EB6F17">
        <w:rPr>
          <w:rFonts w:ascii="Times New Roman" w:hAnsi="Times New Roman" w:cs="Times New Roman"/>
        </w:rPr>
        <w:t xml:space="preserve"> Sk</w:t>
      </w:r>
      <w:r>
        <w:rPr>
          <w:rFonts w:ascii="Times New Roman" w:hAnsi="Times New Roman" w:cs="Times New Roman"/>
        </w:rPr>
        <w:t xml:space="preserve"> v nasledovnej štruktúre:</w:t>
      </w:r>
    </w:p>
    <w:p w:rsidR="00A74F9A" w:rsidRPr="007A7D9D" w:rsidP="00A74F9A">
      <w:pPr>
        <w:pStyle w:val="Header"/>
        <w:tabs>
          <w:tab w:val="clear" w:pos="4536"/>
          <w:tab w:val="clear" w:pos="9072"/>
        </w:tabs>
        <w:ind w:firstLine="567"/>
        <w:jc w:val="both"/>
        <w:rPr>
          <w:rFonts w:ascii="Times New Roman" w:hAnsi="Times New Roman" w:cs="Times New Roman"/>
          <w:sz w:val="22"/>
          <w:szCs w:val="22"/>
        </w:rPr>
      </w:pPr>
      <w:r w:rsidRPr="007A7D9D">
        <w:rPr>
          <w:rFonts w:ascii="Times New Roman" w:hAnsi="Times New Roman" w:cs="Times New Roman"/>
          <w:sz w:val="22"/>
          <w:szCs w:val="22"/>
        </w:rPr>
        <w:t xml:space="preserve">                                                                                                             </w:t>
      </w:r>
    </w:p>
    <w:tbl>
      <w:tblPr>
        <w:tblW w:w="0" w:type="auto"/>
        <w:tblInd w:w="2376"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Pr>
      <w:tblGrid>
        <w:gridCol w:w="2232"/>
        <w:gridCol w:w="2340"/>
      </w:tblGrid>
      <w:tr>
        <w:tblPrEx>
          <w:tblW w:w="0" w:type="auto"/>
          <w:tblInd w:w="2376"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PrEx>
        <w:trPr>
          <w:trHeight w:val="302"/>
        </w:trPr>
        <w:tc>
          <w:tcPr>
            <w:tcW w:w="2232"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A74F9A" w:rsidRPr="001B08E6" w:rsidP="001B08E6">
            <w:pPr>
              <w:pStyle w:val="Header"/>
              <w:tabs>
                <w:tab w:val="clear" w:pos="4536"/>
                <w:tab w:val="clear" w:pos="9072"/>
              </w:tabs>
              <w:jc w:val="center"/>
              <w:rPr>
                <w:rFonts w:ascii="Times New Roman" w:hAnsi="Times New Roman" w:cs="Times New Roman"/>
                <w:b/>
                <w:sz w:val="20"/>
                <w:szCs w:val="20"/>
              </w:rPr>
            </w:pPr>
            <w:r w:rsidRPr="001B08E6">
              <w:rPr>
                <w:rFonts w:ascii="Times New Roman" w:hAnsi="Times New Roman" w:cs="Times New Roman"/>
                <w:b/>
                <w:sz w:val="20"/>
                <w:szCs w:val="20"/>
              </w:rPr>
              <w:t>Druh príjmu</w:t>
            </w:r>
          </w:p>
        </w:tc>
        <w:tc>
          <w:tcPr>
            <w:tcW w:w="2340"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A74F9A" w:rsidRPr="001B08E6" w:rsidP="001B08E6">
            <w:pPr>
              <w:pStyle w:val="Header"/>
              <w:tabs>
                <w:tab w:val="clear" w:pos="4536"/>
                <w:tab w:val="clear" w:pos="9072"/>
              </w:tabs>
              <w:jc w:val="center"/>
              <w:rPr>
                <w:rFonts w:ascii="Times New Roman" w:hAnsi="Times New Roman" w:cs="Times New Roman"/>
                <w:b/>
                <w:sz w:val="20"/>
                <w:szCs w:val="20"/>
              </w:rPr>
            </w:pPr>
            <w:r w:rsidR="001B08E6">
              <w:rPr>
                <w:rFonts w:ascii="Times New Roman" w:hAnsi="Times New Roman" w:cs="Times New Roman"/>
                <w:b/>
                <w:sz w:val="20"/>
                <w:szCs w:val="20"/>
              </w:rPr>
              <w:t xml:space="preserve">Vrátená platba </w:t>
            </w:r>
            <w:r w:rsidRPr="001B08E6">
              <w:rPr>
                <w:rFonts w:ascii="Times New Roman" w:hAnsi="Times New Roman" w:cs="Times New Roman"/>
                <w:b/>
                <w:sz w:val="20"/>
                <w:szCs w:val="20"/>
              </w:rPr>
              <w:t>v Sk</w:t>
            </w:r>
          </w:p>
        </w:tc>
      </w:tr>
      <w:tr>
        <w:tblPrEx>
          <w:tblW w:w="0" w:type="auto"/>
          <w:tblInd w:w="2376" w:type="dxa"/>
        </w:tblPrEx>
        <w:trPr>
          <w:trHeight w:hRule="exact" w:val="340"/>
        </w:trPr>
        <w:tc>
          <w:tcPr>
            <w:tcW w:w="223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A74F9A" w:rsidRPr="001B08E6" w:rsidP="00A74F9A">
            <w:pPr>
              <w:pStyle w:val="Header"/>
              <w:tabs>
                <w:tab w:val="clear" w:pos="4536"/>
                <w:tab w:val="clear" w:pos="9072"/>
              </w:tabs>
              <w:rPr>
                <w:rFonts w:ascii="Times New Roman" w:hAnsi="Times New Roman" w:cs="Times New Roman"/>
                <w:sz w:val="20"/>
                <w:szCs w:val="20"/>
              </w:rPr>
            </w:pPr>
            <w:r w:rsidRPr="001B08E6">
              <w:rPr>
                <w:rFonts w:ascii="Times New Roman" w:hAnsi="Times New Roman" w:cs="Times New Roman"/>
                <w:sz w:val="20"/>
                <w:szCs w:val="20"/>
              </w:rPr>
              <w:t>Clo</w:t>
            </w:r>
          </w:p>
        </w:tc>
        <w:tc>
          <w:tcPr>
            <w:tcW w:w="234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A74F9A" w:rsidRPr="001B08E6" w:rsidP="00A74F9A">
            <w:pPr>
              <w:pStyle w:val="Header"/>
              <w:tabs>
                <w:tab w:val="clear" w:pos="4536"/>
                <w:tab w:val="clear" w:pos="9072"/>
              </w:tabs>
              <w:jc w:val="right"/>
              <w:rPr>
                <w:rFonts w:ascii="Times New Roman" w:hAnsi="Times New Roman" w:cs="Times New Roman"/>
                <w:sz w:val="20"/>
                <w:szCs w:val="20"/>
              </w:rPr>
            </w:pPr>
            <w:r w:rsidRPr="001B08E6">
              <w:rPr>
                <w:rFonts w:ascii="Times New Roman" w:hAnsi="Times New Roman" w:cs="Times New Roman"/>
                <w:sz w:val="20"/>
                <w:szCs w:val="20"/>
              </w:rPr>
              <w:t>185 273 559</w:t>
            </w:r>
          </w:p>
        </w:tc>
      </w:tr>
      <w:tr>
        <w:tblPrEx>
          <w:tblW w:w="0" w:type="auto"/>
          <w:tblInd w:w="2376" w:type="dxa"/>
        </w:tblPrEx>
        <w:trPr>
          <w:trHeight w:hRule="exact" w:val="340"/>
        </w:trPr>
        <w:tc>
          <w:tcPr>
            <w:tcW w:w="223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A74F9A" w:rsidRPr="001B08E6" w:rsidP="00A74F9A">
            <w:pPr>
              <w:pStyle w:val="Header"/>
              <w:tabs>
                <w:tab w:val="clear" w:pos="4536"/>
                <w:tab w:val="clear" w:pos="9072"/>
              </w:tabs>
              <w:rPr>
                <w:rFonts w:ascii="Times New Roman" w:hAnsi="Times New Roman" w:cs="Times New Roman"/>
                <w:sz w:val="20"/>
                <w:szCs w:val="20"/>
              </w:rPr>
            </w:pPr>
            <w:r w:rsidRPr="001B08E6">
              <w:rPr>
                <w:rFonts w:ascii="Times New Roman" w:hAnsi="Times New Roman" w:cs="Times New Roman"/>
                <w:sz w:val="20"/>
                <w:szCs w:val="20"/>
              </w:rPr>
              <w:t>Spotrebné dane</w:t>
            </w:r>
          </w:p>
        </w:tc>
        <w:tc>
          <w:tcPr>
            <w:tcW w:w="234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A74F9A" w:rsidRPr="001B08E6" w:rsidP="00A74F9A">
            <w:pPr>
              <w:pStyle w:val="Header"/>
              <w:tabs>
                <w:tab w:val="clear" w:pos="4536"/>
                <w:tab w:val="clear" w:pos="9072"/>
              </w:tabs>
              <w:jc w:val="right"/>
              <w:rPr>
                <w:rFonts w:ascii="Times New Roman" w:hAnsi="Times New Roman" w:cs="Times New Roman"/>
                <w:sz w:val="20"/>
                <w:szCs w:val="20"/>
              </w:rPr>
            </w:pPr>
            <w:r w:rsidRPr="001B08E6">
              <w:rPr>
                <w:rFonts w:ascii="Times New Roman" w:hAnsi="Times New Roman" w:cs="Times New Roman"/>
                <w:sz w:val="20"/>
                <w:szCs w:val="20"/>
              </w:rPr>
              <w:t>80 298 592</w:t>
            </w:r>
          </w:p>
        </w:tc>
      </w:tr>
      <w:tr>
        <w:tblPrEx>
          <w:tblW w:w="0" w:type="auto"/>
          <w:tblInd w:w="2376" w:type="dxa"/>
        </w:tblPrEx>
        <w:trPr>
          <w:trHeight w:hRule="exact" w:val="340"/>
        </w:trPr>
        <w:tc>
          <w:tcPr>
            <w:tcW w:w="223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A74F9A" w:rsidRPr="001B08E6" w:rsidP="00A74F9A">
            <w:pPr>
              <w:pStyle w:val="Header"/>
              <w:tabs>
                <w:tab w:val="clear" w:pos="4536"/>
                <w:tab w:val="clear" w:pos="9072"/>
              </w:tabs>
              <w:rPr>
                <w:rFonts w:ascii="Times New Roman" w:hAnsi="Times New Roman" w:cs="Times New Roman"/>
                <w:sz w:val="20"/>
                <w:szCs w:val="20"/>
              </w:rPr>
            </w:pPr>
            <w:r w:rsidRPr="001B08E6">
              <w:rPr>
                <w:rFonts w:ascii="Times New Roman" w:hAnsi="Times New Roman" w:cs="Times New Roman"/>
                <w:sz w:val="20"/>
                <w:szCs w:val="20"/>
              </w:rPr>
              <w:t>Dovozná prirážka</w:t>
            </w:r>
          </w:p>
        </w:tc>
        <w:tc>
          <w:tcPr>
            <w:tcW w:w="234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A74F9A" w:rsidRPr="001B08E6" w:rsidP="00A74F9A">
            <w:pPr>
              <w:pStyle w:val="Header"/>
              <w:tabs>
                <w:tab w:val="clear" w:pos="4536"/>
                <w:tab w:val="clear" w:pos="9072"/>
              </w:tabs>
              <w:jc w:val="right"/>
              <w:rPr>
                <w:rFonts w:ascii="Times New Roman" w:hAnsi="Times New Roman" w:cs="Times New Roman"/>
                <w:sz w:val="20"/>
                <w:szCs w:val="20"/>
              </w:rPr>
            </w:pPr>
            <w:r w:rsidRPr="001B08E6">
              <w:rPr>
                <w:rFonts w:ascii="Times New Roman" w:hAnsi="Times New Roman" w:cs="Times New Roman"/>
                <w:sz w:val="20"/>
                <w:szCs w:val="20"/>
              </w:rPr>
              <w:t>577</w:t>
            </w:r>
          </w:p>
        </w:tc>
      </w:tr>
      <w:tr>
        <w:tblPrEx>
          <w:tblW w:w="0" w:type="auto"/>
          <w:tblInd w:w="2376" w:type="dxa"/>
        </w:tblPrEx>
        <w:trPr>
          <w:trHeight w:hRule="exact" w:val="340"/>
        </w:trPr>
        <w:tc>
          <w:tcPr>
            <w:tcW w:w="223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A74F9A" w:rsidRPr="001B08E6" w:rsidP="00A74F9A">
            <w:pPr>
              <w:pStyle w:val="Header"/>
              <w:tabs>
                <w:tab w:val="clear" w:pos="4536"/>
                <w:tab w:val="clear" w:pos="9072"/>
              </w:tabs>
              <w:rPr>
                <w:rFonts w:ascii="Times New Roman" w:hAnsi="Times New Roman" w:cs="Times New Roman"/>
                <w:sz w:val="20"/>
                <w:szCs w:val="20"/>
              </w:rPr>
            </w:pPr>
            <w:r w:rsidRPr="001B08E6">
              <w:rPr>
                <w:rFonts w:ascii="Times New Roman" w:hAnsi="Times New Roman" w:cs="Times New Roman"/>
                <w:sz w:val="20"/>
                <w:szCs w:val="20"/>
              </w:rPr>
              <w:t>Daň z pridanej hodnoty</w:t>
            </w:r>
          </w:p>
        </w:tc>
        <w:tc>
          <w:tcPr>
            <w:tcW w:w="234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A74F9A" w:rsidRPr="001B08E6" w:rsidP="00A74F9A">
            <w:pPr>
              <w:pStyle w:val="Header"/>
              <w:tabs>
                <w:tab w:val="clear" w:pos="4536"/>
                <w:tab w:val="clear" w:pos="9072"/>
              </w:tabs>
              <w:jc w:val="right"/>
              <w:rPr>
                <w:rFonts w:ascii="Times New Roman" w:hAnsi="Times New Roman" w:cs="Times New Roman"/>
                <w:sz w:val="20"/>
                <w:szCs w:val="20"/>
              </w:rPr>
            </w:pPr>
            <w:r w:rsidRPr="001B08E6">
              <w:rPr>
                <w:rFonts w:ascii="Times New Roman" w:hAnsi="Times New Roman" w:cs="Times New Roman"/>
                <w:sz w:val="20"/>
                <w:szCs w:val="20"/>
              </w:rPr>
              <w:t>3 141 263</w:t>
            </w:r>
          </w:p>
        </w:tc>
      </w:tr>
      <w:tr>
        <w:tblPrEx>
          <w:tblW w:w="0" w:type="auto"/>
          <w:tblInd w:w="2376" w:type="dxa"/>
        </w:tblPrEx>
        <w:trPr>
          <w:trHeight w:hRule="exact" w:val="340"/>
        </w:trPr>
        <w:tc>
          <w:tcPr>
            <w:tcW w:w="223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A74F9A" w:rsidRPr="001B08E6" w:rsidP="00A74F9A">
            <w:pPr>
              <w:pStyle w:val="Header"/>
              <w:tabs>
                <w:tab w:val="clear" w:pos="4536"/>
                <w:tab w:val="clear" w:pos="9072"/>
              </w:tabs>
              <w:rPr>
                <w:rFonts w:ascii="Times New Roman" w:hAnsi="Times New Roman" w:cs="Times New Roman"/>
                <w:sz w:val="20"/>
                <w:szCs w:val="20"/>
              </w:rPr>
            </w:pPr>
            <w:r w:rsidRPr="001B08E6">
              <w:rPr>
                <w:rFonts w:ascii="Times New Roman" w:hAnsi="Times New Roman" w:cs="Times New Roman"/>
                <w:sz w:val="20"/>
                <w:szCs w:val="20"/>
              </w:rPr>
              <w:t>Iné (úroky, sankcie)</w:t>
            </w:r>
          </w:p>
        </w:tc>
        <w:tc>
          <w:tcPr>
            <w:tcW w:w="2340"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A74F9A" w:rsidRPr="001B08E6" w:rsidP="00A74F9A">
            <w:pPr>
              <w:pStyle w:val="Header"/>
              <w:tabs>
                <w:tab w:val="clear" w:pos="4536"/>
                <w:tab w:val="clear" w:pos="9072"/>
              </w:tabs>
              <w:jc w:val="right"/>
              <w:rPr>
                <w:rFonts w:ascii="Times New Roman" w:hAnsi="Times New Roman" w:cs="Times New Roman"/>
                <w:sz w:val="20"/>
                <w:szCs w:val="20"/>
              </w:rPr>
            </w:pPr>
            <w:r w:rsidRPr="001B08E6">
              <w:rPr>
                <w:rFonts w:ascii="Times New Roman" w:hAnsi="Times New Roman" w:cs="Times New Roman"/>
                <w:sz w:val="20"/>
                <w:szCs w:val="20"/>
              </w:rPr>
              <w:t>139 939</w:t>
            </w:r>
          </w:p>
        </w:tc>
      </w:tr>
      <w:tr>
        <w:tblPrEx>
          <w:tblW w:w="0" w:type="auto"/>
          <w:tblInd w:w="2376" w:type="dxa"/>
        </w:tblPrEx>
        <w:trPr>
          <w:trHeight w:hRule="exact" w:val="340"/>
        </w:trPr>
        <w:tc>
          <w:tcPr>
            <w:tcW w:w="2232" w:type="dxa"/>
            <w:tcBorders>
              <w:top w:val="single" w:sz="4" w:space="0" w:color="auto"/>
              <w:left w:val="single" w:sz="8" w:space="0" w:color="auto"/>
              <w:bottom w:val="double" w:sz="6" w:space="0" w:color="auto"/>
              <w:right w:val="single" w:sz="4" w:space="0" w:color="auto"/>
              <w:tl2br w:val="nil"/>
              <w:tr2bl w:val="nil"/>
            </w:tcBorders>
            <w:textDirection w:val="lrTb"/>
            <w:vAlign w:val="center"/>
          </w:tcPr>
          <w:p w:rsidR="00A74F9A" w:rsidRPr="001B08E6" w:rsidP="00A74F9A">
            <w:pPr>
              <w:pStyle w:val="Header"/>
              <w:tabs>
                <w:tab w:val="clear" w:pos="4536"/>
                <w:tab w:val="clear" w:pos="9072"/>
              </w:tabs>
              <w:rPr>
                <w:rFonts w:ascii="Times New Roman" w:hAnsi="Times New Roman" w:cs="Times New Roman"/>
                <w:b/>
                <w:sz w:val="20"/>
                <w:szCs w:val="20"/>
              </w:rPr>
            </w:pPr>
            <w:r w:rsidRPr="001B08E6">
              <w:rPr>
                <w:rFonts w:ascii="Times New Roman" w:hAnsi="Times New Roman" w:cs="Times New Roman"/>
                <w:b/>
                <w:sz w:val="20"/>
                <w:szCs w:val="20"/>
              </w:rPr>
              <w:t>SPOLU</w:t>
            </w:r>
          </w:p>
        </w:tc>
        <w:tc>
          <w:tcPr>
            <w:tcW w:w="2340" w:type="dxa"/>
            <w:tcBorders>
              <w:top w:val="single" w:sz="4" w:space="0" w:color="auto"/>
              <w:left w:val="single" w:sz="4" w:space="0" w:color="auto"/>
              <w:bottom w:val="double" w:sz="6" w:space="0" w:color="auto"/>
              <w:right w:val="single" w:sz="8" w:space="0" w:color="auto"/>
              <w:tl2br w:val="nil"/>
              <w:tr2bl w:val="nil"/>
            </w:tcBorders>
            <w:textDirection w:val="lrTb"/>
            <w:vAlign w:val="center"/>
          </w:tcPr>
          <w:p w:rsidR="00A74F9A" w:rsidRPr="001B08E6" w:rsidP="00A74F9A">
            <w:pPr>
              <w:pStyle w:val="Header"/>
              <w:tabs>
                <w:tab w:val="clear" w:pos="4536"/>
                <w:tab w:val="clear" w:pos="9072"/>
              </w:tabs>
              <w:jc w:val="right"/>
              <w:rPr>
                <w:rFonts w:ascii="Times New Roman" w:hAnsi="Times New Roman" w:cs="Times New Roman"/>
                <w:b/>
                <w:sz w:val="20"/>
                <w:szCs w:val="20"/>
              </w:rPr>
            </w:pPr>
            <w:r w:rsidRPr="001B08E6">
              <w:rPr>
                <w:rFonts w:ascii="Times New Roman" w:hAnsi="Times New Roman" w:cs="Times New Roman"/>
                <w:b/>
                <w:sz w:val="20"/>
                <w:szCs w:val="20"/>
              </w:rPr>
              <w:t>268 853 930</w:t>
            </w:r>
          </w:p>
        </w:tc>
      </w:tr>
    </w:tbl>
    <w:p w:rsidR="00A74F9A" w:rsidRPr="00633CCB" w:rsidP="00A74F9A">
      <w:pPr>
        <w:pStyle w:val="Header"/>
        <w:tabs>
          <w:tab w:val="clear" w:pos="4536"/>
          <w:tab w:val="clear" w:pos="9072"/>
        </w:tabs>
        <w:spacing w:before="120"/>
        <w:ind w:firstLine="567"/>
        <w:jc w:val="both"/>
        <w:rPr>
          <w:rFonts w:ascii="Times New Roman" w:hAnsi="Times New Roman" w:cs="Times New Roman"/>
          <w:sz w:val="20"/>
          <w:szCs w:val="20"/>
        </w:rPr>
      </w:pPr>
      <w:r w:rsidRPr="00633CCB">
        <w:rPr>
          <w:rFonts w:ascii="Times New Roman" w:hAnsi="Times New Roman" w:cs="Times New Roman"/>
          <w:sz w:val="20"/>
          <w:szCs w:val="20"/>
        </w:rPr>
        <w:t xml:space="preserve">                                 </w:t>
      </w:r>
      <w:r w:rsidR="00CD4423">
        <w:rPr>
          <w:rFonts w:ascii="Times New Roman" w:hAnsi="Times New Roman" w:cs="Times New Roman"/>
          <w:sz w:val="20"/>
          <w:szCs w:val="20"/>
        </w:rPr>
        <w:t xml:space="preserve"> </w:t>
      </w:r>
      <w:r w:rsidRPr="00633CCB">
        <w:rPr>
          <w:rFonts w:ascii="Times New Roman" w:hAnsi="Times New Roman" w:cs="Times New Roman"/>
          <w:sz w:val="20"/>
          <w:szCs w:val="20"/>
        </w:rPr>
        <w:t>Zdroj: Colné riaditeľstvo SR</w:t>
      </w:r>
    </w:p>
    <w:p w:rsidR="00A74F9A" w:rsidRPr="007A7D9D" w:rsidP="00A74F9A">
      <w:pPr>
        <w:jc w:val="both"/>
        <w:rPr>
          <w:rFonts w:ascii="Times New Roman" w:hAnsi="Times New Roman" w:cs="Times New Roman"/>
          <w:b/>
        </w:rPr>
      </w:pPr>
    </w:p>
    <w:p w:rsidR="00A74F9A" w:rsidP="00A74F9A">
      <w:pPr>
        <w:jc w:val="both"/>
        <w:rPr>
          <w:rFonts w:ascii="Times New Roman" w:hAnsi="Times New Roman" w:cs="Times New Roman"/>
          <w:b/>
        </w:rPr>
      </w:pPr>
    </w:p>
    <w:p w:rsidR="00A74F9A" w:rsidP="00A74F9A">
      <w:pPr>
        <w:jc w:val="both"/>
        <w:rPr>
          <w:rFonts w:ascii="Times New Roman" w:hAnsi="Times New Roman" w:cs="Times New Roman"/>
          <w:b/>
        </w:rPr>
      </w:pPr>
    </w:p>
    <w:p w:rsidR="00A74F9A" w:rsidP="00A74F9A">
      <w:pPr>
        <w:jc w:val="both"/>
        <w:rPr>
          <w:rFonts w:ascii="Times New Roman" w:hAnsi="Times New Roman" w:cs="Times New Roman"/>
          <w:b/>
        </w:rPr>
      </w:pPr>
    </w:p>
    <w:p w:rsidR="00A74F9A" w:rsidP="00A74F9A">
      <w:pPr>
        <w:jc w:val="both"/>
        <w:rPr>
          <w:rFonts w:ascii="Times New Roman" w:hAnsi="Times New Roman" w:cs="Times New Roman"/>
          <w:b/>
        </w:rPr>
      </w:pPr>
    </w:p>
    <w:p w:rsidR="00A74F9A" w:rsidP="00A74F9A">
      <w:pPr>
        <w:jc w:val="both"/>
        <w:rPr>
          <w:rFonts w:ascii="Times New Roman" w:hAnsi="Times New Roman" w:cs="Times New Roman"/>
          <w:b/>
        </w:rPr>
      </w:pPr>
    </w:p>
    <w:p w:rsidR="00A74F9A" w:rsidP="00A74F9A">
      <w:pPr>
        <w:jc w:val="both"/>
        <w:rPr>
          <w:rFonts w:ascii="Times New Roman" w:hAnsi="Times New Roman" w:cs="Times New Roman"/>
          <w:b/>
        </w:rPr>
      </w:pPr>
    </w:p>
    <w:p w:rsidR="00A74F9A" w:rsidP="00A74F9A">
      <w:pPr>
        <w:spacing w:after="120"/>
        <w:ind w:firstLine="709"/>
        <w:rPr>
          <w:rFonts w:ascii="Times New Roman" w:hAnsi="Times New Roman" w:cs="Times New Roman"/>
        </w:rPr>
      </w:pPr>
    </w:p>
    <w:p w:rsidR="00B534F8" w:rsidP="00B534F8">
      <w:pPr>
        <w:spacing w:before="120"/>
        <w:rPr>
          <w:rFonts w:ascii="Times New Roman" w:hAnsi="Times New Roman" w:cs="Times New Roman"/>
          <w:b/>
        </w:rPr>
      </w:pPr>
    </w:p>
    <w:p w:rsidR="001B08E6" w:rsidP="00B534F8">
      <w:pPr>
        <w:spacing w:before="120"/>
        <w:rPr>
          <w:rFonts w:ascii="Times New Roman" w:hAnsi="Times New Roman" w:cs="Times New Roman"/>
          <w:b/>
        </w:rPr>
      </w:pPr>
    </w:p>
    <w:p w:rsidR="00B534F8" w:rsidRPr="00823F3C" w:rsidP="00B534F8">
      <w:pPr>
        <w:spacing w:line="360" w:lineRule="auto"/>
        <w:rPr>
          <w:rFonts w:ascii="Courier New" w:hAnsi="Courier New" w:cs="Courier New"/>
          <w:b/>
          <w:sz w:val="22"/>
          <w:szCs w:val="22"/>
        </w:rPr>
      </w:pPr>
    </w:p>
    <w:p w:rsidR="00CE270A" w:rsidP="00CE270A">
      <w:pPr>
        <w:pStyle w:val="BodyTextIndent"/>
        <w:jc w:val="center"/>
        <w:rPr>
          <w:rFonts w:ascii="Times New Roman" w:hAnsi="Times New Roman" w:cs="Times New Roman"/>
          <w:b/>
        </w:rPr>
      </w:pPr>
      <w:r w:rsidR="00644DA1">
        <w:rPr>
          <w:rFonts w:ascii="Times New Roman" w:hAnsi="Times New Roman" w:cs="Times New Roman"/>
          <w:b/>
          <w:bCs/>
        </w:rPr>
        <w:t>6</w:t>
      </w:r>
      <w:r w:rsidRPr="00D90750">
        <w:rPr>
          <w:rFonts w:ascii="Times New Roman" w:hAnsi="Times New Roman" w:cs="Times New Roman"/>
          <w:b/>
          <w:bCs/>
        </w:rPr>
        <w:t xml:space="preserve">. </w:t>
      </w:r>
      <w:r w:rsidRPr="00D90750">
        <w:rPr>
          <w:rFonts w:ascii="Times New Roman" w:hAnsi="Times New Roman" w:cs="Times New Roman"/>
          <w:b/>
        </w:rPr>
        <w:t xml:space="preserve">Prehľad o stave daňových </w:t>
      </w:r>
      <w:r>
        <w:rPr>
          <w:rFonts w:ascii="Times New Roman" w:hAnsi="Times New Roman" w:cs="Times New Roman"/>
          <w:b/>
        </w:rPr>
        <w:t>a colných pohľadávok</w:t>
      </w:r>
    </w:p>
    <w:p w:rsidR="00CE270A" w:rsidP="00CE270A">
      <w:pPr>
        <w:jc w:val="center"/>
        <w:rPr>
          <w:rFonts w:ascii="Times New Roman" w:hAnsi="Times New Roman" w:cs="Times New Roman"/>
          <w:b/>
        </w:rPr>
      </w:pPr>
      <w:r w:rsidR="00644DA1">
        <w:rPr>
          <w:rFonts w:ascii="Times New Roman" w:hAnsi="Times New Roman" w:cs="Times New Roman"/>
          <w:b/>
        </w:rPr>
        <w:t>6</w:t>
      </w:r>
      <w:r>
        <w:rPr>
          <w:rFonts w:ascii="Times New Roman" w:hAnsi="Times New Roman" w:cs="Times New Roman"/>
          <w:b/>
        </w:rPr>
        <w:t>.1. D</w:t>
      </w:r>
      <w:r w:rsidRPr="00D90750">
        <w:rPr>
          <w:rFonts w:ascii="Times New Roman" w:hAnsi="Times New Roman" w:cs="Times New Roman"/>
          <w:b/>
        </w:rPr>
        <w:t>aňové pohľadávky</w:t>
      </w:r>
    </w:p>
    <w:p w:rsidR="00CE270A" w:rsidP="00CE270A">
      <w:pPr>
        <w:ind w:left="2" w:firstLine="1"/>
        <w:jc w:val="both"/>
        <w:rPr>
          <w:rFonts w:ascii="Times New Roman" w:hAnsi="Times New Roman" w:cs="Times New Roman"/>
          <w:bCs/>
          <w:color w:val="FF6600"/>
        </w:rPr>
      </w:pPr>
      <w:r>
        <w:rPr>
          <w:rFonts w:ascii="Times New Roman" w:hAnsi="Times New Roman" w:cs="Times New Roman"/>
          <w:bCs/>
          <w:color w:val="FF6600"/>
        </w:rPr>
        <w:t xml:space="preserve">          </w:t>
      </w:r>
    </w:p>
    <w:p w:rsidR="00CE270A" w:rsidP="00C621C0">
      <w:pPr>
        <w:pStyle w:val="BodyTextIndent"/>
        <w:spacing w:line="360" w:lineRule="auto"/>
        <w:ind w:left="0" w:firstLine="709"/>
        <w:jc w:val="both"/>
        <w:rPr>
          <w:rFonts w:ascii="Times New Roman" w:hAnsi="Times New Roman" w:cs="Times New Roman"/>
        </w:rPr>
      </w:pPr>
      <w:r>
        <w:rPr>
          <w:rFonts w:ascii="Times New Roman" w:hAnsi="Times New Roman" w:cs="Times New Roman"/>
        </w:rPr>
        <w:t>Daňová správa vedie na základe dohody uzavretej medzi Ministerstvom financií SR a Daňovým riaditeľstvom SR v zmysle § 5 zákona č. 431/2002 Z.</w:t>
      </w:r>
      <w:r w:rsidR="00E20306">
        <w:rPr>
          <w:rFonts w:ascii="Times New Roman" w:hAnsi="Times New Roman" w:cs="Times New Roman"/>
        </w:rPr>
        <w:t xml:space="preserve"> </w:t>
      </w:r>
      <w:r>
        <w:rPr>
          <w:rFonts w:ascii="Times New Roman" w:hAnsi="Times New Roman" w:cs="Times New Roman"/>
        </w:rPr>
        <w:t>z. o účtovníctve v znení neskorších predpisov účtovníctvo pohľadávok, záväzkov a príjmov štátneho rozpočtu v pôsobnosti daňových orgánov rozpočtovaných v kapitole Všeobecná pokladničná správa.</w:t>
      </w:r>
    </w:p>
    <w:p w:rsidR="00CE270A" w:rsidP="00B81FCD">
      <w:pPr>
        <w:spacing w:after="120" w:line="360" w:lineRule="auto"/>
        <w:ind w:firstLine="708"/>
        <w:jc w:val="both"/>
        <w:rPr>
          <w:rFonts w:ascii="Times New Roman" w:hAnsi="Times New Roman" w:cs="Times New Roman"/>
        </w:rPr>
      </w:pPr>
      <w:r>
        <w:rPr>
          <w:rFonts w:ascii="Times New Roman" w:hAnsi="Times New Roman" w:cs="Times New Roman"/>
        </w:rPr>
        <w:t>Daňová správa účtuje v zmysle zákona č. 431/2002 Z.</w:t>
      </w:r>
      <w:r w:rsidR="00E20306">
        <w:rPr>
          <w:rFonts w:ascii="Times New Roman" w:hAnsi="Times New Roman" w:cs="Times New Roman"/>
        </w:rPr>
        <w:t xml:space="preserve"> </w:t>
      </w:r>
      <w:r>
        <w:rPr>
          <w:rFonts w:ascii="Times New Roman" w:hAnsi="Times New Roman" w:cs="Times New Roman"/>
        </w:rPr>
        <w:t>z. o účtovníctve v znení neskorších predpisov v sústave podvojného účtovníctva a rozpočtovú klasifikáciu uplatňuje    v súlade s platným opatrením vydaným Ministerstvom financií SR, ktorým sa ustanovuje druhová klasifikácia, organizačná klasifikácia a ekonomická klasifikácia rozpočtovej klasifikácie.</w:t>
      </w:r>
    </w:p>
    <w:tbl>
      <w:tblPr>
        <w:tblpPr w:leftFromText="141" w:rightFromText="141" w:vertAnchor="text" w:horzAnchor="margin" w:tblpXSpec="center" w:tblpY="2289"/>
        <w:tblW w:w="7848"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Pr>
      <w:tblGrid>
        <w:gridCol w:w="3842"/>
        <w:gridCol w:w="1384"/>
        <w:gridCol w:w="1324"/>
        <w:gridCol w:w="1298"/>
      </w:tblGrid>
      <w:tr>
        <w:tblPrEx>
          <w:tblW w:w="7848"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PrEx>
        <w:trPr>
          <w:trHeight w:hRule="auto" w:val="0"/>
        </w:trPr>
        <w:tc>
          <w:tcPr>
            <w:tcW w:w="3842" w:type="dxa"/>
            <w:tcBorders>
              <w:top w:val="single" w:sz="8" w:space="0" w:color="auto"/>
              <w:left w:val="single" w:sz="8" w:space="0" w:color="auto"/>
              <w:bottom w:val="single" w:sz="4" w:space="0" w:color="auto"/>
              <w:right w:val="single" w:sz="4" w:space="0" w:color="auto"/>
              <w:tl2br w:val="nil"/>
              <w:tr2bl w:val="nil"/>
            </w:tcBorders>
            <w:textDirection w:val="lrTb"/>
            <w:vAlign w:val="top"/>
          </w:tcPr>
          <w:p w:rsidR="00C621C0" w:rsidRPr="00D90750" w:rsidP="00C621C0">
            <w:pPr>
              <w:rPr>
                <w:rFonts w:ascii="Times New Roman" w:hAnsi="Times New Roman" w:cs="Times New Roman"/>
                <w:b/>
                <w:i/>
                <w:sz w:val="22"/>
                <w:szCs w:val="22"/>
              </w:rPr>
            </w:pPr>
          </w:p>
        </w:tc>
        <w:tc>
          <w:tcPr>
            <w:tcW w:w="1384" w:type="dxa"/>
            <w:tcBorders>
              <w:top w:val="single" w:sz="8" w:space="0" w:color="auto"/>
              <w:left w:val="single" w:sz="4" w:space="0" w:color="auto"/>
              <w:bottom w:val="single" w:sz="4" w:space="0" w:color="auto"/>
              <w:right w:val="single" w:sz="4" w:space="0" w:color="auto"/>
              <w:tl2br w:val="nil"/>
              <w:tr2bl w:val="nil"/>
            </w:tcBorders>
            <w:textDirection w:val="lrTb"/>
            <w:vAlign w:val="top"/>
          </w:tcPr>
          <w:p w:rsidR="00C621C0" w:rsidRPr="00BA5AD4" w:rsidP="00C621C0">
            <w:pPr>
              <w:jc w:val="center"/>
              <w:rPr>
                <w:rFonts w:ascii="Times New Roman" w:hAnsi="Times New Roman" w:cs="Times New Roman"/>
                <w:b/>
                <w:sz w:val="20"/>
                <w:szCs w:val="20"/>
              </w:rPr>
            </w:pPr>
            <w:r w:rsidRPr="00BA5AD4">
              <w:rPr>
                <w:rFonts w:ascii="Times New Roman" w:hAnsi="Times New Roman" w:cs="Times New Roman"/>
                <w:b/>
                <w:sz w:val="20"/>
                <w:szCs w:val="20"/>
              </w:rPr>
              <w:t>Stav k 31.12.2005</w:t>
            </w:r>
          </w:p>
        </w:tc>
        <w:tc>
          <w:tcPr>
            <w:tcW w:w="1324" w:type="dxa"/>
            <w:tcBorders>
              <w:top w:val="single" w:sz="8" w:space="0" w:color="auto"/>
              <w:left w:val="single" w:sz="4" w:space="0" w:color="auto"/>
              <w:bottom w:val="single" w:sz="4" w:space="0" w:color="auto"/>
              <w:right w:val="single" w:sz="4" w:space="0" w:color="auto"/>
              <w:tl2br w:val="nil"/>
              <w:tr2bl w:val="nil"/>
            </w:tcBorders>
            <w:textDirection w:val="lrTb"/>
            <w:vAlign w:val="top"/>
          </w:tcPr>
          <w:p w:rsidR="00C621C0" w:rsidRPr="00BA5AD4" w:rsidP="00C621C0">
            <w:pPr>
              <w:jc w:val="center"/>
              <w:rPr>
                <w:rFonts w:ascii="Times New Roman" w:hAnsi="Times New Roman" w:cs="Times New Roman"/>
                <w:b/>
                <w:sz w:val="20"/>
                <w:szCs w:val="20"/>
              </w:rPr>
            </w:pPr>
            <w:r w:rsidRPr="00BA5AD4">
              <w:rPr>
                <w:rFonts w:ascii="Times New Roman" w:hAnsi="Times New Roman" w:cs="Times New Roman"/>
                <w:b/>
                <w:sz w:val="20"/>
                <w:szCs w:val="20"/>
              </w:rPr>
              <w:t>Stav k</w:t>
            </w:r>
            <w:r w:rsidR="00AD263C">
              <w:rPr>
                <w:rFonts w:ascii="Times New Roman" w:hAnsi="Times New Roman" w:cs="Times New Roman"/>
                <w:b/>
                <w:sz w:val="20"/>
                <w:szCs w:val="20"/>
              </w:rPr>
              <w:t> </w:t>
            </w:r>
            <w:r w:rsidRPr="00BA5AD4">
              <w:rPr>
                <w:rFonts w:ascii="Times New Roman" w:hAnsi="Times New Roman" w:cs="Times New Roman"/>
                <w:b/>
                <w:sz w:val="20"/>
                <w:szCs w:val="20"/>
              </w:rPr>
              <w:t>31.12.2006</w:t>
            </w:r>
          </w:p>
        </w:tc>
        <w:tc>
          <w:tcPr>
            <w:tcW w:w="1298" w:type="dxa"/>
            <w:tcBorders>
              <w:top w:val="single" w:sz="8" w:space="0" w:color="auto"/>
              <w:left w:val="single" w:sz="4" w:space="0" w:color="auto"/>
              <w:bottom w:val="single" w:sz="4" w:space="0" w:color="auto"/>
              <w:right w:val="single" w:sz="8" w:space="0" w:color="auto"/>
              <w:tl2br w:val="nil"/>
              <w:tr2bl w:val="nil"/>
            </w:tcBorders>
            <w:textDirection w:val="lrTb"/>
            <w:vAlign w:val="top"/>
          </w:tcPr>
          <w:p w:rsidR="00C621C0" w:rsidRPr="00BA5AD4" w:rsidP="00C621C0">
            <w:pPr>
              <w:jc w:val="center"/>
              <w:rPr>
                <w:rFonts w:ascii="Times New Roman" w:hAnsi="Times New Roman" w:cs="Times New Roman"/>
                <w:b/>
                <w:sz w:val="20"/>
                <w:szCs w:val="20"/>
              </w:rPr>
            </w:pPr>
            <w:r w:rsidRPr="00BA5AD4">
              <w:rPr>
                <w:rFonts w:ascii="Times New Roman" w:hAnsi="Times New Roman" w:cs="Times New Roman"/>
                <w:b/>
                <w:sz w:val="20"/>
                <w:szCs w:val="20"/>
              </w:rPr>
              <w:t>Rozdiel</w:t>
            </w:r>
          </w:p>
          <w:p w:rsidR="00C621C0" w:rsidRPr="00BA5AD4" w:rsidP="00C621C0">
            <w:pPr>
              <w:jc w:val="center"/>
              <w:rPr>
                <w:rFonts w:ascii="Times New Roman" w:hAnsi="Times New Roman" w:cs="Times New Roman"/>
                <w:b/>
                <w:sz w:val="20"/>
                <w:szCs w:val="20"/>
              </w:rPr>
            </w:pPr>
            <w:r w:rsidRPr="00BA5AD4">
              <w:rPr>
                <w:rFonts w:ascii="Times New Roman" w:hAnsi="Times New Roman" w:cs="Times New Roman"/>
                <w:b/>
                <w:sz w:val="20"/>
                <w:szCs w:val="20"/>
              </w:rPr>
              <w:t>2006-2005</w:t>
            </w:r>
          </w:p>
        </w:tc>
      </w:tr>
      <w:tr>
        <w:tblPrEx>
          <w:tblW w:w="7848" w:type="dxa"/>
        </w:tblPrEx>
        <w:trPr>
          <w:trHeight w:hRule="auto" w:val="0"/>
        </w:trPr>
        <w:tc>
          <w:tcPr>
            <w:tcW w:w="384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621C0" w:rsidRPr="00D90750" w:rsidP="00C621C0">
            <w:pPr>
              <w:rPr>
                <w:rFonts w:ascii="Times New Roman" w:hAnsi="Times New Roman" w:cs="Times New Roman"/>
                <w:b/>
                <w:sz w:val="22"/>
                <w:szCs w:val="22"/>
              </w:rPr>
            </w:pPr>
            <w:r w:rsidRPr="00D90750">
              <w:rPr>
                <w:rFonts w:ascii="Times New Roman" w:hAnsi="Times New Roman" w:cs="Times New Roman"/>
                <w:b/>
                <w:sz w:val="22"/>
                <w:szCs w:val="22"/>
              </w:rPr>
              <w:t>Da</w:t>
            </w:r>
            <w:r>
              <w:rPr>
                <w:rFonts w:ascii="Times New Roman" w:hAnsi="Times New Roman" w:cs="Times New Roman"/>
                <w:b/>
                <w:sz w:val="22"/>
                <w:szCs w:val="22"/>
              </w:rPr>
              <w:t>ne</w:t>
            </w:r>
            <w:r w:rsidRPr="00D90750">
              <w:rPr>
                <w:rFonts w:ascii="Times New Roman" w:hAnsi="Times New Roman" w:cs="Times New Roman"/>
                <w:b/>
                <w:sz w:val="22"/>
                <w:szCs w:val="22"/>
              </w:rPr>
              <w:t xml:space="preserve"> z príjmov </w:t>
            </w:r>
          </w:p>
        </w:tc>
        <w:tc>
          <w:tcPr>
            <w:tcW w:w="13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621C0" w:rsidRPr="00D90750" w:rsidP="00C621C0">
            <w:pPr>
              <w:jc w:val="right"/>
              <w:rPr>
                <w:rFonts w:ascii="Times New Roman" w:hAnsi="Times New Roman" w:cs="Times New Roman"/>
                <w:sz w:val="22"/>
                <w:szCs w:val="22"/>
              </w:rPr>
            </w:pPr>
          </w:p>
        </w:tc>
        <w:tc>
          <w:tcPr>
            <w:tcW w:w="13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621C0" w:rsidRPr="00D90750" w:rsidP="00C621C0">
            <w:pPr>
              <w:jc w:val="right"/>
              <w:rPr>
                <w:rFonts w:ascii="Times New Roman" w:hAnsi="Times New Roman" w:cs="Times New Roman"/>
                <w:sz w:val="22"/>
                <w:szCs w:val="22"/>
              </w:rPr>
            </w:pPr>
          </w:p>
        </w:tc>
        <w:tc>
          <w:tcPr>
            <w:tcW w:w="1298"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C621C0" w:rsidRPr="00D90750" w:rsidP="00C621C0">
            <w:pPr>
              <w:jc w:val="right"/>
              <w:rPr>
                <w:rFonts w:ascii="Times New Roman" w:hAnsi="Times New Roman" w:cs="Times New Roman"/>
                <w:sz w:val="22"/>
                <w:szCs w:val="22"/>
              </w:rPr>
            </w:pPr>
          </w:p>
        </w:tc>
      </w:tr>
      <w:tr>
        <w:tblPrEx>
          <w:tblW w:w="7848" w:type="dxa"/>
        </w:tblPrEx>
        <w:trPr>
          <w:trHeight w:hRule="auto" w:val="0"/>
        </w:trPr>
        <w:tc>
          <w:tcPr>
            <w:tcW w:w="384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621C0" w:rsidRPr="00D90750" w:rsidP="00C621C0">
            <w:pPr>
              <w:rPr>
                <w:rFonts w:ascii="Times New Roman" w:hAnsi="Times New Roman" w:cs="Times New Roman"/>
                <w:sz w:val="22"/>
                <w:szCs w:val="22"/>
              </w:rPr>
            </w:pPr>
            <w:r>
              <w:rPr>
                <w:rFonts w:ascii="Times New Roman" w:hAnsi="Times New Roman" w:cs="Times New Roman"/>
                <w:sz w:val="22"/>
                <w:szCs w:val="22"/>
              </w:rPr>
              <w:t>Fyzickej osoby z</w:t>
            </w:r>
            <w:r w:rsidRPr="00D90750">
              <w:rPr>
                <w:rFonts w:ascii="Times New Roman" w:hAnsi="Times New Roman" w:cs="Times New Roman"/>
                <w:sz w:val="22"/>
                <w:szCs w:val="22"/>
              </w:rPr>
              <w:t>o závislej činnosti</w:t>
            </w:r>
          </w:p>
        </w:tc>
        <w:tc>
          <w:tcPr>
            <w:tcW w:w="138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-7 101,2</w:t>
            </w:r>
          </w:p>
        </w:tc>
        <w:tc>
          <w:tcPr>
            <w:tcW w:w="132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-8 822,2</w:t>
            </w:r>
          </w:p>
        </w:tc>
        <w:tc>
          <w:tcPr>
            <w:tcW w:w="1298"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-1 721,0</w:t>
            </w:r>
          </w:p>
        </w:tc>
      </w:tr>
      <w:tr>
        <w:tblPrEx>
          <w:tblW w:w="7848" w:type="dxa"/>
        </w:tblPrEx>
        <w:trPr>
          <w:trHeight w:hRule="auto" w:val="0"/>
        </w:trPr>
        <w:tc>
          <w:tcPr>
            <w:tcW w:w="384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621C0" w:rsidRPr="00D90750" w:rsidP="00C621C0">
            <w:pPr>
              <w:rPr>
                <w:rFonts w:ascii="Times New Roman" w:hAnsi="Times New Roman" w:cs="Times New Roman"/>
                <w:sz w:val="22"/>
                <w:szCs w:val="22"/>
              </w:rPr>
            </w:pPr>
            <w:r>
              <w:rPr>
                <w:rFonts w:ascii="Times New Roman" w:hAnsi="Times New Roman" w:cs="Times New Roman"/>
                <w:sz w:val="22"/>
                <w:szCs w:val="22"/>
              </w:rPr>
              <w:t>Fyzickej osoby z</w:t>
            </w:r>
            <w:r w:rsidRPr="00D90750">
              <w:rPr>
                <w:rFonts w:ascii="Times New Roman" w:hAnsi="Times New Roman" w:cs="Times New Roman"/>
                <w:sz w:val="22"/>
                <w:szCs w:val="22"/>
              </w:rPr>
              <w:t xml:space="preserve"> podnikania a inej samostatnej zárobkovej činnosti a z</w:t>
            </w:r>
            <w:r>
              <w:rPr>
                <w:rFonts w:ascii="Times New Roman" w:hAnsi="Times New Roman" w:cs="Times New Roman"/>
                <w:sz w:val="22"/>
                <w:szCs w:val="22"/>
              </w:rPr>
              <w:t> </w:t>
            </w:r>
            <w:r w:rsidRPr="00D90750">
              <w:rPr>
                <w:rFonts w:ascii="Times New Roman" w:hAnsi="Times New Roman" w:cs="Times New Roman"/>
                <w:sz w:val="22"/>
                <w:szCs w:val="22"/>
              </w:rPr>
              <w:t>prenájmu</w:t>
            </w:r>
          </w:p>
        </w:tc>
        <w:tc>
          <w:tcPr>
            <w:tcW w:w="138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3 194,3</w:t>
            </w:r>
          </w:p>
        </w:tc>
        <w:tc>
          <w:tcPr>
            <w:tcW w:w="132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3 013,4</w:t>
            </w:r>
          </w:p>
        </w:tc>
        <w:tc>
          <w:tcPr>
            <w:tcW w:w="1298"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-180,9</w:t>
            </w:r>
          </w:p>
        </w:tc>
      </w:tr>
      <w:tr>
        <w:tblPrEx>
          <w:tblW w:w="7848" w:type="dxa"/>
        </w:tblPrEx>
        <w:trPr>
          <w:trHeight w:hRule="auto" w:val="0"/>
        </w:trPr>
        <w:tc>
          <w:tcPr>
            <w:tcW w:w="384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621C0" w:rsidRPr="00D90750" w:rsidP="00C621C0">
            <w:pPr>
              <w:rPr>
                <w:rFonts w:ascii="Times New Roman" w:hAnsi="Times New Roman" w:cs="Times New Roman"/>
                <w:sz w:val="22"/>
                <w:szCs w:val="22"/>
              </w:rPr>
            </w:pPr>
            <w:r w:rsidRPr="00D90750">
              <w:rPr>
                <w:rFonts w:ascii="Times New Roman" w:hAnsi="Times New Roman" w:cs="Times New Roman"/>
                <w:sz w:val="22"/>
                <w:szCs w:val="22"/>
              </w:rPr>
              <w:t>Daň z príjmov právnick</w:t>
            </w:r>
            <w:r>
              <w:rPr>
                <w:rFonts w:ascii="Times New Roman" w:hAnsi="Times New Roman" w:cs="Times New Roman"/>
                <w:sz w:val="22"/>
                <w:szCs w:val="22"/>
              </w:rPr>
              <w:t>ej</w:t>
            </w:r>
            <w:r w:rsidRPr="00D90750">
              <w:rPr>
                <w:rFonts w:ascii="Times New Roman" w:hAnsi="Times New Roman" w:cs="Times New Roman"/>
                <w:sz w:val="22"/>
                <w:szCs w:val="22"/>
              </w:rPr>
              <w:t xml:space="preserve"> os</w:t>
            </w:r>
            <w:r>
              <w:rPr>
                <w:rFonts w:ascii="Times New Roman" w:hAnsi="Times New Roman" w:cs="Times New Roman"/>
                <w:sz w:val="22"/>
                <w:szCs w:val="22"/>
              </w:rPr>
              <w:t>o</w:t>
            </w:r>
            <w:r w:rsidRPr="00D90750">
              <w:rPr>
                <w:rFonts w:ascii="Times New Roman" w:hAnsi="Times New Roman" w:cs="Times New Roman"/>
                <w:sz w:val="22"/>
                <w:szCs w:val="22"/>
              </w:rPr>
              <w:t>b</w:t>
            </w:r>
            <w:r>
              <w:rPr>
                <w:rFonts w:ascii="Times New Roman" w:hAnsi="Times New Roman" w:cs="Times New Roman"/>
                <w:sz w:val="22"/>
                <w:szCs w:val="22"/>
              </w:rPr>
              <w:t>y</w:t>
            </w:r>
          </w:p>
        </w:tc>
        <w:tc>
          <w:tcPr>
            <w:tcW w:w="138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8 992,5</w:t>
            </w:r>
          </w:p>
        </w:tc>
        <w:tc>
          <w:tcPr>
            <w:tcW w:w="132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8 304,3</w:t>
            </w:r>
          </w:p>
        </w:tc>
        <w:tc>
          <w:tcPr>
            <w:tcW w:w="1298"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-688,2</w:t>
            </w:r>
          </w:p>
        </w:tc>
      </w:tr>
      <w:tr>
        <w:tblPrEx>
          <w:tblW w:w="7848" w:type="dxa"/>
        </w:tblPrEx>
        <w:trPr>
          <w:trHeight w:hRule="auto" w:val="0"/>
        </w:trPr>
        <w:tc>
          <w:tcPr>
            <w:tcW w:w="384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621C0" w:rsidRPr="00D90750" w:rsidP="00C621C0">
            <w:pPr>
              <w:rPr>
                <w:rFonts w:ascii="Times New Roman" w:hAnsi="Times New Roman" w:cs="Times New Roman"/>
                <w:sz w:val="22"/>
                <w:szCs w:val="22"/>
              </w:rPr>
            </w:pPr>
            <w:r w:rsidRPr="00D90750">
              <w:rPr>
                <w:rFonts w:ascii="Times New Roman" w:hAnsi="Times New Roman" w:cs="Times New Roman"/>
                <w:sz w:val="22"/>
                <w:szCs w:val="22"/>
              </w:rPr>
              <w:t>Da</w:t>
            </w:r>
            <w:r>
              <w:rPr>
                <w:rFonts w:ascii="Times New Roman" w:hAnsi="Times New Roman" w:cs="Times New Roman"/>
                <w:sz w:val="22"/>
                <w:szCs w:val="22"/>
              </w:rPr>
              <w:t>ň</w:t>
            </w:r>
            <w:r w:rsidRPr="00D90750">
              <w:rPr>
                <w:rFonts w:ascii="Times New Roman" w:hAnsi="Times New Roman" w:cs="Times New Roman"/>
                <w:sz w:val="22"/>
                <w:szCs w:val="22"/>
              </w:rPr>
              <w:t xml:space="preserve"> z príjmov vyberan</w:t>
            </w:r>
            <w:r>
              <w:rPr>
                <w:rFonts w:ascii="Times New Roman" w:hAnsi="Times New Roman" w:cs="Times New Roman"/>
                <w:sz w:val="22"/>
                <w:szCs w:val="22"/>
              </w:rPr>
              <w:t>á</w:t>
            </w:r>
            <w:r w:rsidRPr="00D90750">
              <w:rPr>
                <w:rFonts w:ascii="Times New Roman" w:hAnsi="Times New Roman" w:cs="Times New Roman"/>
                <w:sz w:val="22"/>
                <w:szCs w:val="22"/>
              </w:rPr>
              <w:t xml:space="preserve"> zrážkou</w:t>
            </w:r>
          </w:p>
        </w:tc>
        <w:tc>
          <w:tcPr>
            <w:tcW w:w="138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14,2</w:t>
            </w:r>
          </w:p>
        </w:tc>
        <w:tc>
          <w:tcPr>
            <w:tcW w:w="132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1,1</w:t>
            </w:r>
          </w:p>
        </w:tc>
        <w:tc>
          <w:tcPr>
            <w:tcW w:w="1298"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-13,1</w:t>
            </w:r>
          </w:p>
        </w:tc>
      </w:tr>
      <w:tr>
        <w:tblPrEx>
          <w:tblW w:w="7848" w:type="dxa"/>
        </w:tblPrEx>
        <w:trPr>
          <w:trHeight w:hRule="auto" w:val="0"/>
        </w:trPr>
        <w:tc>
          <w:tcPr>
            <w:tcW w:w="384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621C0" w:rsidRPr="00D90750" w:rsidP="00C621C0">
            <w:pPr>
              <w:rPr>
                <w:rFonts w:ascii="Times New Roman" w:hAnsi="Times New Roman" w:cs="Times New Roman"/>
                <w:b/>
                <w:sz w:val="22"/>
                <w:szCs w:val="22"/>
              </w:rPr>
            </w:pPr>
            <w:r w:rsidRPr="00D90750">
              <w:rPr>
                <w:rFonts w:ascii="Times New Roman" w:hAnsi="Times New Roman" w:cs="Times New Roman"/>
                <w:b/>
                <w:sz w:val="22"/>
                <w:szCs w:val="22"/>
              </w:rPr>
              <w:t xml:space="preserve">Dane z majetku </w:t>
            </w:r>
          </w:p>
        </w:tc>
        <w:tc>
          <w:tcPr>
            <w:tcW w:w="138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rPr>
                <w:rFonts w:ascii="Times New Roman" w:hAnsi="Times New Roman" w:cs="Times New Roman"/>
                <w:sz w:val="22"/>
                <w:szCs w:val="22"/>
              </w:rPr>
            </w:pPr>
          </w:p>
        </w:tc>
        <w:tc>
          <w:tcPr>
            <w:tcW w:w="13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621C0" w:rsidRPr="00D90750" w:rsidP="00C621C0">
            <w:pPr>
              <w:jc w:val="right"/>
              <w:rPr>
                <w:rFonts w:ascii="Times New Roman" w:hAnsi="Times New Roman" w:cs="Times New Roman"/>
                <w:sz w:val="22"/>
                <w:szCs w:val="22"/>
              </w:rPr>
            </w:pPr>
          </w:p>
        </w:tc>
        <w:tc>
          <w:tcPr>
            <w:tcW w:w="1298"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p>
        </w:tc>
      </w:tr>
      <w:tr>
        <w:tblPrEx>
          <w:tblW w:w="7848" w:type="dxa"/>
        </w:tblPrEx>
        <w:trPr>
          <w:trHeight w:hRule="auto" w:val="0"/>
        </w:trPr>
        <w:tc>
          <w:tcPr>
            <w:tcW w:w="384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621C0" w:rsidRPr="00D90750" w:rsidP="00C621C0">
            <w:pPr>
              <w:rPr>
                <w:rFonts w:ascii="Times New Roman" w:hAnsi="Times New Roman" w:cs="Times New Roman"/>
                <w:sz w:val="22"/>
                <w:szCs w:val="22"/>
              </w:rPr>
            </w:pPr>
            <w:r w:rsidRPr="00D90750">
              <w:rPr>
                <w:rFonts w:ascii="Times New Roman" w:hAnsi="Times New Roman" w:cs="Times New Roman"/>
                <w:sz w:val="22"/>
                <w:szCs w:val="22"/>
              </w:rPr>
              <w:t>Daň z dedičstva a darovania</w:t>
            </w:r>
          </w:p>
        </w:tc>
        <w:tc>
          <w:tcPr>
            <w:tcW w:w="138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94,0</w:t>
            </w:r>
          </w:p>
        </w:tc>
        <w:tc>
          <w:tcPr>
            <w:tcW w:w="132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100,0</w:t>
            </w:r>
          </w:p>
        </w:tc>
        <w:tc>
          <w:tcPr>
            <w:tcW w:w="1298"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6,0</w:t>
            </w:r>
          </w:p>
        </w:tc>
      </w:tr>
      <w:tr>
        <w:tblPrEx>
          <w:tblW w:w="7848" w:type="dxa"/>
        </w:tblPrEx>
        <w:trPr>
          <w:trHeight w:hRule="auto" w:val="0"/>
        </w:trPr>
        <w:tc>
          <w:tcPr>
            <w:tcW w:w="384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621C0" w:rsidRPr="00D90750" w:rsidP="00C621C0">
            <w:pPr>
              <w:rPr>
                <w:rFonts w:ascii="Times New Roman" w:hAnsi="Times New Roman" w:cs="Times New Roman"/>
                <w:sz w:val="22"/>
                <w:szCs w:val="22"/>
              </w:rPr>
            </w:pPr>
            <w:r>
              <w:rPr>
                <w:rFonts w:ascii="Times New Roman" w:hAnsi="Times New Roman" w:cs="Times New Roman"/>
                <w:sz w:val="22"/>
                <w:szCs w:val="22"/>
              </w:rPr>
              <w:t>Dan z</w:t>
            </w:r>
            <w:r w:rsidRPr="00D90750">
              <w:rPr>
                <w:rFonts w:ascii="Times New Roman" w:hAnsi="Times New Roman" w:cs="Times New Roman"/>
                <w:sz w:val="22"/>
                <w:szCs w:val="22"/>
              </w:rPr>
              <w:t xml:space="preserve"> prevodu a prechodu nehnuteľností</w:t>
            </w:r>
          </w:p>
        </w:tc>
        <w:tc>
          <w:tcPr>
            <w:tcW w:w="138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2 453,3</w:t>
            </w:r>
          </w:p>
        </w:tc>
        <w:tc>
          <w:tcPr>
            <w:tcW w:w="132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2 757,1</w:t>
            </w:r>
          </w:p>
        </w:tc>
        <w:tc>
          <w:tcPr>
            <w:tcW w:w="1298"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303,8</w:t>
            </w:r>
          </w:p>
        </w:tc>
      </w:tr>
      <w:tr>
        <w:tblPrEx>
          <w:tblW w:w="7848" w:type="dxa"/>
        </w:tblPrEx>
        <w:trPr>
          <w:trHeight w:hRule="auto" w:val="0"/>
        </w:trPr>
        <w:tc>
          <w:tcPr>
            <w:tcW w:w="384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621C0" w:rsidRPr="00D90750" w:rsidP="00C621C0">
            <w:pPr>
              <w:rPr>
                <w:rFonts w:ascii="Times New Roman" w:hAnsi="Times New Roman" w:cs="Times New Roman"/>
                <w:b/>
                <w:sz w:val="22"/>
                <w:szCs w:val="22"/>
              </w:rPr>
            </w:pPr>
            <w:r w:rsidRPr="00D90750">
              <w:rPr>
                <w:rFonts w:ascii="Times New Roman" w:hAnsi="Times New Roman" w:cs="Times New Roman"/>
                <w:b/>
                <w:sz w:val="22"/>
                <w:szCs w:val="22"/>
              </w:rPr>
              <w:t xml:space="preserve">Domáce tovary a služby </w:t>
            </w:r>
          </w:p>
        </w:tc>
        <w:tc>
          <w:tcPr>
            <w:tcW w:w="138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rPr>
                <w:rFonts w:ascii="Times New Roman" w:hAnsi="Times New Roman" w:cs="Times New Roman"/>
                <w:sz w:val="22"/>
                <w:szCs w:val="22"/>
              </w:rPr>
            </w:pPr>
          </w:p>
        </w:tc>
        <w:tc>
          <w:tcPr>
            <w:tcW w:w="132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p>
        </w:tc>
        <w:tc>
          <w:tcPr>
            <w:tcW w:w="1298"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p>
        </w:tc>
      </w:tr>
      <w:tr>
        <w:tblPrEx>
          <w:tblW w:w="7848" w:type="dxa"/>
        </w:tblPrEx>
        <w:trPr>
          <w:trHeight w:hRule="auto" w:val="0"/>
        </w:trPr>
        <w:tc>
          <w:tcPr>
            <w:tcW w:w="384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621C0" w:rsidRPr="00D90750" w:rsidP="00C621C0">
            <w:pPr>
              <w:rPr>
                <w:rFonts w:ascii="Times New Roman" w:hAnsi="Times New Roman" w:cs="Times New Roman"/>
                <w:sz w:val="22"/>
                <w:szCs w:val="22"/>
              </w:rPr>
            </w:pPr>
            <w:r w:rsidRPr="00D90750">
              <w:rPr>
                <w:rFonts w:ascii="Times New Roman" w:hAnsi="Times New Roman" w:cs="Times New Roman"/>
                <w:sz w:val="22"/>
                <w:szCs w:val="22"/>
              </w:rPr>
              <w:t>Daň z pridanej hodnoty</w:t>
            </w:r>
          </w:p>
        </w:tc>
        <w:tc>
          <w:tcPr>
            <w:tcW w:w="138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29 897,2</w:t>
            </w:r>
          </w:p>
        </w:tc>
        <w:tc>
          <w:tcPr>
            <w:tcW w:w="132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29 033,0</w:t>
            </w:r>
          </w:p>
        </w:tc>
        <w:tc>
          <w:tcPr>
            <w:tcW w:w="1298"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-864,2</w:t>
            </w:r>
          </w:p>
        </w:tc>
      </w:tr>
      <w:tr>
        <w:tblPrEx>
          <w:tblW w:w="7848" w:type="dxa"/>
        </w:tblPrEx>
        <w:trPr>
          <w:trHeight w:hRule="auto" w:val="0"/>
        </w:trPr>
        <w:tc>
          <w:tcPr>
            <w:tcW w:w="384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621C0" w:rsidRPr="00D90750" w:rsidP="00C621C0">
            <w:pPr>
              <w:rPr>
                <w:rFonts w:ascii="Times New Roman" w:hAnsi="Times New Roman" w:cs="Times New Roman"/>
                <w:sz w:val="22"/>
                <w:szCs w:val="22"/>
              </w:rPr>
            </w:pPr>
            <w:r w:rsidRPr="00D90750">
              <w:rPr>
                <w:rFonts w:ascii="Times New Roman" w:hAnsi="Times New Roman" w:cs="Times New Roman"/>
                <w:sz w:val="22"/>
                <w:szCs w:val="22"/>
              </w:rPr>
              <w:t>Spotrebná daň z minerálnych olejov</w:t>
            </w:r>
          </w:p>
        </w:tc>
        <w:tc>
          <w:tcPr>
            <w:tcW w:w="138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108,9</w:t>
            </w:r>
          </w:p>
        </w:tc>
        <w:tc>
          <w:tcPr>
            <w:tcW w:w="132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104,7</w:t>
            </w:r>
          </w:p>
        </w:tc>
        <w:tc>
          <w:tcPr>
            <w:tcW w:w="1298"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-4,2</w:t>
            </w:r>
          </w:p>
        </w:tc>
      </w:tr>
      <w:tr>
        <w:tblPrEx>
          <w:tblW w:w="7848" w:type="dxa"/>
        </w:tblPrEx>
        <w:trPr>
          <w:trHeight w:hRule="auto" w:val="0"/>
        </w:trPr>
        <w:tc>
          <w:tcPr>
            <w:tcW w:w="384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621C0" w:rsidRPr="00D90750" w:rsidP="00C621C0">
            <w:pPr>
              <w:rPr>
                <w:rFonts w:ascii="Times New Roman" w:hAnsi="Times New Roman" w:cs="Times New Roman"/>
                <w:sz w:val="22"/>
                <w:szCs w:val="22"/>
              </w:rPr>
            </w:pPr>
            <w:r w:rsidRPr="00D90750">
              <w:rPr>
                <w:rFonts w:ascii="Times New Roman" w:hAnsi="Times New Roman" w:cs="Times New Roman"/>
                <w:sz w:val="22"/>
                <w:szCs w:val="22"/>
              </w:rPr>
              <w:t>Spotrebná daň z liehu</w:t>
            </w:r>
          </w:p>
        </w:tc>
        <w:tc>
          <w:tcPr>
            <w:tcW w:w="138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2 575,9</w:t>
            </w:r>
          </w:p>
        </w:tc>
        <w:tc>
          <w:tcPr>
            <w:tcW w:w="132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1 140,1</w:t>
            </w:r>
          </w:p>
        </w:tc>
        <w:tc>
          <w:tcPr>
            <w:tcW w:w="1298"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-1 435,8</w:t>
            </w:r>
          </w:p>
        </w:tc>
      </w:tr>
      <w:tr>
        <w:tblPrEx>
          <w:tblW w:w="7848" w:type="dxa"/>
        </w:tblPrEx>
        <w:trPr>
          <w:trHeight w:hRule="auto" w:val="0"/>
        </w:trPr>
        <w:tc>
          <w:tcPr>
            <w:tcW w:w="384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621C0" w:rsidRPr="00D90750" w:rsidP="00C621C0">
            <w:pPr>
              <w:rPr>
                <w:rFonts w:ascii="Times New Roman" w:hAnsi="Times New Roman" w:cs="Times New Roman"/>
                <w:sz w:val="22"/>
                <w:szCs w:val="22"/>
              </w:rPr>
            </w:pPr>
            <w:r w:rsidRPr="00D90750">
              <w:rPr>
                <w:rFonts w:ascii="Times New Roman" w:hAnsi="Times New Roman" w:cs="Times New Roman"/>
                <w:sz w:val="22"/>
                <w:szCs w:val="22"/>
              </w:rPr>
              <w:t>Spotrebná daň z piva</w:t>
            </w:r>
          </w:p>
        </w:tc>
        <w:tc>
          <w:tcPr>
            <w:tcW w:w="138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94,1</w:t>
            </w:r>
          </w:p>
        </w:tc>
        <w:tc>
          <w:tcPr>
            <w:tcW w:w="132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47,4</w:t>
            </w:r>
          </w:p>
        </w:tc>
        <w:tc>
          <w:tcPr>
            <w:tcW w:w="1298"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-46,7</w:t>
            </w:r>
          </w:p>
        </w:tc>
      </w:tr>
      <w:tr>
        <w:tblPrEx>
          <w:tblW w:w="7848" w:type="dxa"/>
        </w:tblPrEx>
        <w:trPr>
          <w:trHeight w:hRule="auto" w:val="0"/>
        </w:trPr>
        <w:tc>
          <w:tcPr>
            <w:tcW w:w="384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621C0" w:rsidRPr="00D90750" w:rsidP="00C621C0">
            <w:pPr>
              <w:rPr>
                <w:rFonts w:ascii="Times New Roman" w:hAnsi="Times New Roman" w:cs="Times New Roman"/>
                <w:sz w:val="22"/>
                <w:szCs w:val="22"/>
              </w:rPr>
            </w:pPr>
            <w:r w:rsidRPr="00D90750">
              <w:rPr>
                <w:rFonts w:ascii="Times New Roman" w:hAnsi="Times New Roman" w:cs="Times New Roman"/>
                <w:sz w:val="22"/>
                <w:szCs w:val="22"/>
              </w:rPr>
              <w:t>Spotrebná daň z vína</w:t>
            </w:r>
          </w:p>
        </w:tc>
        <w:tc>
          <w:tcPr>
            <w:tcW w:w="138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65,4</w:t>
            </w:r>
          </w:p>
        </w:tc>
        <w:tc>
          <w:tcPr>
            <w:tcW w:w="132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24,9</w:t>
            </w:r>
          </w:p>
        </w:tc>
        <w:tc>
          <w:tcPr>
            <w:tcW w:w="1298"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-40,5</w:t>
            </w:r>
          </w:p>
        </w:tc>
      </w:tr>
      <w:tr>
        <w:tblPrEx>
          <w:tblW w:w="7848" w:type="dxa"/>
        </w:tblPrEx>
        <w:trPr>
          <w:trHeight w:val="348"/>
        </w:trPr>
        <w:tc>
          <w:tcPr>
            <w:tcW w:w="384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621C0" w:rsidRPr="00D90750" w:rsidP="00C621C0">
            <w:pPr>
              <w:rPr>
                <w:rFonts w:ascii="Times New Roman" w:hAnsi="Times New Roman" w:cs="Times New Roman"/>
                <w:sz w:val="22"/>
                <w:szCs w:val="22"/>
              </w:rPr>
            </w:pPr>
            <w:r w:rsidRPr="00D90750">
              <w:rPr>
                <w:rFonts w:ascii="Times New Roman" w:hAnsi="Times New Roman" w:cs="Times New Roman"/>
                <w:sz w:val="22"/>
                <w:szCs w:val="22"/>
              </w:rPr>
              <w:t>Spotrebná daň z tabaku a tabakových výrobkov</w:t>
            </w:r>
          </w:p>
        </w:tc>
        <w:tc>
          <w:tcPr>
            <w:tcW w:w="138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13,4</w:t>
            </w:r>
          </w:p>
        </w:tc>
        <w:tc>
          <w:tcPr>
            <w:tcW w:w="132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11,5</w:t>
            </w:r>
          </w:p>
        </w:tc>
        <w:tc>
          <w:tcPr>
            <w:tcW w:w="1298"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-1,9</w:t>
            </w:r>
          </w:p>
        </w:tc>
      </w:tr>
      <w:tr>
        <w:tblPrEx>
          <w:tblW w:w="7848" w:type="dxa"/>
        </w:tblPrEx>
        <w:trPr>
          <w:trHeight w:val="198"/>
        </w:trPr>
        <w:tc>
          <w:tcPr>
            <w:tcW w:w="384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621C0" w:rsidRPr="00D90750" w:rsidP="00C621C0">
            <w:pPr>
              <w:rPr>
                <w:rFonts w:ascii="Times New Roman" w:hAnsi="Times New Roman" w:cs="Times New Roman"/>
                <w:b/>
                <w:sz w:val="22"/>
                <w:szCs w:val="22"/>
              </w:rPr>
            </w:pPr>
            <w:r w:rsidRPr="00D90750">
              <w:rPr>
                <w:rFonts w:ascii="Times New Roman" w:hAnsi="Times New Roman" w:cs="Times New Roman"/>
                <w:b/>
                <w:sz w:val="22"/>
                <w:szCs w:val="22"/>
              </w:rPr>
              <w:t>Dane z používania tovarov a z povolenia na výkon činností</w:t>
            </w:r>
          </w:p>
        </w:tc>
        <w:tc>
          <w:tcPr>
            <w:tcW w:w="138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rPr>
                <w:rFonts w:ascii="Times New Roman" w:hAnsi="Times New Roman" w:cs="Times New Roman"/>
                <w:sz w:val="22"/>
                <w:szCs w:val="22"/>
              </w:rPr>
            </w:pPr>
          </w:p>
        </w:tc>
        <w:tc>
          <w:tcPr>
            <w:tcW w:w="132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p>
        </w:tc>
        <w:tc>
          <w:tcPr>
            <w:tcW w:w="1298"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p>
        </w:tc>
      </w:tr>
      <w:tr>
        <w:tblPrEx>
          <w:tblW w:w="7848" w:type="dxa"/>
        </w:tblPrEx>
        <w:trPr>
          <w:trHeight w:hRule="auto" w:val="0"/>
        </w:trPr>
        <w:tc>
          <w:tcPr>
            <w:tcW w:w="384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621C0" w:rsidRPr="00D90750" w:rsidP="00C621C0">
            <w:pPr>
              <w:rPr>
                <w:rFonts w:ascii="Times New Roman" w:hAnsi="Times New Roman" w:cs="Times New Roman"/>
                <w:sz w:val="22"/>
                <w:szCs w:val="22"/>
              </w:rPr>
            </w:pPr>
            <w:r>
              <w:rPr>
                <w:rFonts w:ascii="Times New Roman" w:hAnsi="Times New Roman" w:cs="Times New Roman"/>
                <w:sz w:val="22"/>
                <w:szCs w:val="22"/>
              </w:rPr>
              <w:t>Daň z</w:t>
            </w:r>
            <w:r w:rsidRPr="00D90750">
              <w:rPr>
                <w:rFonts w:ascii="Times New Roman" w:hAnsi="Times New Roman" w:cs="Times New Roman"/>
                <w:sz w:val="22"/>
                <w:szCs w:val="22"/>
              </w:rPr>
              <w:t xml:space="preserve"> motorových vozidiel</w:t>
            </w:r>
          </w:p>
        </w:tc>
        <w:tc>
          <w:tcPr>
            <w:tcW w:w="138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161,7</w:t>
            </w:r>
          </w:p>
        </w:tc>
        <w:tc>
          <w:tcPr>
            <w:tcW w:w="1324"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150,7</w:t>
            </w:r>
          </w:p>
        </w:tc>
        <w:tc>
          <w:tcPr>
            <w:tcW w:w="1298" w:type="dxa"/>
            <w:tcBorders>
              <w:top w:val="single" w:sz="4" w:space="0" w:color="auto"/>
              <w:left w:val="single" w:sz="4" w:space="0" w:color="auto"/>
              <w:bottom w:val="single" w:sz="4" w:space="0" w:color="auto"/>
              <w:right w:val="single" w:sz="8" w:space="0" w:color="auto"/>
              <w:tl2br w:val="nil"/>
              <w:tr2bl w:val="nil"/>
            </w:tcBorders>
            <w:textDirection w:val="lrTb"/>
            <w:vAlign w:val="bottom"/>
          </w:tcPr>
          <w:p w:rsidR="00C621C0" w:rsidRPr="00D90750" w:rsidP="00C621C0">
            <w:pPr>
              <w:jc w:val="right"/>
              <w:rPr>
                <w:rFonts w:ascii="Times New Roman" w:hAnsi="Times New Roman" w:cs="Times New Roman"/>
                <w:sz w:val="22"/>
                <w:szCs w:val="22"/>
              </w:rPr>
            </w:pPr>
            <w:r w:rsidRPr="00D90750">
              <w:rPr>
                <w:rFonts w:ascii="Times New Roman" w:hAnsi="Times New Roman" w:cs="Times New Roman"/>
                <w:sz w:val="22"/>
                <w:szCs w:val="22"/>
              </w:rPr>
              <w:t>-11,0</w:t>
            </w:r>
          </w:p>
        </w:tc>
      </w:tr>
      <w:tr>
        <w:tblPrEx>
          <w:tblW w:w="7848" w:type="dxa"/>
        </w:tblPrEx>
        <w:trPr>
          <w:trHeight w:val="70"/>
        </w:trPr>
        <w:tc>
          <w:tcPr>
            <w:tcW w:w="3842" w:type="dxa"/>
            <w:tcBorders>
              <w:top w:val="single" w:sz="4" w:space="0" w:color="auto"/>
              <w:left w:val="single" w:sz="8" w:space="0" w:color="auto"/>
              <w:bottom w:val="double" w:sz="6" w:space="0" w:color="auto"/>
              <w:right w:val="single" w:sz="4" w:space="0" w:color="auto"/>
              <w:tl2br w:val="nil"/>
              <w:tr2bl w:val="nil"/>
            </w:tcBorders>
            <w:textDirection w:val="lrTb"/>
            <w:vAlign w:val="top"/>
          </w:tcPr>
          <w:p w:rsidR="00C621C0" w:rsidRPr="000E32E7" w:rsidP="00C621C0">
            <w:pPr>
              <w:rPr>
                <w:rFonts w:ascii="Times New Roman" w:hAnsi="Times New Roman" w:cs="Times New Roman"/>
                <w:b/>
                <w:sz w:val="22"/>
                <w:szCs w:val="22"/>
              </w:rPr>
            </w:pPr>
            <w:r>
              <w:rPr>
                <w:rFonts w:ascii="Times New Roman" w:hAnsi="Times New Roman" w:cs="Times New Roman"/>
                <w:b/>
                <w:sz w:val="22"/>
                <w:szCs w:val="22"/>
              </w:rPr>
              <w:t>SPOLU</w:t>
            </w:r>
            <w:r w:rsidRPr="000E32E7">
              <w:rPr>
                <w:rFonts w:ascii="Times New Roman" w:hAnsi="Times New Roman" w:cs="Times New Roman"/>
                <w:b/>
                <w:sz w:val="22"/>
                <w:szCs w:val="22"/>
              </w:rPr>
              <w:t xml:space="preserve"> </w:t>
            </w:r>
          </w:p>
        </w:tc>
        <w:tc>
          <w:tcPr>
            <w:tcW w:w="1384"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C621C0" w:rsidRPr="000E32E7" w:rsidP="00C621C0">
            <w:pPr>
              <w:jc w:val="right"/>
              <w:rPr>
                <w:rFonts w:ascii="Times New Roman" w:hAnsi="Times New Roman" w:cs="Times New Roman"/>
                <w:b/>
                <w:sz w:val="22"/>
                <w:szCs w:val="22"/>
              </w:rPr>
            </w:pPr>
            <w:r w:rsidRPr="000E32E7">
              <w:rPr>
                <w:rFonts w:ascii="Times New Roman" w:hAnsi="Times New Roman" w:cs="Times New Roman"/>
                <w:b/>
                <w:sz w:val="22"/>
                <w:szCs w:val="22"/>
              </w:rPr>
              <w:t>40 563,7</w:t>
            </w:r>
          </w:p>
        </w:tc>
        <w:tc>
          <w:tcPr>
            <w:tcW w:w="1324"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C621C0" w:rsidRPr="000E32E7" w:rsidP="00C621C0">
            <w:pPr>
              <w:jc w:val="right"/>
              <w:rPr>
                <w:rFonts w:ascii="Times New Roman" w:hAnsi="Times New Roman" w:cs="Times New Roman"/>
                <w:b/>
                <w:sz w:val="22"/>
                <w:szCs w:val="22"/>
              </w:rPr>
            </w:pPr>
            <w:r w:rsidRPr="000E32E7">
              <w:rPr>
                <w:rFonts w:ascii="Times New Roman" w:hAnsi="Times New Roman" w:cs="Times New Roman"/>
                <w:b/>
                <w:sz w:val="22"/>
                <w:szCs w:val="22"/>
              </w:rPr>
              <w:t>35 865,9</w:t>
            </w:r>
          </w:p>
        </w:tc>
        <w:tc>
          <w:tcPr>
            <w:tcW w:w="1298" w:type="dxa"/>
            <w:tcBorders>
              <w:top w:val="single" w:sz="4" w:space="0" w:color="auto"/>
              <w:left w:val="single" w:sz="4" w:space="0" w:color="auto"/>
              <w:bottom w:val="double" w:sz="6" w:space="0" w:color="auto"/>
              <w:right w:val="single" w:sz="8" w:space="0" w:color="auto"/>
              <w:tl2br w:val="nil"/>
              <w:tr2bl w:val="nil"/>
            </w:tcBorders>
            <w:textDirection w:val="lrTb"/>
            <w:vAlign w:val="bottom"/>
          </w:tcPr>
          <w:p w:rsidR="00C621C0" w:rsidRPr="000E32E7" w:rsidP="00C621C0">
            <w:pPr>
              <w:jc w:val="right"/>
              <w:rPr>
                <w:rFonts w:ascii="Times New Roman" w:hAnsi="Times New Roman" w:cs="Times New Roman"/>
                <w:b/>
                <w:sz w:val="22"/>
                <w:szCs w:val="22"/>
              </w:rPr>
            </w:pPr>
            <w:r w:rsidRPr="000E32E7">
              <w:rPr>
                <w:rFonts w:ascii="Times New Roman" w:hAnsi="Times New Roman" w:cs="Times New Roman"/>
                <w:b/>
                <w:sz w:val="22"/>
                <w:szCs w:val="22"/>
              </w:rPr>
              <w:t>-4 697,8</w:t>
            </w:r>
          </w:p>
        </w:tc>
      </w:tr>
    </w:tbl>
    <w:p w:rsidR="00CE270A" w:rsidP="00B81FCD">
      <w:pPr>
        <w:spacing w:after="120" w:line="360" w:lineRule="auto"/>
        <w:ind w:firstLine="708"/>
        <w:jc w:val="both"/>
        <w:rPr>
          <w:rFonts w:ascii="Times New Roman" w:hAnsi="Times New Roman" w:cs="Times New Roman"/>
        </w:rPr>
      </w:pPr>
      <w:r w:rsidRPr="004D4B19" w:rsidR="00C621C0">
        <w:rPr>
          <w:rFonts w:ascii="Times New Roman" w:hAnsi="Times New Roman" w:cs="Times New Roman"/>
        </w:rPr>
        <w:t xml:space="preserve"> </w:t>
      </w:r>
      <w:r w:rsidRPr="004D4B19">
        <w:rPr>
          <w:rFonts w:ascii="Times New Roman" w:hAnsi="Times New Roman" w:cs="Times New Roman"/>
        </w:rPr>
        <w:t xml:space="preserve">K 31.12.2006 vykazovala daňová správa daňové pohľadávky v celkovej výške 35 865,9 mil. Sk, čo </w:t>
      </w:r>
      <w:r>
        <w:rPr>
          <w:rFonts w:ascii="Times New Roman" w:hAnsi="Times New Roman" w:cs="Times New Roman"/>
        </w:rPr>
        <w:t xml:space="preserve">predstavuje medziročný pokles </w:t>
      </w:r>
      <w:r w:rsidRPr="004D4B19">
        <w:rPr>
          <w:rFonts w:ascii="Times New Roman" w:hAnsi="Times New Roman" w:cs="Times New Roman"/>
        </w:rPr>
        <w:t>o 4 697,8 mil. Sk</w:t>
      </w:r>
      <w:r>
        <w:rPr>
          <w:rFonts w:ascii="Times New Roman" w:hAnsi="Times New Roman" w:cs="Times New Roman"/>
        </w:rPr>
        <w:t xml:space="preserve">, resp. o </w:t>
      </w:r>
      <w:r w:rsidRPr="004D4B19">
        <w:rPr>
          <w:rFonts w:ascii="Times New Roman" w:hAnsi="Times New Roman" w:cs="Times New Roman"/>
        </w:rPr>
        <w:t>11,</w:t>
      </w:r>
      <w:r>
        <w:rPr>
          <w:rFonts w:ascii="Times New Roman" w:hAnsi="Times New Roman" w:cs="Times New Roman"/>
        </w:rPr>
        <w:t xml:space="preserve">6 </w:t>
      </w:r>
      <w:r w:rsidRPr="004D4B19">
        <w:rPr>
          <w:rFonts w:ascii="Times New Roman" w:hAnsi="Times New Roman" w:cs="Times New Roman"/>
        </w:rPr>
        <w:t xml:space="preserve">%. </w:t>
      </w:r>
      <w:r>
        <w:rPr>
          <w:rFonts w:ascii="Times New Roman" w:hAnsi="Times New Roman" w:cs="Times New Roman"/>
        </w:rPr>
        <w:t>Z</w:t>
      </w:r>
      <w:r w:rsidRPr="009C5765">
        <w:rPr>
          <w:rFonts w:ascii="Times New Roman" w:hAnsi="Times New Roman" w:cs="Times New Roman"/>
        </w:rPr>
        <w:t xml:space="preserve"> celkovej sumy pohľadávok </w:t>
      </w:r>
      <w:r>
        <w:rPr>
          <w:rFonts w:ascii="Times New Roman" w:hAnsi="Times New Roman" w:cs="Times New Roman"/>
        </w:rPr>
        <w:t xml:space="preserve">tvoria </w:t>
      </w:r>
      <w:r w:rsidRPr="009C5765">
        <w:rPr>
          <w:rFonts w:ascii="Times New Roman" w:hAnsi="Times New Roman" w:cs="Times New Roman"/>
        </w:rPr>
        <w:t xml:space="preserve">dlhodobé daňové pohľadávky, t.j. pohľadávky, ktorých doba splatnosti je </w:t>
      </w:r>
      <w:r>
        <w:rPr>
          <w:rFonts w:ascii="Times New Roman" w:hAnsi="Times New Roman" w:cs="Times New Roman"/>
        </w:rPr>
        <w:t>dlhšia</w:t>
      </w:r>
      <w:r w:rsidRPr="009C5765">
        <w:rPr>
          <w:rFonts w:ascii="Times New Roman" w:hAnsi="Times New Roman" w:cs="Times New Roman"/>
        </w:rPr>
        <w:t xml:space="preserve"> ako jeden rok 26 899,4 mil. Sk</w:t>
      </w:r>
      <w:r>
        <w:rPr>
          <w:rFonts w:ascii="Times New Roman" w:hAnsi="Times New Roman" w:cs="Times New Roman"/>
        </w:rPr>
        <w:t xml:space="preserve"> a k</w:t>
      </w:r>
      <w:r w:rsidRPr="009C5765">
        <w:rPr>
          <w:rFonts w:ascii="Times New Roman" w:hAnsi="Times New Roman" w:cs="Times New Roman"/>
        </w:rPr>
        <w:t>rátkodobé daňové pohľadávky</w:t>
      </w:r>
      <w:r>
        <w:rPr>
          <w:rFonts w:ascii="Times New Roman" w:hAnsi="Times New Roman" w:cs="Times New Roman"/>
        </w:rPr>
        <w:t xml:space="preserve">       s dobou splatnosti </w:t>
      </w:r>
      <w:r w:rsidRPr="009C5765">
        <w:rPr>
          <w:rFonts w:ascii="Times New Roman" w:hAnsi="Times New Roman" w:cs="Times New Roman"/>
        </w:rPr>
        <w:t>do jedného roka</w:t>
      </w:r>
      <w:r>
        <w:rPr>
          <w:rFonts w:ascii="Times New Roman" w:hAnsi="Times New Roman" w:cs="Times New Roman"/>
        </w:rPr>
        <w:t xml:space="preserve"> </w:t>
      </w:r>
      <w:r w:rsidRPr="009C5765">
        <w:rPr>
          <w:rFonts w:ascii="Times New Roman" w:hAnsi="Times New Roman" w:cs="Times New Roman"/>
        </w:rPr>
        <w:t>8 966,5 mil. Sk</w:t>
      </w:r>
      <w:r>
        <w:rPr>
          <w:rFonts w:ascii="Times New Roman" w:hAnsi="Times New Roman" w:cs="Times New Roman"/>
        </w:rPr>
        <w:t>.</w:t>
      </w:r>
      <w:r w:rsidR="00C621C0">
        <w:rPr>
          <w:rFonts w:ascii="Times New Roman" w:hAnsi="Times New Roman" w:cs="Times New Roman"/>
        </w:rPr>
        <w:t xml:space="preserve"> Vývoj pohľadávok bol nasledovný (v mil. Sk):</w:t>
      </w:r>
      <w:r w:rsidRPr="009C5765">
        <w:rPr>
          <w:rFonts w:ascii="Times New Roman" w:hAnsi="Times New Roman" w:cs="Times New Roman"/>
        </w:rPr>
        <w:t xml:space="preserve">      </w:t>
      </w:r>
    </w:p>
    <w:p w:rsidR="00CE270A" w:rsidRPr="009A28F0" w:rsidP="00BA5AD4">
      <w:pPr>
        <w:spacing w:before="120" w:after="120"/>
        <w:ind w:left="720" w:hanging="720"/>
        <w:rPr>
          <w:rFonts w:ascii="Times New Roman" w:hAnsi="Times New Roman" w:cs="Times New Roman"/>
          <w:sz w:val="20"/>
          <w:szCs w:val="20"/>
        </w:rPr>
      </w:pPr>
      <w:r w:rsidR="001B08E6">
        <w:rPr>
          <w:rFonts w:ascii="Times New Roman" w:hAnsi="Times New Roman" w:cs="Times New Roman"/>
          <w:sz w:val="20"/>
          <w:szCs w:val="20"/>
        </w:rPr>
        <w:t xml:space="preserve">  </w:t>
      </w:r>
      <w:r w:rsidR="00C621C0">
        <w:rPr>
          <w:rFonts w:ascii="Times New Roman" w:hAnsi="Times New Roman" w:cs="Times New Roman"/>
          <w:sz w:val="20"/>
          <w:szCs w:val="20"/>
        </w:rPr>
        <w:t xml:space="preserve">     </w:t>
      </w:r>
      <w:r w:rsidR="00BA5AD4">
        <w:rPr>
          <w:rFonts w:ascii="Times New Roman" w:hAnsi="Times New Roman" w:cs="Times New Roman"/>
          <w:sz w:val="20"/>
          <w:szCs w:val="20"/>
        </w:rPr>
        <w:t xml:space="preserve">    </w:t>
      </w:r>
      <w:r w:rsidRPr="009A28F0">
        <w:rPr>
          <w:rFonts w:ascii="Times New Roman" w:hAnsi="Times New Roman" w:cs="Times New Roman"/>
          <w:sz w:val="20"/>
          <w:szCs w:val="20"/>
        </w:rPr>
        <w:t>Zdroj: Daňové riaditeľstvo SR</w:t>
      </w:r>
    </w:p>
    <w:p w:rsidR="00CE270A" w:rsidRPr="00D84AE7" w:rsidP="00D40CB2">
      <w:pPr>
        <w:spacing w:after="120"/>
        <w:ind w:firstLine="360"/>
        <w:rPr>
          <w:rFonts w:ascii="Times New Roman" w:hAnsi="Times New Roman" w:cs="Times New Roman"/>
        </w:rPr>
      </w:pPr>
      <w:r w:rsidRPr="00F45A6D">
        <w:rPr>
          <w:rFonts w:ascii="Times New Roman" w:hAnsi="Times New Roman" w:cs="Times New Roman"/>
          <w:u w:val="single"/>
        </w:rPr>
        <w:t>Pokles daňových pohľadávok spôsobilo</w:t>
      </w:r>
      <w:r w:rsidRPr="00D84AE7">
        <w:rPr>
          <w:rFonts w:ascii="Times New Roman" w:hAnsi="Times New Roman" w:cs="Times New Roman"/>
        </w:rPr>
        <w:t>:</w:t>
      </w:r>
    </w:p>
    <w:p w:rsidR="00CE270A" w:rsidP="00CE270A">
      <w:pPr>
        <w:spacing w:after="120"/>
        <w:rPr>
          <w:rFonts w:ascii="Times New Roman" w:hAnsi="Times New Roman" w:cs="Times New Roman"/>
        </w:rPr>
      </w:pPr>
    </w:p>
    <w:p w:rsidR="00CE270A" w:rsidP="00B81FCD">
      <w:pPr>
        <w:spacing w:after="120" w:line="360" w:lineRule="auto"/>
        <w:ind w:left="540" w:hanging="540"/>
        <w:jc w:val="both"/>
        <w:rPr>
          <w:rFonts w:ascii="Times New Roman" w:hAnsi="Times New Roman" w:cs="Times New Roman"/>
        </w:rPr>
      </w:pPr>
      <w:r>
        <w:rPr>
          <w:rFonts w:ascii="Times New Roman" w:hAnsi="Times New Roman" w:cs="Times New Roman"/>
        </w:rPr>
        <w:t xml:space="preserve">     </w:t>
      </w:r>
      <w:r>
        <w:rPr>
          <w:rFonts w:ascii="Arial Narrow" w:hAnsi="Arial Narrow" w:cs="Times New Roman"/>
        </w:rPr>
        <w:t xml:space="preserve">• </w:t>
      </w:r>
      <w:r w:rsidRPr="00D84AE7">
        <w:rPr>
          <w:rFonts w:ascii="Times New Roman" w:hAnsi="Times New Roman" w:cs="Times New Roman"/>
        </w:rPr>
        <w:t>odpísanie daňových pohľadávok s následkom zániku v zmysle zák</w:t>
      </w:r>
      <w:r>
        <w:rPr>
          <w:rFonts w:ascii="Times New Roman" w:hAnsi="Times New Roman" w:cs="Times New Roman"/>
        </w:rPr>
        <w:t xml:space="preserve">ona </w:t>
      </w:r>
      <w:r w:rsidRPr="00D84AE7">
        <w:rPr>
          <w:rFonts w:ascii="Times New Roman" w:hAnsi="Times New Roman" w:cs="Times New Roman"/>
        </w:rPr>
        <w:t xml:space="preserve">č. 511/1992 Zb. o správe daní a poplatkov a o zmenách v sústave územných finančných orgánov v znení neskorších predpisov (ďalej „zákon o správe daní“) v celkovej výške 13 950 mil. Sk. V sume odpísaných daňových pohľadávok </w:t>
      </w:r>
      <w:r>
        <w:rPr>
          <w:rFonts w:ascii="Times New Roman" w:hAnsi="Times New Roman" w:cs="Times New Roman"/>
        </w:rPr>
        <w:t>sú</w:t>
      </w:r>
      <w:r w:rsidRPr="00D84AE7">
        <w:rPr>
          <w:rFonts w:ascii="Times New Roman" w:hAnsi="Times New Roman" w:cs="Times New Roman"/>
        </w:rPr>
        <w:t xml:space="preserve"> zahrnut</w:t>
      </w:r>
      <w:r>
        <w:rPr>
          <w:rFonts w:ascii="Times New Roman" w:hAnsi="Times New Roman" w:cs="Times New Roman"/>
        </w:rPr>
        <w:t>é aj</w:t>
      </w:r>
      <w:r w:rsidRPr="00D84AE7">
        <w:rPr>
          <w:rFonts w:ascii="Times New Roman" w:hAnsi="Times New Roman" w:cs="Times New Roman"/>
        </w:rPr>
        <w:t xml:space="preserve"> daňov</w:t>
      </w:r>
      <w:r>
        <w:rPr>
          <w:rFonts w:ascii="Times New Roman" w:hAnsi="Times New Roman" w:cs="Times New Roman"/>
        </w:rPr>
        <w:t>é</w:t>
      </w:r>
      <w:r w:rsidRPr="00D84AE7">
        <w:rPr>
          <w:rFonts w:ascii="Times New Roman" w:hAnsi="Times New Roman" w:cs="Times New Roman"/>
        </w:rPr>
        <w:t xml:space="preserve"> pohľadávk</w:t>
      </w:r>
      <w:r>
        <w:rPr>
          <w:rFonts w:ascii="Times New Roman" w:hAnsi="Times New Roman" w:cs="Times New Roman"/>
        </w:rPr>
        <w:t>y</w:t>
      </w:r>
      <w:r w:rsidRPr="00D84AE7">
        <w:rPr>
          <w:rFonts w:ascii="Times New Roman" w:hAnsi="Times New Roman" w:cs="Times New Roman"/>
        </w:rPr>
        <w:t xml:space="preserve"> postúpen</w:t>
      </w:r>
      <w:r>
        <w:rPr>
          <w:rFonts w:ascii="Times New Roman" w:hAnsi="Times New Roman" w:cs="Times New Roman"/>
        </w:rPr>
        <w:t>é</w:t>
      </w:r>
      <w:r w:rsidRPr="00D84AE7">
        <w:rPr>
          <w:rFonts w:ascii="Times New Roman" w:hAnsi="Times New Roman" w:cs="Times New Roman"/>
        </w:rPr>
        <w:t xml:space="preserve"> v roku 2006 zmysle § 65b zákona o správe daní, na základe zmluvy uzatvorenej medzi Daňovým riaditeľstvom SR a Slovenskou konsolidačnou, a.s., vo výške 6 790 mil. Sk</w:t>
      </w:r>
      <w:r>
        <w:rPr>
          <w:rFonts w:ascii="Times New Roman" w:hAnsi="Times New Roman" w:cs="Times New Roman"/>
        </w:rPr>
        <w:t>,</w:t>
      </w:r>
      <w:r w:rsidRPr="00D84AE7">
        <w:rPr>
          <w:rFonts w:ascii="Times New Roman" w:hAnsi="Times New Roman" w:cs="Times New Roman"/>
        </w:rPr>
        <w:t xml:space="preserve">  </w:t>
      </w:r>
    </w:p>
    <w:p w:rsidR="00CE270A" w:rsidP="00B81FCD">
      <w:pPr>
        <w:spacing w:after="120" w:line="360" w:lineRule="auto"/>
        <w:ind w:left="540" w:hanging="540"/>
        <w:jc w:val="both"/>
        <w:rPr>
          <w:rFonts w:ascii="Times New Roman" w:hAnsi="Times New Roman" w:cs="Times New Roman"/>
        </w:rPr>
      </w:pPr>
      <w:r>
        <w:rPr>
          <w:rFonts w:ascii="Arial Narrow" w:hAnsi="Arial Narrow" w:cs="Times New Roman"/>
        </w:rPr>
        <w:t xml:space="preserve">     • </w:t>
      </w:r>
      <w:r w:rsidRPr="004D4B19">
        <w:rPr>
          <w:rFonts w:ascii="Times New Roman" w:hAnsi="Times New Roman" w:cs="Times New Roman"/>
        </w:rPr>
        <w:t>poskytnutie úľav zo sankcií v zmysle § 103 zákona o správe daní v celkovej sume 224 mil. Sk,</w:t>
      </w:r>
    </w:p>
    <w:p w:rsidR="00CE270A" w:rsidRPr="004D4B19" w:rsidP="00B81FCD">
      <w:pPr>
        <w:spacing w:after="120" w:line="360" w:lineRule="auto"/>
        <w:ind w:left="540" w:hanging="540"/>
        <w:jc w:val="both"/>
        <w:rPr>
          <w:rFonts w:ascii="Times New Roman" w:hAnsi="Times New Roman" w:cs="Times New Roman"/>
        </w:rPr>
      </w:pPr>
      <w:r>
        <w:rPr>
          <w:rFonts w:ascii="Arial Narrow" w:hAnsi="Arial Narrow" w:cs="Times New Roman"/>
        </w:rPr>
        <w:t xml:space="preserve">     • </w:t>
      </w:r>
      <w:r w:rsidRPr="004D4B19">
        <w:rPr>
          <w:rFonts w:ascii="Times New Roman" w:hAnsi="Times New Roman" w:cs="Times New Roman"/>
        </w:rPr>
        <w:t>odpustenie daňových nedoplatkov v zmysle § 64 zákona o správe daní vo výške 11 mil. Sk</w:t>
      </w:r>
      <w:r>
        <w:rPr>
          <w:rFonts w:ascii="Times New Roman" w:hAnsi="Times New Roman" w:cs="Times New Roman"/>
        </w:rPr>
        <w:t>.</w:t>
      </w:r>
      <w:r w:rsidRPr="004D4B19">
        <w:rPr>
          <w:rFonts w:ascii="Times New Roman" w:hAnsi="Times New Roman" w:cs="Times New Roman"/>
        </w:rPr>
        <w:t xml:space="preserve"> </w:t>
      </w:r>
    </w:p>
    <w:p w:rsidR="00CE270A" w:rsidRPr="004D4B19" w:rsidP="00B81FCD">
      <w:pPr>
        <w:spacing w:after="120" w:line="360" w:lineRule="auto"/>
        <w:ind w:firstLine="708"/>
        <w:jc w:val="both"/>
        <w:rPr>
          <w:rFonts w:ascii="Times New Roman" w:hAnsi="Times New Roman" w:cs="Times New Roman"/>
        </w:rPr>
      </w:pPr>
      <w:r w:rsidRPr="004D4B19">
        <w:rPr>
          <w:rFonts w:ascii="Times New Roman" w:hAnsi="Times New Roman" w:cs="Times New Roman"/>
        </w:rPr>
        <w:t>Vznik nových daňových pohľadávok na daňových povinnostiach v bežnom roku je   kompenzovaný znižovaním daňových pohľadávok úkonmi správcu dane.</w:t>
      </w:r>
    </w:p>
    <w:p w:rsidR="00CE270A" w:rsidP="00B81FCD">
      <w:pPr>
        <w:spacing w:after="120" w:line="360" w:lineRule="auto"/>
        <w:ind w:firstLine="708"/>
        <w:jc w:val="both"/>
        <w:rPr>
          <w:rFonts w:ascii="Times New Roman" w:hAnsi="Times New Roman" w:cs="Times New Roman"/>
        </w:rPr>
      </w:pPr>
      <w:r w:rsidRPr="00C6482D">
        <w:rPr>
          <w:rFonts w:ascii="Times New Roman" w:hAnsi="Times New Roman" w:cs="Times New Roman"/>
        </w:rPr>
        <w:t>Vykazovanie preplatkov na dani z príjmov fyzick</w:t>
      </w:r>
      <w:r>
        <w:rPr>
          <w:rFonts w:ascii="Times New Roman" w:hAnsi="Times New Roman" w:cs="Times New Roman"/>
        </w:rPr>
        <w:t>ej</w:t>
      </w:r>
      <w:r w:rsidRPr="00C6482D">
        <w:rPr>
          <w:rFonts w:ascii="Times New Roman" w:hAnsi="Times New Roman" w:cs="Times New Roman"/>
        </w:rPr>
        <w:t xml:space="preserve"> os</w:t>
      </w:r>
      <w:r>
        <w:rPr>
          <w:rFonts w:ascii="Times New Roman" w:hAnsi="Times New Roman" w:cs="Times New Roman"/>
        </w:rPr>
        <w:t>oby</w:t>
      </w:r>
      <w:r w:rsidRPr="00C6482D">
        <w:rPr>
          <w:rFonts w:ascii="Times New Roman" w:hAnsi="Times New Roman" w:cs="Times New Roman"/>
        </w:rPr>
        <w:t xml:space="preserve"> zo závislej činnosti je aj v roku 2006 ovplyvnené skutočnosťou, že platitelia dane odvedú preddavky na daň a až následne majú povinnosť v lehote do 30 dní po uplynutí kalendárneho štvrťroka zaslať prehľad o zrazených a odvedených preddavkoch. Z tohto dôvodu sú na dani evidované preplatky, keďže predpis odvodovej  povinnosti je evidovaný až po spracovaní zaslaných prehľadov. </w:t>
      </w:r>
    </w:p>
    <w:p w:rsidR="00CE270A" w:rsidP="00B81FCD">
      <w:pPr>
        <w:spacing w:line="360" w:lineRule="auto"/>
        <w:ind w:firstLine="708"/>
        <w:jc w:val="both"/>
        <w:rPr>
          <w:rFonts w:ascii="Times New Roman" w:hAnsi="Times New Roman" w:cs="Times New Roman"/>
        </w:rPr>
      </w:pPr>
      <w:r w:rsidRPr="00216E84">
        <w:rPr>
          <w:rFonts w:ascii="Times New Roman" w:hAnsi="Times New Roman" w:cs="Times New Roman"/>
        </w:rPr>
        <w:t>Medziročný nárast daňových pohľadávok na majetkových daniach (da</w:t>
      </w:r>
      <w:r>
        <w:rPr>
          <w:rFonts w:ascii="Times New Roman" w:hAnsi="Times New Roman" w:cs="Times New Roman"/>
        </w:rPr>
        <w:t>ň</w:t>
      </w:r>
      <w:r w:rsidRPr="00216E84">
        <w:rPr>
          <w:rFonts w:ascii="Times New Roman" w:hAnsi="Times New Roman" w:cs="Times New Roman"/>
        </w:rPr>
        <w:t xml:space="preserve"> z dedičstva, da</w:t>
      </w:r>
      <w:r>
        <w:rPr>
          <w:rFonts w:ascii="Times New Roman" w:hAnsi="Times New Roman" w:cs="Times New Roman"/>
        </w:rPr>
        <w:t>ň</w:t>
      </w:r>
      <w:r w:rsidRPr="00216E84">
        <w:rPr>
          <w:rFonts w:ascii="Times New Roman" w:hAnsi="Times New Roman" w:cs="Times New Roman"/>
        </w:rPr>
        <w:t xml:space="preserve"> z darovania a da</w:t>
      </w:r>
      <w:r>
        <w:rPr>
          <w:rFonts w:ascii="Times New Roman" w:hAnsi="Times New Roman" w:cs="Times New Roman"/>
        </w:rPr>
        <w:t>ň</w:t>
      </w:r>
      <w:r w:rsidRPr="00216E84">
        <w:rPr>
          <w:rFonts w:ascii="Times New Roman" w:hAnsi="Times New Roman" w:cs="Times New Roman"/>
        </w:rPr>
        <w:t xml:space="preserve"> z prevodu a prechodu nehnuteľností) vo výške 309,8 mil. Sk bol spôsobený aktivitou správcov daní pri vyrubovaní daňových povinností za staré roky</w:t>
      </w:r>
      <w:r>
        <w:rPr>
          <w:rFonts w:ascii="Times New Roman" w:hAnsi="Times New Roman" w:cs="Times New Roman"/>
        </w:rPr>
        <w:t>,</w:t>
      </w:r>
      <w:r w:rsidRPr="00216E84">
        <w:rPr>
          <w:rFonts w:ascii="Times New Roman" w:hAnsi="Times New Roman" w:cs="Times New Roman"/>
        </w:rPr>
        <w:t xml:space="preserve">  ako aj vyrubovaním sankcií</w:t>
      </w:r>
      <w:r>
        <w:rPr>
          <w:rFonts w:ascii="Times New Roman" w:hAnsi="Times New Roman" w:cs="Times New Roman"/>
        </w:rPr>
        <w:t xml:space="preserve"> v súvislosti s nariadením vlády č. 418/2006. </w:t>
      </w:r>
    </w:p>
    <w:p w:rsidR="00CE270A" w:rsidP="00CE270A">
      <w:pPr>
        <w:spacing w:line="360" w:lineRule="auto"/>
        <w:ind w:firstLine="708"/>
        <w:jc w:val="both"/>
        <w:rPr>
          <w:rFonts w:ascii="Times New Roman" w:hAnsi="Times New Roman" w:cs="Times New Roman"/>
        </w:rPr>
      </w:pPr>
    </w:p>
    <w:p w:rsidR="00CE270A" w:rsidP="00CE270A">
      <w:pPr>
        <w:jc w:val="center"/>
        <w:rPr>
          <w:rFonts w:ascii="Times New Roman" w:hAnsi="Times New Roman" w:cs="Times New Roman"/>
          <w:b/>
        </w:rPr>
      </w:pPr>
      <w:r w:rsidR="00644DA1">
        <w:rPr>
          <w:rFonts w:ascii="Times New Roman" w:hAnsi="Times New Roman" w:cs="Times New Roman"/>
          <w:b/>
        </w:rPr>
        <w:t>6</w:t>
      </w:r>
      <w:r>
        <w:rPr>
          <w:rFonts w:ascii="Times New Roman" w:hAnsi="Times New Roman" w:cs="Times New Roman"/>
          <w:b/>
        </w:rPr>
        <w:t>.2. Coln</w:t>
      </w:r>
      <w:r w:rsidRPr="00D90750">
        <w:rPr>
          <w:rFonts w:ascii="Times New Roman" w:hAnsi="Times New Roman" w:cs="Times New Roman"/>
          <w:b/>
        </w:rPr>
        <w:t>é pohľadávky</w:t>
      </w:r>
    </w:p>
    <w:p w:rsidR="00CE270A" w:rsidRPr="003C7A2D" w:rsidP="00CE270A">
      <w:pPr>
        <w:tabs>
          <w:tab w:val="left" w:pos="4962"/>
        </w:tabs>
        <w:rPr>
          <w:rFonts w:ascii="Times New Roman" w:hAnsi="Times New Roman" w:cs="Times New Roman"/>
        </w:rPr>
      </w:pPr>
      <w:r w:rsidRPr="003C7A2D">
        <w:rPr>
          <w:rFonts w:ascii="Times New Roman" w:hAnsi="Times New Roman" w:cs="Times New Roman"/>
        </w:rPr>
        <w:t xml:space="preserve">          </w:t>
      </w:r>
    </w:p>
    <w:p w:rsidR="00CE270A" w:rsidP="00CE270A">
      <w:pPr>
        <w:spacing w:line="360" w:lineRule="auto"/>
        <w:ind w:left="1" w:firstLine="719"/>
        <w:jc w:val="both"/>
        <w:rPr>
          <w:rFonts w:ascii="Times New Roman" w:hAnsi="Times New Roman" w:cs="Times New Roman"/>
        </w:rPr>
      </w:pPr>
      <w:r w:rsidRPr="003C7A2D">
        <w:rPr>
          <w:rFonts w:ascii="Times New Roman" w:hAnsi="Times New Roman" w:cs="Times New Roman"/>
        </w:rPr>
        <w:t>Celkový objem colných a daňových pohľadávok za</w:t>
      </w:r>
      <w:r>
        <w:rPr>
          <w:rFonts w:ascii="Times New Roman" w:hAnsi="Times New Roman" w:cs="Times New Roman"/>
        </w:rPr>
        <w:t xml:space="preserve"> c</w:t>
      </w:r>
      <w:r w:rsidRPr="003C7A2D">
        <w:rPr>
          <w:rFonts w:ascii="Times New Roman" w:hAnsi="Times New Roman" w:cs="Times New Roman"/>
        </w:rPr>
        <w:t>olnú správu</w:t>
      </w:r>
      <w:r>
        <w:rPr>
          <w:rFonts w:ascii="Times New Roman" w:hAnsi="Times New Roman" w:cs="Times New Roman"/>
        </w:rPr>
        <w:t xml:space="preserve"> </w:t>
      </w:r>
      <w:r w:rsidRPr="003C7A2D">
        <w:rPr>
          <w:rFonts w:ascii="Times New Roman" w:hAnsi="Times New Roman" w:cs="Times New Roman"/>
        </w:rPr>
        <w:t>k 31.12.</w:t>
      </w:r>
      <w:r>
        <w:rPr>
          <w:rFonts w:ascii="Times New Roman" w:hAnsi="Times New Roman" w:cs="Times New Roman"/>
        </w:rPr>
        <w:t>20</w:t>
      </w:r>
      <w:r w:rsidRPr="003C7A2D">
        <w:rPr>
          <w:rFonts w:ascii="Times New Roman" w:hAnsi="Times New Roman" w:cs="Times New Roman"/>
        </w:rPr>
        <w:t>06   dosiahol 6</w:t>
      </w:r>
      <w:r>
        <w:rPr>
          <w:rFonts w:ascii="Times New Roman" w:hAnsi="Times New Roman" w:cs="Times New Roman"/>
        </w:rPr>
        <w:t> </w:t>
      </w:r>
      <w:r w:rsidRPr="003C7A2D">
        <w:rPr>
          <w:rFonts w:ascii="Times New Roman" w:hAnsi="Times New Roman" w:cs="Times New Roman"/>
        </w:rPr>
        <w:t>125</w:t>
      </w:r>
      <w:r>
        <w:rPr>
          <w:rFonts w:ascii="Times New Roman" w:hAnsi="Times New Roman" w:cs="Times New Roman"/>
        </w:rPr>
        <w:t>,</w:t>
      </w:r>
      <w:r w:rsidRPr="003C7A2D">
        <w:rPr>
          <w:rFonts w:ascii="Times New Roman" w:hAnsi="Times New Roman" w:cs="Times New Roman"/>
        </w:rPr>
        <w:t xml:space="preserve">6 </w:t>
      </w:r>
      <w:r>
        <w:rPr>
          <w:rFonts w:ascii="Times New Roman" w:hAnsi="Times New Roman" w:cs="Times New Roman"/>
        </w:rPr>
        <w:t>mil.</w:t>
      </w:r>
      <w:r w:rsidRPr="003C7A2D">
        <w:rPr>
          <w:rFonts w:ascii="Times New Roman" w:hAnsi="Times New Roman" w:cs="Times New Roman"/>
        </w:rPr>
        <w:t xml:space="preserve"> Sk. V</w:t>
      </w:r>
      <w:r>
        <w:rPr>
          <w:rFonts w:ascii="Times New Roman" w:hAnsi="Times New Roman" w:cs="Times New Roman"/>
        </w:rPr>
        <w:t xml:space="preserve"> medziročnom </w:t>
      </w:r>
      <w:r w:rsidRPr="003C7A2D">
        <w:rPr>
          <w:rFonts w:ascii="Times New Roman" w:hAnsi="Times New Roman" w:cs="Times New Roman"/>
        </w:rPr>
        <w:t xml:space="preserve">porovnaní </w:t>
      </w:r>
      <w:r>
        <w:rPr>
          <w:rFonts w:ascii="Times New Roman" w:hAnsi="Times New Roman" w:cs="Times New Roman"/>
        </w:rPr>
        <w:t xml:space="preserve">to predstavuje </w:t>
      </w:r>
      <w:r w:rsidRPr="003C7A2D">
        <w:rPr>
          <w:rFonts w:ascii="Times New Roman" w:hAnsi="Times New Roman" w:cs="Times New Roman"/>
        </w:rPr>
        <w:t>pokles</w:t>
      </w:r>
      <w:r>
        <w:rPr>
          <w:rFonts w:ascii="Times New Roman" w:hAnsi="Times New Roman" w:cs="Times New Roman"/>
        </w:rPr>
        <w:t xml:space="preserve"> </w:t>
      </w:r>
      <w:r w:rsidRPr="003C7A2D">
        <w:rPr>
          <w:rFonts w:ascii="Times New Roman" w:hAnsi="Times New Roman" w:cs="Times New Roman"/>
        </w:rPr>
        <w:t>o</w:t>
      </w:r>
      <w:r>
        <w:rPr>
          <w:rFonts w:ascii="Times New Roman" w:hAnsi="Times New Roman" w:cs="Times New Roman"/>
        </w:rPr>
        <w:t> </w:t>
      </w:r>
      <w:r w:rsidRPr="003C7A2D">
        <w:rPr>
          <w:rFonts w:ascii="Times New Roman" w:hAnsi="Times New Roman" w:cs="Times New Roman"/>
        </w:rPr>
        <w:t>289</w:t>
      </w:r>
      <w:r>
        <w:rPr>
          <w:rFonts w:ascii="Times New Roman" w:hAnsi="Times New Roman" w:cs="Times New Roman"/>
        </w:rPr>
        <w:t>,</w:t>
      </w:r>
      <w:r w:rsidRPr="003C7A2D">
        <w:rPr>
          <w:rFonts w:ascii="Times New Roman" w:hAnsi="Times New Roman" w:cs="Times New Roman"/>
        </w:rPr>
        <w:t xml:space="preserve">4 </w:t>
      </w:r>
      <w:r>
        <w:rPr>
          <w:rFonts w:ascii="Times New Roman" w:hAnsi="Times New Roman" w:cs="Times New Roman"/>
        </w:rPr>
        <w:t xml:space="preserve">mil. </w:t>
      </w:r>
      <w:r w:rsidRPr="003C7A2D">
        <w:rPr>
          <w:rFonts w:ascii="Times New Roman" w:hAnsi="Times New Roman" w:cs="Times New Roman"/>
        </w:rPr>
        <w:t xml:space="preserve">Sk, </w:t>
      </w:r>
      <w:r>
        <w:rPr>
          <w:rFonts w:ascii="Times New Roman" w:hAnsi="Times New Roman" w:cs="Times New Roman"/>
        </w:rPr>
        <w:t xml:space="preserve">resp. o </w:t>
      </w:r>
      <w:r w:rsidRPr="003C7A2D">
        <w:rPr>
          <w:rFonts w:ascii="Times New Roman" w:hAnsi="Times New Roman" w:cs="Times New Roman"/>
        </w:rPr>
        <w:t>4,5</w:t>
      </w:r>
      <w:r>
        <w:rPr>
          <w:rFonts w:ascii="Times New Roman" w:hAnsi="Times New Roman" w:cs="Times New Roman"/>
        </w:rPr>
        <w:t xml:space="preserve"> </w:t>
      </w:r>
      <w:r w:rsidRPr="003C7A2D">
        <w:rPr>
          <w:rFonts w:ascii="Times New Roman" w:hAnsi="Times New Roman" w:cs="Times New Roman"/>
        </w:rPr>
        <w:t>%. Pokles bol spôsobený hlavne postúpením pohľadávok podľa § 89 zákona č. 199/2004 Z. z. Colný zákon v znení neskorších predpisov</w:t>
      </w:r>
      <w:r>
        <w:rPr>
          <w:rFonts w:ascii="Times New Roman" w:hAnsi="Times New Roman" w:cs="Times New Roman"/>
        </w:rPr>
        <w:t>,</w:t>
      </w:r>
      <w:r w:rsidRPr="003C7A2D">
        <w:rPr>
          <w:rFonts w:ascii="Times New Roman" w:hAnsi="Times New Roman" w:cs="Times New Roman"/>
        </w:rPr>
        <w:t xml:space="preserve"> ako aj odpísaním pohľadávok.  </w:t>
      </w:r>
    </w:p>
    <w:p w:rsidR="00CE270A" w:rsidRPr="00195395" w:rsidP="00CE270A">
      <w:pPr>
        <w:spacing w:line="360" w:lineRule="auto"/>
        <w:ind w:firstLine="720"/>
        <w:jc w:val="both"/>
        <w:rPr>
          <w:rFonts w:ascii="Times New Roman" w:hAnsi="Times New Roman" w:cs="Times New Roman"/>
          <w:u w:val="single"/>
        </w:rPr>
      </w:pPr>
      <w:r w:rsidRPr="003C7A2D">
        <w:rPr>
          <w:rFonts w:ascii="Times New Roman" w:hAnsi="Times New Roman" w:cs="Times New Roman"/>
          <w:u w:val="single"/>
        </w:rPr>
        <w:t>Pohľadávky v lehote splatnosti</w:t>
      </w:r>
      <w:r>
        <w:rPr>
          <w:rFonts w:ascii="Times New Roman" w:hAnsi="Times New Roman" w:cs="Times New Roman"/>
        </w:rPr>
        <w:t xml:space="preserve"> tvoria </w:t>
      </w:r>
      <w:r w:rsidRPr="003C7A2D">
        <w:rPr>
          <w:rFonts w:ascii="Times New Roman" w:hAnsi="Times New Roman" w:cs="Times New Roman"/>
        </w:rPr>
        <w:t xml:space="preserve">pohľadávky  v  zákonnej  10 dňovej lehote splatnosti a pohľadávky, </w:t>
      </w:r>
      <w:r>
        <w:rPr>
          <w:rFonts w:ascii="Times New Roman" w:hAnsi="Times New Roman" w:cs="Times New Roman"/>
        </w:rPr>
        <w:t>pri</w:t>
      </w:r>
      <w:r w:rsidRPr="003C7A2D">
        <w:rPr>
          <w:rFonts w:ascii="Times New Roman" w:hAnsi="Times New Roman" w:cs="Times New Roman"/>
        </w:rPr>
        <w:t> ktorých  colný úrad na základe žiadosti dlžníka povolil odklad platby alebo je</w:t>
      </w:r>
      <w:r>
        <w:rPr>
          <w:rFonts w:ascii="Times New Roman" w:hAnsi="Times New Roman" w:cs="Times New Roman"/>
        </w:rPr>
        <w:t xml:space="preserve">j </w:t>
      </w:r>
      <w:r w:rsidRPr="003C7A2D">
        <w:rPr>
          <w:rFonts w:ascii="Times New Roman" w:hAnsi="Times New Roman" w:cs="Times New Roman"/>
        </w:rPr>
        <w:t xml:space="preserve">zaplatenie  v splátkach. Stav </w:t>
      </w:r>
      <w:r>
        <w:rPr>
          <w:rFonts w:ascii="Times New Roman" w:hAnsi="Times New Roman" w:cs="Times New Roman"/>
        </w:rPr>
        <w:t xml:space="preserve">týchto </w:t>
      </w:r>
      <w:r w:rsidRPr="003C7A2D">
        <w:rPr>
          <w:rFonts w:ascii="Times New Roman" w:hAnsi="Times New Roman" w:cs="Times New Roman"/>
        </w:rPr>
        <w:t xml:space="preserve">pohľadávok </w:t>
      </w:r>
      <w:r w:rsidRPr="00195395">
        <w:rPr>
          <w:rFonts w:ascii="Times New Roman" w:hAnsi="Times New Roman" w:cs="Times New Roman"/>
        </w:rPr>
        <w:t xml:space="preserve">k 31.12.2006 </w:t>
      </w:r>
      <w:r w:rsidRPr="003C7A2D">
        <w:rPr>
          <w:rFonts w:ascii="Times New Roman" w:hAnsi="Times New Roman" w:cs="Times New Roman"/>
        </w:rPr>
        <w:t>dosiahol</w:t>
      </w:r>
      <w:r w:rsidRPr="00195395">
        <w:rPr>
          <w:rFonts w:ascii="Times New Roman" w:hAnsi="Times New Roman" w:cs="Times New Roman"/>
        </w:rPr>
        <w:t xml:space="preserve"> celkom 994,2 mil. Sk</w:t>
      </w:r>
      <w:r>
        <w:rPr>
          <w:rFonts w:ascii="Times New Roman" w:hAnsi="Times New Roman" w:cs="Times New Roman"/>
        </w:rPr>
        <w:t xml:space="preserve"> (v roku 2005: 1 049,9 mil. Sk)</w:t>
      </w:r>
      <w:r w:rsidRPr="00195395">
        <w:rPr>
          <w:rFonts w:ascii="Times New Roman" w:hAnsi="Times New Roman" w:cs="Times New Roman"/>
        </w:rPr>
        <w:t>, z toho v zákonnej 10 dňovej lehote 991</w:t>
      </w:r>
      <w:r>
        <w:rPr>
          <w:rFonts w:ascii="Times New Roman" w:hAnsi="Times New Roman" w:cs="Times New Roman"/>
        </w:rPr>
        <w:t>,</w:t>
      </w:r>
      <w:r w:rsidRPr="00195395">
        <w:rPr>
          <w:rFonts w:ascii="Times New Roman" w:hAnsi="Times New Roman" w:cs="Times New Roman"/>
        </w:rPr>
        <w:t xml:space="preserve">6 </w:t>
      </w:r>
      <w:r>
        <w:rPr>
          <w:rFonts w:ascii="Times New Roman" w:hAnsi="Times New Roman" w:cs="Times New Roman"/>
        </w:rPr>
        <w:t>mil.</w:t>
      </w:r>
      <w:r w:rsidRPr="00195395">
        <w:rPr>
          <w:rFonts w:ascii="Times New Roman" w:hAnsi="Times New Roman" w:cs="Times New Roman"/>
        </w:rPr>
        <w:t xml:space="preserve"> Sk</w:t>
      </w:r>
      <w:r>
        <w:rPr>
          <w:rFonts w:ascii="Times New Roman" w:hAnsi="Times New Roman" w:cs="Times New Roman"/>
        </w:rPr>
        <w:t xml:space="preserve"> </w:t>
      </w:r>
      <w:r w:rsidRPr="00195395">
        <w:rPr>
          <w:rFonts w:ascii="Times New Roman" w:hAnsi="Times New Roman" w:cs="Times New Roman"/>
        </w:rPr>
        <w:t xml:space="preserve">a  splátky a odklady </w:t>
      </w:r>
      <w:r>
        <w:rPr>
          <w:rFonts w:ascii="Times New Roman" w:hAnsi="Times New Roman" w:cs="Times New Roman"/>
        </w:rPr>
        <w:t>predstavujú</w:t>
      </w:r>
      <w:r w:rsidRPr="00195395">
        <w:rPr>
          <w:rFonts w:ascii="Times New Roman" w:hAnsi="Times New Roman" w:cs="Times New Roman"/>
        </w:rPr>
        <w:t xml:space="preserve">  2</w:t>
      </w:r>
      <w:r>
        <w:rPr>
          <w:rFonts w:ascii="Times New Roman" w:hAnsi="Times New Roman" w:cs="Times New Roman"/>
        </w:rPr>
        <w:t>,6</w:t>
      </w:r>
      <w:r w:rsidRPr="00195395">
        <w:rPr>
          <w:rFonts w:ascii="Times New Roman" w:hAnsi="Times New Roman" w:cs="Times New Roman"/>
        </w:rPr>
        <w:t xml:space="preserve"> </w:t>
      </w:r>
      <w:r>
        <w:rPr>
          <w:rFonts w:ascii="Times New Roman" w:hAnsi="Times New Roman" w:cs="Times New Roman"/>
        </w:rPr>
        <w:t>mil.</w:t>
      </w:r>
      <w:r w:rsidRPr="00195395">
        <w:rPr>
          <w:rFonts w:ascii="Times New Roman" w:hAnsi="Times New Roman" w:cs="Times New Roman"/>
        </w:rPr>
        <w:t xml:space="preserve"> Sk. </w:t>
      </w:r>
    </w:p>
    <w:p w:rsidR="00CE270A" w:rsidRPr="007E12AA" w:rsidP="00CE270A">
      <w:pPr>
        <w:tabs>
          <w:tab w:val="left" w:pos="567"/>
        </w:tabs>
        <w:spacing w:line="360" w:lineRule="auto"/>
        <w:jc w:val="both"/>
        <w:rPr>
          <w:rFonts w:ascii="Times New Roman" w:hAnsi="Times New Roman" w:cs="Times New Roman"/>
        </w:rPr>
      </w:pPr>
      <w:r>
        <w:rPr>
          <w:rFonts w:ascii="Times New Roman" w:hAnsi="Times New Roman" w:cs="Times New Roman"/>
        </w:rPr>
        <w:t xml:space="preserve">  </w:t>
        <w:tab/>
      </w:r>
      <w:r w:rsidRPr="00573163">
        <w:rPr>
          <w:rFonts w:ascii="Times New Roman" w:hAnsi="Times New Roman" w:cs="Times New Roman"/>
          <w:u w:val="single"/>
        </w:rPr>
        <w:t>Pohľadávky po lehote splatnosti</w:t>
      </w:r>
      <w:r w:rsidRPr="00573163">
        <w:rPr>
          <w:rFonts w:ascii="Times New Roman" w:hAnsi="Times New Roman" w:cs="Times New Roman"/>
        </w:rPr>
        <w:t xml:space="preserve"> vykázali k 31. 12. 2006  stav 4 812,4 mil. Sk</w:t>
      </w:r>
      <w:r>
        <w:rPr>
          <w:rFonts w:ascii="Times New Roman" w:hAnsi="Times New Roman" w:cs="Times New Roman"/>
        </w:rPr>
        <w:t xml:space="preserve"> (v roku 2005: 5 108,1 mil. Sk). Sú v nich obsiahnuté najmä nedoplatky z rokov 1991 -1993</w:t>
      </w:r>
      <w:r w:rsidRPr="00573163">
        <w:rPr>
          <w:rFonts w:ascii="Times New Roman" w:hAnsi="Times New Roman" w:cs="Times New Roman"/>
        </w:rPr>
        <w:t>, ako aj z roku 2001</w:t>
      </w:r>
      <w:r>
        <w:rPr>
          <w:rFonts w:ascii="Times New Roman" w:hAnsi="Times New Roman" w:cs="Times New Roman"/>
        </w:rPr>
        <w:t>, kedy došlo k </w:t>
      </w:r>
      <w:r w:rsidRPr="00573163">
        <w:rPr>
          <w:rFonts w:ascii="Times New Roman" w:hAnsi="Times New Roman" w:cs="Times New Roman"/>
        </w:rPr>
        <w:t>prihláseni</w:t>
      </w:r>
      <w:r>
        <w:rPr>
          <w:rFonts w:ascii="Times New Roman" w:hAnsi="Times New Roman" w:cs="Times New Roman"/>
        </w:rPr>
        <w:t>u spoločnosti</w:t>
      </w:r>
      <w:r w:rsidRPr="00573163">
        <w:rPr>
          <w:rFonts w:ascii="Times New Roman" w:hAnsi="Times New Roman" w:cs="Times New Roman"/>
        </w:rPr>
        <w:t xml:space="preserve"> Calex</w:t>
      </w:r>
      <w:r>
        <w:rPr>
          <w:rFonts w:ascii="Times New Roman" w:hAnsi="Times New Roman" w:cs="Times New Roman"/>
        </w:rPr>
        <w:t>,</w:t>
      </w:r>
      <w:r w:rsidRPr="00573163">
        <w:rPr>
          <w:rFonts w:ascii="Times New Roman" w:hAnsi="Times New Roman" w:cs="Times New Roman"/>
        </w:rPr>
        <w:t xml:space="preserve"> a.s. Zlaté  Moravce  do  konkurzu,  kde  v  rámci   konkurznej prihlášky  boli  uplatnené  aj  úroky z omeškania vo výške 1</w:t>
      </w:r>
      <w:r>
        <w:rPr>
          <w:rFonts w:ascii="Times New Roman" w:hAnsi="Times New Roman" w:cs="Times New Roman"/>
        </w:rPr>
        <w:t> </w:t>
      </w:r>
      <w:r w:rsidRPr="00573163">
        <w:rPr>
          <w:rFonts w:ascii="Times New Roman" w:hAnsi="Times New Roman" w:cs="Times New Roman"/>
        </w:rPr>
        <w:t>358</w:t>
      </w:r>
      <w:r>
        <w:rPr>
          <w:rFonts w:ascii="Times New Roman" w:hAnsi="Times New Roman" w:cs="Times New Roman"/>
        </w:rPr>
        <w:t>,</w:t>
      </w:r>
      <w:r w:rsidRPr="00573163">
        <w:rPr>
          <w:rFonts w:ascii="Times New Roman" w:hAnsi="Times New Roman" w:cs="Times New Roman"/>
        </w:rPr>
        <w:t xml:space="preserve">0 </w:t>
      </w:r>
      <w:r>
        <w:rPr>
          <w:rFonts w:ascii="Times New Roman" w:hAnsi="Times New Roman" w:cs="Times New Roman"/>
        </w:rPr>
        <w:t>mil.</w:t>
      </w:r>
      <w:r w:rsidRPr="00573163">
        <w:rPr>
          <w:rFonts w:ascii="Times New Roman" w:hAnsi="Times New Roman" w:cs="Times New Roman"/>
        </w:rPr>
        <w:t xml:space="preserve"> Sk.</w:t>
      </w:r>
      <w:r>
        <w:rPr>
          <w:rFonts w:ascii="Times New Roman" w:hAnsi="Times New Roman" w:cs="Times New Roman"/>
        </w:rPr>
        <w:t xml:space="preserve"> </w:t>
      </w:r>
      <w:r w:rsidRPr="00573163">
        <w:rPr>
          <w:rFonts w:ascii="Times New Roman" w:hAnsi="Times New Roman" w:cs="Times New Roman"/>
        </w:rPr>
        <w:t>Z hľadiska colných úradov najvyšší stav colných a daňových pohľadávok po lehote splatnosti</w:t>
      </w:r>
      <w:r>
        <w:rPr>
          <w:rFonts w:ascii="Times New Roman" w:hAnsi="Times New Roman" w:cs="Times New Roman"/>
        </w:rPr>
        <w:t xml:space="preserve"> </w:t>
      </w:r>
      <w:r w:rsidRPr="00573163">
        <w:rPr>
          <w:rFonts w:ascii="Times New Roman" w:hAnsi="Times New Roman" w:cs="Times New Roman"/>
        </w:rPr>
        <w:t>2</w:t>
      </w:r>
      <w:r>
        <w:rPr>
          <w:rFonts w:ascii="Times New Roman" w:hAnsi="Times New Roman" w:cs="Times New Roman"/>
        </w:rPr>
        <w:t> </w:t>
      </w:r>
      <w:r w:rsidRPr="00573163">
        <w:rPr>
          <w:rFonts w:ascii="Times New Roman" w:hAnsi="Times New Roman" w:cs="Times New Roman"/>
        </w:rPr>
        <w:t>684</w:t>
      </w:r>
      <w:r>
        <w:rPr>
          <w:rFonts w:ascii="Times New Roman" w:hAnsi="Times New Roman" w:cs="Times New Roman"/>
        </w:rPr>
        <w:t>,</w:t>
      </w:r>
      <w:r w:rsidRPr="00573163">
        <w:rPr>
          <w:rFonts w:ascii="Times New Roman" w:hAnsi="Times New Roman" w:cs="Times New Roman"/>
        </w:rPr>
        <w:t xml:space="preserve">7 </w:t>
      </w:r>
      <w:r>
        <w:rPr>
          <w:rFonts w:ascii="Times New Roman" w:hAnsi="Times New Roman" w:cs="Times New Roman"/>
        </w:rPr>
        <w:t>mil</w:t>
      </w:r>
      <w:r w:rsidRPr="00573163">
        <w:rPr>
          <w:rFonts w:ascii="Times New Roman" w:hAnsi="Times New Roman" w:cs="Times New Roman"/>
        </w:rPr>
        <w:t xml:space="preserve">. Sk vykázal Colný úrad Nitra, </w:t>
      </w:r>
      <w:r>
        <w:rPr>
          <w:rFonts w:ascii="Times New Roman" w:hAnsi="Times New Roman" w:cs="Times New Roman"/>
        </w:rPr>
        <w:t>k</w:t>
      </w:r>
      <w:r w:rsidRPr="00573163">
        <w:rPr>
          <w:rFonts w:ascii="Times New Roman" w:hAnsi="Times New Roman" w:cs="Times New Roman"/>
        </w:rPr>
        <w:t>to</w:t>
      </w:r>
      <w:r>
        <w:rPr>
          <w:rFonts w:ascii="Times New Roman" w:hAnsi="Times New Roman" w:cs="Times New Roman"/>
        </w:rPr>
        <w:t xml:space="preserve">rý sa na celkovom objeme týchto pohľadávok podieľa </w:t>
      </w:r>
      <w:r w:rsidRPr="00573163">
        <w:rPr>
          <w:rFonts w:ascii="Times New Roman" w:hAnsi="Times New Roman" w:cs="Times New Roman"/>
        </w:rPr>
        <w:t>55,</w:t>
      </w:r>
      <w:r>
        <w:rPr>
          <w:rFonts w:ascii="Times New Roman" w:hAnsi="Times New Roman" w:cs="Times New Roman"/>
        </w:rPr>
        <w:t xml:space="preserve">8 </w:t>
      </w:r>
      <w:r w:rsidRPr="00573163">
        <w:rPr>
          <w:rFonts w:ascii="Times New Roman" w:hAnsi="Times New Roman" w:cs="Times New Roman"/>
        </w:rPr>
        <w:t>%</w:t>
      </w:r>
      <w:r>
        <w:rPr>
          <w:rFonts w:ascii="Times New Roman" w:hAnsi="Times New Roman" w:cs="Times New Roman"/>
        </w:rPr>
        <w:t xml:space="preserve">, čo súvisí s uvádzaným </w:t>
      </w:r>
      <w:r w:rsidRPr="00573163">
        <w:rPr>
          <w:rFonts w:ascii="Times New Roman" w:hAnsi="Times New Roman" w:cs="Times New Roman"/>
        </w:rPr>
        <w:t>vstupom spoločnos</w:t>
      </w:r>
      <w:r>
        <w:rPr>
          <w:rFonts w:ascii="Times New Roman" w:hAnsi="Times New Roman" w:cs="Times New Roman"/>
        </w:rPr>
        <w:t xml:space="preserve">ti </w:t>
      </w:r>
      <w:r w:rsidRPr="00573163">
        <w:rPr>
          <w:rFonts w:ascii="Times New Roman" w:hAnsi="Times New Roman" w:cs="Times New Roman"/>
        </w:rPr>
        <w:t>Calex</w:t>
      </w:r>
      <w:r>
        <w:rPr>
          <w:rFonts w:ascii="Times New Roman" w:hAnsi="Times New Roman" w:cs="Times New Roman"/>
        </w:rPr>
        <w:t>,</w:t>
      </w:r>
      <w:r w:rsidRPr="00573163">
        <w:rPr>
          <w:rFonts w:ascii="Times New Roman" w:hAnsi="Times New Roman" w:cs="Times New Roman"/>
        </w:rPr>
        <w:t xml:space="preserve">  a.s. Zlat</w:t>
      </w:r>
      <w:r>
        <w:rPr>
          <w:rFonts w:ascii="Times New Roman" w:hAnsi="Times New Roman" w:cs="Times New Roman"/>
        </w:rPr>
        <w:t>é</w:t>
      </w:r>
      <w:r w:rsidRPr="00573163">
        <w:rPr>
          <w:rFonts w:ascii="Times New Roman" w:hAnsi="Times New Roman" w:cs="Times New Roman"/>
        </w:rPr>
        <w:t xml:space="preserve"> Moravce</w:t>
      </w:r>
      <w:r>
        <w:rPr>
          <w:rFonts w:ascii="Times New Roman" w:hAnsi="Times New Roman" w:cs="Times New Roman"/>
        </w:rPr>
        <w:t xml:space="preserve"> </w:t>
      </w:r>
      <w:r w:rsidRPr="00573163">
        <w:rPr>
          <w:rFonts w:ascii="Times New Roman" w:hAnsi="Times New Roman" w:cs="Times New Roman"/>
        </w:rPr>
        <w:t>do konkurzu. Naopak</w:t>
      </w:r>
      <w:r>
        <w:rPr>
          <w:rFonts w:ascii="Times New Roman" w:hAnsi="Times New Roman" w:cs="Times New Roman"/>
        </w:rPr>
        <w:t>,</w:t>
      </w:r>
      <w:r w:rsidRPr="00573163">
        <w:rPr>
          <w:rFonts w:ascii="Times New Roman" w:hAnsi="Times New Roman" w:cs="Times New Roman"/>
        </w:rPr>
        <w:t xml:space="preserve"> najnižší stav 112</w:t>
      </w:r>
      <w:r>
        <w:rPr>
          <w:rFonts w:ascii="Times New Roman" w:hAnsi="Times New Roman" w:cs="Times New Roman"/>
        </w:rPr>
        <w:t>,6 mil.</w:t>
      </w:r>
      <w:r w:rsidRPr="00573163">
        <w:rPr>
          <w:rFonts w:ascii="Times New Roman" w:hAnsi="Times New Roman" w:cs="Times New Roman"/>
        </w:rPr>
        <w:t xml:space="preserve"> Sk</w:t>
      </w:r>
      <w:r>
        <w:rPr>
          <w:rFonts w:ascii="Times New Roman" w:hAnsi="Times New Roman" w:cs="Times New Roman"/>
        </w:rPr>
        <w:t>, resp.</w:t>
      </w:r>
      <w:r w:rsidRPr="00573163">
        <w:rPr>
          <w:rFonts w:ascii="Times New Roman" w:hAnsi="Times New Roman" w:cs="Times New Roman"/>
        </w:rPr>
        <w:t xml:space="preserve"> 2,3 % celkov</w:t>
      </w:r>
      <w:r>
        <w:rPr>
          <w:rFonts w:ascii="Times New Roman" w:hAnsi="Times New Roman" w:cs="Times New Roman"/>
        </w:rPr>
        <w:t>ých</w:t>
      </w:r>
      <w:r w:rsidRPr="00573163">
        <w:rPr>
          <w:rFonts w:ascii="Times New Roman" w:hAnsi="Times New Roman" w:cs="Times New Roman"/>
        </w:rPr>
        <w:t xml:space="preserve"> p</w:t>
      </w:r>
      <w:r>
        <w:rPr>
          <w:rFonts w:ascii="Times New Roman" w:hAnsi="Times New Roman" w:cs="Times New Roman"/>
        </w:rPr>
        <w:t>ohľadáv</w:t>
      </w:r>
      <w:r w:rsidRPr="00573163">
        <w:rPr>
          <w:rFonts w:ascii="Times New Roman" w:hAnsi="Times New Roman" w:cs="Times New Roman"/>
        </w:rPr>
        <w:t>o</w:t>
      </w:r>
      <w:r>
        <w:rPr>
          <w:rFonts w:ascii="Times New Roman" w:hAnsi="Times New Roman" w:cs="Times New Roman"/>
        </w:rPr>
        <w:t>k vykazuje</w:t>
      </w:r>
      <w:r w:rsidRPr="00573163">
        <w:rPr>
          <w:rFonts w:ascii="Times New Roman" w:hAnsi="Times New Roman" w:cs="Times New Roman"/>
        </w:rPr>
        <w:t xml:space="preserve"> Colný úrad </w:t>
      </w:r>
      <w:r>
        <w:rPr>
          <w:rFonts w:ascii="Times New Roman" w:hAnsi="Times New Roman" w:cs="Times New Roman"/>
        </w:rPr>
        <w:t xml:space="preserve"> </w:t>
      </w:r>
      <w:r w:rsidRPr="007E12AA">
        <w:rPr>
          <w:rFonts w:ascii="Times New Roman" w:hAnsi="Times New Roman" w:cs="Times New Roman"/>
        </w:rPr>
        <w:t xml:space="preserve">Trenčín.  </w:t>
      </w:r>
    </w:p>
    <w:p w:rsidR="00CE270A" w:rsidRPr="007E12AA" w:rsidP="00CE270A">
      <w:pPr>
        <w:tabs>
          <w:tab w:val="left" w:pos="567"/>
        </w:tabs>
        <w:spacing w:line="360" w:lineRule="auto"/>
        <w:ind w:left="3" w:firstLine="1"/>
        <w:jc w:val="both"/>
        <w:rPr>
          <w:rFonts w:ascii="Times New Roman" w:hAnsi="Times New Roman" w:cs="Times New Roman"/>
        </w:rPr>
      </w:pPr>
      <w:r w:rsidRPr="007E12AA">
        <w:rPr>
          <w:rFonts w:ascii="Times New Roman" w:hAnsi="Times New Roman" w:cs="Times New Roman"/>
        </w:rPr>
        <w:t xml:space="preserve">        </w:t>
        <w:tab/>
        <w:t xml:space="preserve">Colná správa tiež vykazuje k 31.12.2006 </w:t>
      </w:r>
      <w:r w:rsidRPr="007E12AA">
        <w:rPr>
          <w:rFonts w:ascii="Times New Roman" w:hAnsi="Times New Roman" w:cs="Times New Roman"/>
          <w:u w:val="single"/>
        </w:rPr>
        <w:t>pohľadávky bez dátumov oznámenia dlhu</w:t>
      </w:r>
      <w:r w:rsidRPr="007E12AA">
        <w:rPr>
          <w:rFonts w:ascii="Times New Roman" w:hAnsi="Times New Roman" w:cs="Times New Roman"/>
        </w:rPr>
        <w:t xml:space="preserve"> v </w:t>
      </w:r>
      <w:r>
        <w:rPr>
          <w:rFonts w:ascii="Times New Roman" w:hAnsi="Times New Roman" w:cs="Times New Roman"/>
        </w:rPr>
        <w:t>sume</w:t>
      </w:r>
      <w:r w:rsidRPr="007E12AA">
        <w:rPr>
          <w:rFonts w:ascii="Times New Roman" w:hAnsi="Times New Roman" w:cs="Times New Roman"/>
        </w:rPr>
        <w:t xml:space="preserve"> 319</w:t>
      </w:r>
      <w:r>
        <w:rPr>
          <w:rFonts w:ascii="Times New Roman" w:hAnsi="Times New Roman" w:cs="Times New Roman"/>
        </w:rPr>
        <w:t>,</w:t>
      </w:r>
      <w:r w:rsidRPr="007E12AA">
        <w:rPr>
          <w:rFonts w:ascii="Times New Roman" w:hAnsi="Times New Roman" w:cs="Times New Roman"/>
        </w:rPr>
        <w:t>0</w:t>
      </w:r>
      <w:r>
        <w:rPr>
          <w:rFonts w:ascii="Times New Roman" w:hAnsi="Times New Roman" w:cs="Times New Roman"/>
        </w:rPr>
        <w:t xml:space="preserve"> mil. </w:t>
      </w:r>
      <w:r w:rsidRPr="007E12AA">
        <w:rPr>
          <w:rFonts w:ascii="Times New Roman" w:hAnsi="Times New Roman" w:cs="Times New Roman"/>
        </w:rPr>
        <w:t>Sk</w:t>
      </w:r>
      <w:r>
        <w:rPr>
          <w:rFonts w:ascii="Times New Roman" w:hAnsi="Times New Roman" w:cs="Times New Roman"/>
        </w:rPr>
        <w:t xml:space="preserve"> (v roku 2005: 256,9 mil. Sk)</w:t>
      </w:r>
      <w:r w:rsidRPr="007E12AA">
        <w:rPr>
          <w:rFonts w:ascii="Times New Roman" w:hAnsi="Times New Roman" w:cs="Times New Roman"/>
        </w:rPr>
        <w:t>.</w:t>
      </w:r>
    </w:p>
    <w:p w:rsidR="00CE270A" w:rsidP="00CE270A">
      <w:pPr>
        <w:spacing w:line="360" w:lineRule="auto"/>
        <w:ind w:firstLine="567"/>
        <w:jc w:val="both"/>
        <w:rPr>
          <w:rFonts w:ascii="Times New Roman" w:hAnsi="Times New Roman" w:cs="Times New Roman"/>
        </w:rPr>
      </w:pPr>
      <w:r w:rsidRPr="00136361">
        <w:rPr>
          <w:rFonts w:ascii="Times New Roman" w:hAnsi="Times New Roman" w:cs="Times New Roman"/>
        </w:rPr>
        <w:t>Medziročne sa výška colných a daňových pohľadávok po lehote splatnosti znížila z 5 108,2 mil. Sk v roku 2005 na 4 812,4 mil. Sk</w:t>
      </w:r>
      <w:r>
        <w:rPr>
          <w:rFonts w:ascii="Times New Roman" w:hAnsi="Times New Roman" w:cs="Times New Roman"/>
        </w:rPr>
        <w:t xml:space="preserve"> v uplynulom roku,</w:t>
      </w:r>
      <w:r w:rsidRPr="00136361">
        <w:rPr>
          <w:rFonts w:ascii="Times New Roman" w:hAnsi="Times New Roman" w:cs="Times New Roman"/>
        </w:rPr>
        <w:t xml:space="preserve"> a to najmä postúpením pohľadávok na Slovenskú konsolidačnú, a.s.  a odpísaním nevymožiteľných pohľadávok.</w:t>
      </w:r>
      <w:r>
        <w:rPr>
          <w:rFonts w:ascii="Times New Roman" w:hAnsi="Times New Roman" w:cs="Times New Roman"/>
        </w:rPr>
        <w:t xml:space="preserve"> V štruktúre pohľadávok sa zaznamenal nasledujúci vývoj (v tis. Sk):</w:t>
      </w:r>
    </w:p>
    <w:p w:rsidR="00CE270A" w:rsidP="00CE270A">
      <w:pPr>
        <w:spacing w:line="360" w:lineRule="auto"/>
        <w:ind w:firstLine="567"/>
        <w:jc w:val="both"/>
        <w:rPr>
          <w:rFonts w:ascii="Times New Roman" w:hAnsi="Times New Roman" w:cs="Times New Roman"/>
        </w:rPr>
      </w:pPr>
    </w:p>
    <w:tbl>
      <w:tblPr>
        <w:tblW w:w="0" w:type="auto"/>
        <w:jc w:val="center"/>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Pr>
      <w:tblGrid>
        <w:gridCol w:w="3402"/>
        <w:gridCol w:w="1134"/>
        <w:gridCol w:w="1134"/>
        <w:gridCol w:w="1021"/>
      </w:tblGrid>
      <w:tr>
        <w:tblPrEx>
          <w:tblW w:w="0" w:type="auto"/>
          <w:jc w:val="center"/>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PrEx>
        <w:trPr>
          <w:trHeight w:hRule="exact" w:val="340"/>
          <w:jc w:val="center"/>
        </w:trPr>
        <w:tc>
          <w:tcPr>
            <w:tcW w:w="3402"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CE270A" w:rsidRPr="001B08E6" w:rsidP="004B4A36">
            <w:pPr>
              <w:spacing w:line="360" w:lineRule="auto"/>
              <w:jc w:val="center"/>
              <w:rPr>
                <w:rFonts w:ascii="Times New Roman" w:hAnsi="Times New Roman" w:cs="Times New Roman"/>
                <w:b/>
                <w:sz w:val="20"/>
                <w:szCs w:val="20"/>
              </w:rPr>
            </w:pPr>
            <w:r w:rsidRPr="001B08E6">
              <w:rPr>
                <w:rFonts w:ascii="Times New Roman" w:hAnsi="Times New Roman" w:cs="Times New Roman"/>
                <w:b/>
                <w:sz w:val="20"/>
                <w:szCs w:val="20"/>
              </w:rPr>
              <w:t>Pohľadávky po lehote splatnosti</w:t>
            </w:r>
          </w:p>
        </w:tc>
        <w:tc>
          <w:tcPr>
            <w:tcW w:w="1134"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CE270A" w:rsidRPr="001B08E6" w:rsidP="004B4A36">
            <w:pPr>
              <w:spacing w:line="360" w:lineRule="auto"/>
              <w:jc w:val="center"/>
              <w:rPr>
                <w:rFonts w:ascii="Times New Roman" w:hAnsi="Times New Roman" w:cs="Times New Roman"/>
                <w:b/>
                <w:sz w:val="20"/>
                <w:szCs w:val="20"/>
              </w:rPr>
            </w:pPr>
            <w:r w:rsidRPr="001B08E6">
              <w:rPr>
                <w:rFonts w:ascii="Times New Roman" w:hAnsi="Times New Roman" w:cs="Times New Roman"/>
                <w:b/>
                <w:sz w:val="20"/>
                <w:szCs w:val="20"/>
              </w:rPr>
              <w:t>2005</w:t>
            </w:r>
          </w:p>
        </w:tc>
        <w:tc>
          <w:tcPr>
            <w:tcW w:w="1134"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CE270A" w:rsidRPr="001B08E6" w:rsidP="004B4A36">
            <w:pPr>
              <w:spacing w:line="360" w:lineRule="auto"/>
              <w:jc w:val="center"/>
              <w:rPr>
                <w:rFonts w:ascii="Times New Roman" w:hAnsi="Times New Roman" w:cs="Times New Roman"/>
                <w:b/>
                <w:sz w:val="20"/>
                <w:szCs w:val="20"/>
              </w:rPr>
            </w:pPr>
            <w:r w:rsidRPr="001B08E6">
              <w:rPr>
                <w:rFonts w:ascii="Times New Roman" w:hAnsi="Times New Roman" w:cs="Times New Roman"/>
                <w:b/>
                <w:sz w:val="20"/>
                <w:szCs w:val="20"/>
              </w:rPr>
              <w:t>2006</w:t>
            </w:r>
          </w:p>
        </w:tc>
        <w:tc>
          <w:tcPr>
            <w:tcW w:w="1021"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CE270A" w:rsidRPr="001B08E6" w:rsidP="004B4A36">
            <w:pPr>
              <w:spacing w:line="360" w:lineRule="auto"/>
              <w:jc w:val="center"/>
              <w:rPr>
                <w:rFonts w:ascii="Times New Roman" w:hAnsi="Times New Roman" w:cs="Times New Roman"/>
                <w:b/>
                <w:sz w:val="20"/>
                <w:szCs w:val="20"/>
              </w:rPr>
            </w:pPr>
            <w:r w:rsidRPr="001B08E6">
              <w:rPr>
                <w:rFonts w:ascii="Times New Roman" w:hAnsi="Times New Roman" w:cs="Times New Roman"/>
                <w:b/>
                <w:sz w:val="20"/>
                <w:szCs w:val="20"/>
              </w:rPr>
              <w:t>index</w:t>
            </w:r>
          </w:p>
        </w:tc>
      </w:tr>
      <w:tr>
        <w:tblPrEx>
          <w:tblW w:w="0" w:type="auto"/>
          <w:jc w:val="center"/>
          <w:tblLayout w:type="fixed"/>
        </w:tblPrEx>
        <w:trPr>
          <w:trHeight w:hRule="exact" w:val="284"/>
          <w:jc w:val="center"/>
        </w:trPr>
        <w:tc>
          <w:tcPr>
            <w:tcW w:w="340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E270A" w:rsidRPr="001B08E6" w:rsidP="00CE270A">
            <w:pPr>
              <w:spacing w:line="360" w:lineRule="auto"/>
              <w:jc w:val="both"/>
              <w:rPr>
                <w:rFonts w:ascii="Times New Roman" w:hAnsi="Times New Roman" w:cs="Times New Roman"/>
                <w:sz w:val="20"/>
                <w:szCs w:val="20"/>
              </w:rPr>
            </w:pPr>
            <w:r w:rsidRPr="001B08E6">
              <w:rPr>
                <w:rFonts w:ascii="Times New Roman" w:hAnsi="Times New Roman" w:cs="Times New Roman"/>
                <w:sz w:val="20"/>
                <w:szCs w:val="20"/>
              </w:rPr>
              <w:t>Clo</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270A" w:rsidRPr="001B08E6" w:rsidP="00CE270A">
            <w:pPr>
              <w:spacing w:line="360" w:lineRule="auto"/>
              <w:jc w:val="right"/>
              <w:rPr>
                <w:rFonts w:ascii="Times New Roman" w:hAnsi="Times New Roman" w:cs="Times New Roman"/>
                <w:sz w:val="20"/>
                <w:szCs w:val="20"/>
              </w:rPr>
            </w:pPr>
            <w:r w:rsidRPr="001B08E6">
              <w:rPr>
                <w:rFonts w:ascii="Times New Roman" w:hAnsi="Times New Roman" w:cs="Times New Roman"/>
                <w:sz w:val="20"/>
                <w:szCs w:val="20"/>
              </w:rPr>
              <w:t>278 626</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270A" w:rsidRPr="001B08E6" w:rsidP="00CE270A">
            <w:pPr>
              <w:spacing w:line="360" w:lineRule="auto"/>
              <w:jc w:val="right"/>
              <w:rPr>
                <w:rFonts w:ascii="Times New Roman" w:hAnsi="Times New Roman" w:cs="Times New Roman"/>
                <w:sz w:val="20"/>
                <w:szCs w:val="20"/>
              </w:rPr>
            </w:pPr>
            <w:r w:rsidRPr="001B08E6">
              <w:rPr>
                <w:rFonts w:ascii="Times New Roman" w:hAnsi="Times New Roman" w:cs="Times New Roman"/>
                <w:sz w:val="20"/>
                <w:szCs w:val="20"/>
              </w:rPr>
              <w:t>247 038</w:t>
            </w:r>
          </w:p>
        </w:tc>
        <w:tc>
          <w:tcPr>
            <w:tcW w:w="1021"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CE270A" w:rsidRPr="001B08E6" w:rsidP="00CE270A">
            <w:pPr>
              <w:spacing w:line="360" w:lineRule="auto"/>
              <w:jc w:val="right"/>
              <w:rPr>
                <w:rFonts w:ascii="Times New Roman" w:hAnsi="Times New Roman" w:cs="Times New Roman"/>
                <w:sz w:val="20"/>
                <w:szCs w:val="20"/>
              </w:rPr>
            </w:pPr>
            <w:r w:rsidRPr="001B08E6">
              <w:rPr>
                <w:rFonts w:ascii="Times New Roman" w:hAnsi="Times New Roman" w:cs="Times New Roman"/>
                <w:sz w:val="20"/>
                <w:szCs w:val="20"/>
              </w:rPr>
              <w:t>88,7</w:t>
            </w:r>
          </w:p>
        </w:tc>
      </w:tr>
      <w:tr>
        <w:tblPrEx>
          <w:tblW w:w="0" w:type="auto"/>
          <w:jc w:val="center"/>
          <w:tblLayout w:type="fixed"/>
        </w:tblPrEx>
        <w:trPr>
          <w:trHeight w:hRule="exact" w:val="284"/>
          <w:jc w:val="center"/>
        </w:trPr>
        <w:tc>
          <w:tcPr>
            <w:tcW w:w="340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E270A" w:rsidRPr="001B08E6" w:rsidP="00CE270A">
            <w:pPr>
              <w:spacing w:line="360" w:lineRule="auto"/>
              <w:jc w:val="both"/>
              <w:rPr>
                <w:rFonts w:ascii="Times New Roman" w:hAnsi="Times New Roman" w:cs="Times New Roman"/>
                <w:sz w:val="20"/>
                <w:szCs w:val="20"/>
              </w:rPr>
            </w:pPr>
            <w:r w:rsidRPr="001B08E6">
              <w:rPr>
                <w:rFonts w:ascii="Times New Roman" w:hAnsi="Times New Roman" w:cs="Times New Roman"/>
                <w:sz w:val="20"/>
                <w:szCs w:val="20"/>
              </w:rPr>
              <w:t>Spotrebné dane</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270A" w:rsidRPr="001B08E6" w:rsidP="00CE270A">
            <w:pPr>
              <w:spacing w:line="360" w:lineRule="auto"/>
              <w:jc w:val="right"/>
              <w:rPr>
                <w:rFonts w:ascii="Times New Roman" w:hAnsi="Times New Roman" w:cs="Times New Roman"/>
                <w:sz w:val="20"/>
                <w:szCs w:val="20"/>
              </w:rPr>
            </w:pPr>
            <w:r w:rsidRPr="001B08E6">
              <w:rPr>
                <w:rFonts w:ascii="Times New Roman" w:hAnsi="Times New Roman" w:cs="Times New Roman"/>
                <w:sz w:val="20"/>
                <w:szCs w:val="20"/>
              </w:rPr>
              <w:t>814 834</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270A" w:rsidRPr="001B08E6" w:rsidP="00CE270A">
            <w:pPr>
              <w:spacing w:line="360" w:lineRule="auto"/>
              <w:jc w:val="right"/>
              <w:rPr>
                <w:rFonts w:ascii="Times New Roman" w:hAnsi="Times New Roman" w:cs="Times New Roman"/>
                <w:sz w:val="20"/>
                <w:szCs w:val="20"/>
              </w:rPr>
            </w:pPr>
            <w:r w:rsidRPr="001B08E6">
              <w:rPr>
                <w:rFonts w:ascii="Times New Roman" w:hAnsi="Times New Roman" w:cs="Times New Roman"/>
                <w:sz w:val="20"/>
                <w:szCs w:val="20"/>
              </w:rPr>
              <w:t>1 054 581</w:t>
            </w:r>
          </w:p>
        </w:tc>
        <w:tc>
          <w:tcPr>
            <w:tcW w:w="1021"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CE270A" w:rsidRPr="001B08E6" w:rsidP="00CE270A">
            <w:pPr>
              <w:spacing w:line="360" w:lineRule="auto"/>
              <w:jc w:val="right"/>
              <w:rPr>
                <w:rFonts w:ascii="Times New Roman" w:hAnsi="Times New Roman" w:cs="Times New Roman"/>
                <w:sz w:val="20"/>
                <w:szCs w:val="20"/>
              </w:rPr>
            </w:pPr>
            <w:r w:rsidRPr="001B08E6">
              <w:rPr>
                <w:rFonts w:ascii="Times New Roman" w:hAnsi="Times New Roman" w:cs="Times New Roman"/>
                <w:sz w:val="20"/>
                <w:szCs w:val="20"/>
              </w:rPr>
              <w:t>129,4</w:t>
            </w:r>
          </w:p>
        </w:tc>
      </w:tr>
      <w:tr>
        <w:tblPrEx>
          <w:tblW w:w="0" w:type="auto"/>
          <w:jc w:val="center"/>
          <w:tblLayout w:type="fixed"/>
        </w:tblPrEx>
        <w:trPr>
          <w:trHeight w:hRule="exact" w:val="284"/>
          <w:jc w:val="center"/>
        </w:trPr>
        <w:tc>
          <w:tcPr>
            <w:tcW w:w="340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E270A" w:rsidRPr="001B08E6" w:rsidP="00CE270A">
            <w:pPr>
              <w:spacing w:line="360" w:lineRule="auto"/>
              <w:jc w:val="both"/>
              <w:rPr>
                <w:rFonts w:ascii="Times New Roman" w:hAnsi="Times New Roman" w:cs="Times New Roman"/>
                <w:sz w:val="20"/>
                <w:szCs w:val="20"/>
              </w:rPr>
            </w:pPr>
            <w:r w:rsidRPr="001B08E6">
              <w:rPr>
                <w:rFonts w:ascii="Times New Roman" w:hAnsi="Times New Roman" w:cs="Times New Roman"/>
                <w:sz w:val="20"/>
                <w:szCs w:val="20"/>
              </w:rPr>
              <w:t>Vyrovnávacie dávky</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270A" w:rsidRPr="001B08E6" w:rsidP="00CE270A">
            <w:pPr>
              <w:spacing w:line="360" w:lineRule="auto"/>
              <w:jc w:val="right"/>
              <w:rPr>
                <w:rFonts w:ascii="Times New Roman" w:hAnsi="Times New Roman" w:cs="Times New Roman"/>
                <w:sz w:val="20"/>
                <w:szCs w:val="20"/>
              </w:rPr>
            </w:pPr>
            <w:r w:rsidRPr="001B08E6">
              <w:rPr>
                <w:rFonts w:ascii="Times New Roman" w:hAnsi="Times New Roman" w:cs="Times New Roman"/>
                <w:sz w:val="20"/>
                <w:szCs w:val="20"/>
              </w:rPr>
              <w:t>1 392</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270A" w:rsidRPr="001B08E6" w:rsidP="00CE270A">
            <w:pPr>
              <w:spacing w:line="360" w:lineRule="auto"/>
              <w:jc w:val="right"/>
              <w:rPr>
                <w:rFonts w:ascii="Times New Roman" w:hAnsi="Times New Roman" w:cs="Times New Roman"/>
                <w:sz w:val="20"/>
                <w:szCs w:val="20"/>
              </w:rPr>
            </w:pPr>
            <w:r w:rsidRPr="001B08E6">
              <w:rPr>
                <w:rFonts w:ascii="Times New Roman" w:hAnsi="Times New Roman" w:cs="Times New Roman"/>
                <w:sz w:val="20"/>
                <w:szCs w:val="20"/>
              </w:rPr>
              <w:t>1 380</w:t>
            </w:r>
          </w:p>
        </w:tc>
        <w:tc>
          <w:tcPr>
            <w:tcW w:w="1021"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CE270A" w:rsidRPr="001B08E6" w:rsidP="00CE270A">
            <w:pPr>
              <w:spacing w:line="360" w:lineRule="auto"/>
              <w:jc w:val="right"/>
              <w:rPr>
                <w:rFonts w:ascii="Times New Roman" w:hAnsi="Times New Roman" w:cs="Times New Roman"/>
                <w:sz w:val="20"/>
                <w:szCs w:val="20"/>
              </w:rPr>
            </w:pPr>
            <w:r w:rsidRPr="001B08E6">
              <w:rPr>
                <w:rFonts w:ascii="Times New Roman" w:hAnsi="Times New Roman" w:cs="Times New Roman"/>
                <w:sz w:val="20"/>
                <w:szCs w:val="20"/>
              </w:rPr>
              <w:t>99,1</w:t>
            </w:r>
          </w:p>
        </w:tc>
      </w:tr>
      <w:tr>
        <w:tblPrEx>
          <w:tblW w:w="0" w:type="auto"/>
          <w:jc w:val="center"/>
          <w:tblLayout w:type="fixed"/>
        </w:tblPrEx>
        <w:trPr>
          <w:trHeight w:hRule="exact" w:val="284"/>
          <w:jc w:val="center"/>
        </w:trPr>
        <w:tc>
          <w:tcPr>
            <w:tcW w:w="340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E270A" w:rsidRPr="001B08E6" w:rsidP="00CE270A">
            <w:pPr>
              <w:spacing w:line="360" w:lineRule="auto"/>
              <w:jc w:val="both"/>
              <w:rPr>
                <w:rFonts w:ascii="Times New Roman" w:hAnsi="Times New Roman" w:cs="Times New Roman"/>
                <w:sz w:val="20"/>
                <w:szCs w:val="20"/>
              </w:rPr>
            </w:pPr>
            <w:r w:rsidRPr="001B08E6">
              <w:rPr>
                <w:rFonts w:ascii="Times New Roman" w:hAnsi="Times New Roman" w:cs="Times New Roman"/>
                <w:sz w:val="20"/>
                <w:szCs w:val="20"/>
              </w:rPr>
              <w:t>Dovozná prirážka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270A" w:rsidRPr="001B08E6" w:rsidP="00CE270A">
            <w:pPr>
              <w:spacing w:line="360" w:lineRule="auto"/>
              <w:jc w:val="right"/>
              <w:rPr>
                <w:rFonts w:ascii="Times New Roman" w:hAnsi="Times New Roman" w:cs="Times New Roman"/>
                <w:sz w:val="20"/>
                <w:szCs w:val="20"/>
              </w:rPr>
            </w:pPr>
            <w:r w:rsidRPr="001B08E6">
              <w:rPr>
                <w:rFonts w:ascii="Times New Roman" w:hAnsi="Times New Roman" w:cs="Times New Roman"/>
                <w:sz w:val="20"/>
                <w:szCs w:val="20"/>
              </w:rPr>
              <w:t>64 218</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270A" w:rsidRPr="001B08E6" w:rsidP="00CE270A">
            <w:pPr>
              <w:spacing w:line="360" w:lineRule="auto"/>
              <w:jc w:val="right"/>
              <w:rPr>
                <w:rFonts w:ascii="Times New Roman" w:hAnsi="Times New Roman" w:cs="Times New Roman"/>
                <w:sz w:val="20"/>
                <w:szCs w:val="20"/>
              </w:rPr>
            </w:pPr>
            <w:r w:rsidRPr="001B08E6">
              <w:rPr>
                <w:rFonts w:ascii="Times New Roman" w:hAnsi="Times New Roman" w:cs="Times New Roman"/>
                <w:sz w:val="20"/>
                <w:szCs w:val="20"/>
              </w:rPr>
              <w:t>60 204</w:t>
            </w:r>
          </w:p>
        </w:tc>
        <w:tc>
          <w:tcPr>
            <w:tcW w:w="1021"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CE270A" w:rsidRPr="001B08E6" w:rsidP="00CE270A">
            <w:pPr>
              <w:spacing w:line="360" w:lineRule="auto"/>
              <w:jc w:val="right"/>
              <w:rPr>
                <w:rFonts w:ascii="Times New Roman" w:hAnsi="Times New Roman" w:cs="Times New Roman"/>
                <w:sz w:val="20"/>
                <w:szCs w:val="20"/>
              </w:rPr>
            </w:pPr>
            <w:r w:rsidRPr="001B08E6">
              <w:rPr>
                <w:rFonts w:ascii="Times New Roman" w:hAnsi="Times New Roman" w:cs="Times New Roman"/>
                <w:sz w:val="20"/>
                <w:szCs w:val="20"/>
              </w:rPr>
              <w:t>93,7</w:t>
            </w:r>
          </w:p>
        </w:tc>
      </w:tr>
      <w:tr>
        <w:tblPrEx>
          <w:tblW w:w="0" w:type="auto"/>
          <w:jc w:val="center"/>
          <w:tblLayout w:type="fixed"/>
        </w:tblPrEx>
        <w:trPr>
          <w:trHeight w:hRule="exact" w:val="284"/>
          <w:jc w:val="center"/>
        </w:trPr>
        <w:tc>
          <w:tcPr>
            <w:tcW w:w="340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E270A" w:rsidRPr="001B08E6" w:rsidP="00CE270A">
            <w:pPr>
              <w:spacing w:line="360" w:lineRule="auto"/>
              <w:jc w:val="both"/>
              <w:rPr>
                <w:rFonts w:ascii="Times New Roman" w:hAnsi="Times New Roman" w:cs="Times New Roman"/>
                <w:sz w:val="20"/>
                <w:szCs w:val="20"/>
              </w:rPr>
            </w:pPr>
            <w:r w:rsidRPr="001B08E6">
              <w:rPr>
                <w:rFonts w:ascii="Times New Roman" w:hAnsi="Times New Roman" w:cs="Times New Roman"/>
                <w:sz w:val="20"/>
                <w:szCs w:val="20"/>
              </w:rPr>
              <w:t>Daň z pridanej hodnoty</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270A" w:rsidRPr="001B08E6" w:rsidP="00CE270A">
            <w:pPr>
              <w:spacing w:line="360" w:lineRule="auto"/>
              <w:jc w:val="right"/>
              <w:rPr>
                <w:rFonts w:ascii="Times New Roman" w:hAnsi="Times New Roman" w:cs="Times New Roman"/>
                <w:sz w:val="20"/>
                <w:szCs w:val="20"/>
              </w:rPr>
            </w:pPr>
            <w:r w:rsidRPr="001B08E6">
              <w:rPr>
                <w:rFonts w:ascii="Times New Roman" w:hAnsi="Times New Roman" w:cs="Times New Roman"/>
                <w:sz w:val="20"/>
                <w:szCs w:val="20"/>
              </w:rPr>
              <w:t>2 178 532</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270A" w:rsidRPr="001B08E6" w:rsidP="00CE270A">
            <w:pPr>
              <w:spacing w:line="360" w:lineRule="auto"/>
              <w:jc w:val="right"/>
              <w:rPr>
                <w:rFonts w:ascii="Times New Roman" w:hAnsi="Times New Roman" w:cs="Times New Roman"/>
                <w:sz w:val="20"/>
                <w:szCs w:val="20"/>
              </w:rPr>
            </w:pPr>
            <w:r w:rsidRPr="001B08E6">
              <w:rPr>
                <w:rFonts w:ascii="Times New Roman" w:hAnsi="Times New Roman" w:cs="Times New Roman"/>
                <w:sz w:val="20"/>
                <w:szCs w:val="20"/>
              </w:rPr>
              <w:t>1 833 298</w:t>
            </w:r>
          </w:p>
        </w:tc>
        <w:tc>
          <w:tcPr>
            <w:tcW w:w="1021"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CE270A" w:rsidRPr="001B08E6" w:rsidP="00CE270A">
            <w:pPr>
              <w:spacing w:line="360" w:lineRule="auto"/>
              <w:jc w:val="right"/>
              <w:rPr>
                <w:rFonts w:ascii="Times New Roman" w:hAnsi="Times New Roman" w:cs="Times New Roman"/>
                <w:sz w:val="20"/>
                <w:szCs w:val="20"/>
              </w:rPr>
            </w:pPr>
            <w:r w:rsidRPr="001B08E6">
              <w:rPr>
                <w:rFonts w:ascii="Times New Roman" w:hAnsi="Times New Roman" w:cs="Times New Roman"/>
                <w:sz w:val="20"/>
                <w:szCs w:val="20"/>
              </w:rPr>
              <w:t>84,2</w:t>
            </w:r>
          </w:p>
        </w:tc>
      </w:tr>
      <w:tr>
        <w:tblPrEx>
          <w:tblW w:w="0" w:type="auto"/>
          <w:jc w:val="center"/>
          <w:tblLayout w:type="fixed"/>
        </w:tblPrEx>
        <w:trPr>
          <w:trHeight w:hRule="exact" w:val="284"/>
          <w:jc w:val="center"/>
        </w:trPr>
        <w:tc>
          <w:tcPr>
            <w:tcW w:w="340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E270A" w:rsidRPr="001B08E6" w:rsidP="00CE270A">
            <w:pPr>
              <w:spacing w:line="360" w:lineRule="auto"/>
              <w:jc w:val="both"/>
              <w:rPr>
                <w:rFonts w:ascii="Times New Roman" w:hAnsi="Times New Roman" w:cs="Times New Roman"/>
                <w:sz w:val="20"/>
                <w:szCs w:val="20"/>
              </w:rPr>
            </w:pPr>
            <w:r w:rsidRPr="001B08E6">
              <w:rPr>
                <w:rFonts w:ascii="Times New Roman" w:hAnsi="Times New Roman" w:cs="Times New Roman"/>
                <w:sz w:val="20"/>
                <w:szCs w:val="20"/>
              </w:rPr>
              <w:t>Pohľadávky z colného konania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270A" w:rsidRPr="001B08E6" w:rsidP="00CE270A">
            <w:pPr>
              <w:spacing w:line="360" w:lineRule="auto"/>
              <w:jc w:val="right"/>
              <w:rPr>
                <w:rFonts w:ascii="Times New Roman" w:hAnsi="Times New Roman" w:cs="Times New Roman"/>
                <w:sz w:val="20"/>
                <w:szCs w:val="20"/>
              </w:rPr>
            </w:pPr>
            <w:r w:rsidRPr="001B08E6">
              <w:rPr>
                <w:rFonts w:ascii="Times New Roman" w:hAnsi="Times New Roman" w:cs="Times New Roman"/>
                <w:sz w:val="20"/>
                <w:szCs w:val="20"/>
              </w:rPr>
              <w:t>1 544 114</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270A" w:rsidRPr="001B08E6" w:rsidP="00CE270A">
            <w:pPr>
              <w:spacing w:line="360" w:lineRule="auto"/>
              <w:jc w:val="right"/>
              <w:rPr>
                <w:rFonts w:ascii="Times New Roman" w:hAnsi="Times New Roman" w:cs="Times New Roman"/>
                <w:sz w:val="20"/>
                <w:szCs w:val="20"/>
              </w:rPr>
            </w:pPr>
            <w:r w:rsidRPr="001B08E6">
              <w:rPr>
                <w:rFonts w:ascii="Times New Roman" w:hAnsi="Times New Roman" w:cs="Times New Roman"/>
                <w:sz w:val="20"/>
                <w:szCs w:val="20"/>
              </w:rPr>
              <w:t>1 532 824</w:t>
            </w:r>
          </w:p>
        </w:tc>
        <w:tc>
          <w:tcPr>
            <w:tcW w:w="1021"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CE270A" w:rsidRPr="001B08E6" w:rsidP="00CE270A">
            <w:pPr>
              <w:spacing w:line="360" w:lineRule="auto"/>
              <w:jc w:val="right"/>
              <w:rPr>
                <w:rFonts w:ascii="Times New Roman" w:hAnsi="Times New Roman" w:cs="Times New Roman"/>
                <w:sz w:val="20"/>
                <w:szCs w:val="20"/>
              </w:rPr>
            </w:pPr>
            <w:r w:rsidRPr="001B08E6">
              <w:rPr>
                <w:rFonts w:ascii="Times New Roman" w:hAnsi="Times New Roman" w:cs="Times New Roman"/>
                <w:sz w:val="20"/>
                <w:szCs w:val="20"/>
              </w:rPr>
              <w:t>99,3</w:t>
            </w:r>
          </w:p>
        </w:tc>
      </w:tr>
      <w:tr>
        <w:tblPrEx>
          <w:tblW w:w="0" w:type="auto"/>
          <w:jc w:val="center"/>
          <w:tblLayout w:type="fixed"/>
        </w:tblPrEx>
        <w:trPr>
          <w:trHeight w:hRule="exact" w:val="284"/>
          <w:jc w:val="center"/>
        </w:trPr>
        <w:tc>
          <w:tcPr>
            <w:tcW w:w="3402"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E270A" w:rsidRPr="001B08E6" w:rsidP="00CE270A">
            <w:pPr>
              <w:spacing w:line="360" w:lineRule="auto"/>
              <w:jc w:val="both"/>
              <w:rPr>
                <w:rFonts w:ascii="Times New Roman" w:hAnsi="Times New Roman" w:cs="Times New Roman"/>
                <w:sz w:val="20"/>
                <w:szCs w:val="20"/>
              </w:rPr>
            </w:pPr>
            <w:r w:rsidRPr="001B08E6">
              <w:rPr>
                <w:rFonts w:ascii="Times New Roman" w:hAnsi="Times New Roman" w:cs="Times New Roman"/>
                <w:sz w:val="20"/>
                <w:szCs w:val="20"/>
              </w:rPr>
              <w:t>Pohľadávky z daňového konania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270A" w:rsidRPr="001B08E6" w:rsidP="00CE270A">
            <w:pPr>
              <w:spacing w:line="360" w:lineRule="auto"/>
              <w:jc w:val="right"/>
              <w:rPr>
                <w:rFonts w:ascii="Times New Roman" w:hAnsi="Times New Roman" w:cs="Times New Roman"/>
                <w:sz w:val="20"/>
                <w:szCs w:val="20"/>
              </w:rPr>
            </w:pPr>
            <w:r w:rsidRPr="001B08E6">
              <w:rPr>
                <w:rFonts w:ascii="Times New Roman" w:hAnsi="Times New Roman" w:cs="Times New Roman"/>
                <w:sz w:val="20"/>
                <w:szCs w:val="20"/>
              </w:rPr>
              <w:t>226 473</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270A" w:rsidRPr="001B08E6" w:rsidP="00CE270A">
            <w:pPr>
              <w:spacing w:line="360" w:lineRule="auto"/>
              <w:jc w:val="right"/>
              <w:rPr>
                <w:rFonts w:ascii="Times New Roman" w:hAnsi="Times New Roman" w:cs="Times New Roman"/>
                <w:sz w:val="20"/>
                <w:szCs w:val="20"/>
              </w:rPr>
            </w:pPr>
            <w:r w:rsidRPr="001B08E6">
              <w:rPr>
                <w:rFonts w:ascii="Times New Roman" w:hAnsi="Times New Roman" w:cs="Times New Roman"/>
                <w:sz w:val="20"/>
                <w:szCs w:val="20"/>
              </w:rPr>
              <w:t>83 032</w:t>
            </w:r>
          </w:p>
        </w:tc>
        <w:tc>
          <w:tcPr>
            <w:tcW w:w="1021"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CE270A" w:rsidRPr="001B08E6" w:rsidP="00CE270A">
            <w:pPr>
              <w:spacing w:line="360" w:lineRule="auto"/>
              <w:jc w:val="right"/>
              <w:rPr>
                <w:rFonts w:ascii="Times New Roman" w:hAnsi="Times New Roman" w:cs="Times New Roman"/>
                <w:sz w:val="20"/>
                <w:szCs w:val="20"/>
              </w:rPr>
            </w:pPr>
            <w:r w:rsidRPr="001B08E6">
              <w:rPr>
                <w:rFonts w:ascii="Times New Roman" w:hAnsi="Times New Roman" w:cs="Times New Roman"/>
                <w:sz w:val="20"/>
                <w:szCs w:val="20"/>
              </w:rPr>
              <w:t>36,7</w:t>
            </w:r>
          </w:p>
        </w:tc>
      </w:tr>
      <w:tr>
        <w:tblPrEx>
          <w:tblW w:w="0" w:type="auto"/>
          <w:jc w:val="center"/>
          <w:tblLayout w:type="fixed"/>
        </w:tblPrEx>
        <w:trPr>
          <w:trHeight w:hRule="exact" w:val="284"/>
          <w:jc w:val="center"/>
        </w:trPr>
        <w:tc>
          <w:tcPr>
            <w:tcW w:w="3402" w:type="dxa"/>
            <w:tcBorders>
              <w:top w:val="single" w:sz="4" w:space="0" w:color="auto"/>
              <w:left w:val="single" w:sz="8" w:space="0" w:color="auto"/>
              <w:bottom w:val="double" w:sz="6" w:space="0" w:color="auto"/>
              <w:right w:val="single" w:sz="4" w:space="0" w:color="auto"/>
              <w:tl2br w:val="nil"/>
              <w:tr2bl w:val="nil"/>
            </w:tcBorders>
            <w:textDirection w:val="lrTb"/>
            <w:vAlign w:val="bottom"/>
          </w:tcPr>
          <w:p w:rsidR="00CE270A" w:rsidRPr="001B08E6" w:rsidP="004437B4">
            <w:pPr>
              <w:spacing w:line="360" w:lineRule="auto"/>
              <w:rPr>
                <w:rFonts w:ascii="Times New Roman" w:hAnsi="Times New Roman" w:cs="Times New Roman"/>
                <w:b/>
                <w:sz w:val="20"/>
                <w:szCs w:val="20"/>
              </w:rPr>
            </w:pPr>
            <w:r w:rsidRPr="001B08E6" w:rsidR="001B08E6">
              <w:rPr>
                <w:rFonts w:ascii="Times New Roman" w:hAnsi="Times New Roman" w:cs="Times New Roman"/>
                <w:b/>
                <w:sz w:val="20"/>
                <w:szCs w:val="20"/>
              </w:rPr>
              <w:t>SPOLU</w:t>
            </w:r>
          </w:p>
        </w:tc>
        <w:tc>
          <w:tcPr>
            <w:tcW w:w="1134"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CE270A" w:rsidRPr="001B08E6" w:rsidP="004437B4">
            <w:pPr>
              <w:spacing w:line="360" w:lineRule="auto"/>
              <w:jc w:val="right"/>
              <w:rPr>
                <w:rFonts w:ascii="Times New Roman" w:hAnsi="Times New Roman" w:cs="Times New Roman"/>
                <w:b/>
                <w:sz w:val="20"/>
                <w:szCs w:val="20"/>
              </w:rPr>
            </w:pPr>
            <w:r w:rsidRPr="001B08E6">
              <w:rPr>
                <w:rFonts w:ascii="Times New Roman" w:hAnsi="Times New Roman" w:cs="Times New Roman"/>
                <w:b/>
                <w:sz w:val="20"/>
                <w:szCs w:val="20"/>
              </w:rPr>
              <w:t>5 108 189</w:t>
            </w:r>
          </w:p>
        </w:tc>
        <w:tc>
          <w:tcPr>
            <w:tcW w:w="1134" w:type="dxa"/>
            <w:tcBorders>
              <w:top w:val="single" w:sz="4" w:space="0" w:color="auto"/>
              <w:left w:val="single" w:sz="4" w:space="0" w:color="auto"/>
              <w:bottom w:val="double" w:sz="6" w:space="0" w:color="auto"/>
              <w:right w:val="single" w:sz="4" w:space="0" w:color="auto"/>
              <w:tl2br w:val="nil"/>
              <w:tr2bl w:val="nil"/>
            </w:tcBorders>
            <w:textDirection w:val="lrTb"/>
            <w:vAlign w:val="bottom"/>
          </w:tcPr>
          <w:p w:rsidR="00CE270A" w:rsidRPr="001B08E6" w:rsidP="004437B4">
            <w:pPr>
              <w:spacing w:line="360" w:lineRule="auto"/>
              <w:jc w:val="right"/>
              <w:rPr>
                <w:rFonts w:ascii="Times New Roman" w:hAnsi="Times New Roman" w:cs="Times New Roman"/>
                <w:b/>
                <w:sz w:val="20"/>
                <w:szCs w:val="20"/>
              </w:rPr>
            </w:pPr>
            <w:r w:rsidRPr="001B08E6">
              <w:rPr>
                <w:rFonts w:ascii="Times New Roman" w:hAnsi="Times New Roman" w:cs="Times New Roman"/>
                <w:b/>
                <w:sz w:val="20"/>
                <w:szCs w:val="20"/>
              </w:rPr>
              <w:t>4 812 357</w:t>
            </w:r>
          </w:p>
        </w:tc>
        <w:tc>
          <w:tcPr>
            <w:tcW w:w="1021" w:type="dxa"/>
            <w:tcBorders>
              <w:top w:val="single" w:sz="4" w:space="0" w:color="auto"/>
              <w:left w:val="single" w:sz="4" w:space="0" w:color="auto"/>
              <w:bottom w:val="double" w:sz="6" w:space="0" w:color="auto"/>
              <w:right w:val="single" w:sz="8" w:space="0" w:color="auto"/>
              <w:tl2br w:val="nil"/>
              <w:tr2bl w:val="nil"/>
            </w:tcBorders>
            <w:textDirection w:val="lrTb"/>
            <w:vAlign w:val="bottom"/>
          </w:tcPr>
          <w:p w:rsidR="00CE270A" w:rsidRPr="001B08E6" w:rsidP="004437B4">
            <w:pPr>
              <w:spacing w:line="360" w:lineRule="auto"/>
              <w:jc w:val="right"/>
              <w:rPr>
                <w:rFonts w:ascii="Times New Roman" w:hAnsi="Times New Roman" w:cs="Times New Roman"/>
                <w:b/>
                <w:sz w:val="20"/>
                <w:szCs w:val="20"/>
              </w:rPr>
            </w:pPr>
            <w:r w:rsidRPr="001B08E6">
              <w:rPr>
                <w:rFonts w:ascii="Times New Roman" w:hAnsi="Times New Roman" w:cs="Times New Roman"/>
                <w:b/>
                <w:sz w:val="20"/>
                <w:szCs w:val="20"/>
              </w:rPr>
              <w:t>94,2</w:t>
            </w:r>
          </w:p>
        </w:tc>
      </w:tr>
    </w:tbl>
    <w:p w:rsidR="00CE270A" w:rsidRPr="009A28F0" w:rsidP="00CE270A">
      <w:pPr>
        <w:spacing w:before="120" w:after="120"/>
        <w:rPr>
          <w:rFonts w:ascii="Times New Roman" w:hAnsi="Times New Roman" w:cs="Times New Roman"/>
          <w:sz w:val="20"/>
          <w:szCs w:val="20"/>
        </w:rPr>
      </w:pPr>
      <w:r>
        <w:rPr>
          <w:rFonts w:ascii="Times New Roman" w:hAnsi="Times New Roman" w:cs="Times New Roman"/>
          <w:sz w:val="20"/>
          <w:szCs w:val="20"/>
        </w:rPr>
        <w:t xml:space="preserve">                        </w:t>
      </w:r>
      <w:r w:rsidRPr="009A28F0">
        <w:rPr>
          <w:rFonts w:ascii="Times New Roman" w:hAnsi="Times New Roman" w:cs="Times New Roman"/>
          <w:sz w:val="20"/>
          <w:szCs w:val="20"/>
        </w:rPr>
        <w:t xml:space="preserve">Zdroj: </w:t>
      </w:r>
      <w:r>
        <w:rPr>
          <w:rFonts w:ascii="Times New Roman" w:hAnsi="Times New Roman" w:cs="Times New Roman"/>
          <w:sz w:val="20"/>
          <w:szCs w:val="20"/>
        </w:rPr>
        <w:t>C</w:t>
      </w:r>
      <w:r w:rsidRPr="009A28F0">
        <w:rPr>
          <w:rFonts w:ascii="Times New Roman" w:hAnsi="Times New Roman" w:cs="Times New Roman"/>
          <w:sz w:val="20"/>
          <w:szCs w:val="20"/>
        </w:rPr>
        <w:t>o</w:t>
      </w:r>
      <w:r>
        <w:rPr>
          <w:rFonts w:ascii="Times New Roman" w:hAnsi="Times New Roman" w:cs="Times New Roman"/>
          <w:sz w:val="20"/>
          <w:szCs w:val="20"/>
        </w:rPr>
        <w:t>ln</w:t>
      </w:r>
      <w:r w:rsidRPr="009A28F0">
        <w:rPr>
          <w:rFonts w:ascii="Times New Roman" w:hAnsi="Times New Roman" w:cs="Times New Roman"/>
          <w:sz w:val="20"/>
          <w:szCs w:val="20"/>
        </w:rPr>
        <w:t>é riaditeľstvo SR</w:t>
      </w:r>
    </w:p>
    <w:p w:rsidR="00CE270A" w:rsidP="00CE270A">
      <w:pPr>
        <w:spacing w:line="360" w:lineRule="auto"/>
        <w:ind w:firstLine="567"/>
        <w:jc w:val="both"/>
        <w:rPr>
          <w:rFonts w:ascii="Times New Roman" w:hAnsi="Times New Roman" w:cs="Times New Roman"/>
        </w:rPr>
      </w:pPr>
    </w:p>
    <w:p w:rsidR="004437B4" w:rsidP="00CE270A">
      <w:pPr>
        <w:spacing w:line="360" w:lineRule="auto"/>
        <w:ind w:firstLine="567"/>
        <w:jc w:val="both"/>
        <w:rPr>
          <w:rFonts w:ascii="Times New Roman" w:hAnsi="Times New Roman" w:cs="Times New Roman"/>
        </w:rPr>
      </w:pPr>
    </w:p>
    <w:p w:rsidR="004437B4" w:rsidP="00CE270A">
      <w:pPr>
        <w:spacing w:line="360" w:lineRule="auto"/>
        <w:ind w:firstLine="567"/>
        <w:jc w:val="both"/>
        <w:rPr>
          <w:rFonts w:ascii="Times New Roman" w:hAnsi="Times New Roman" w:cs="Times New Roman"/>
        </w:rPr>
      </w:pPr>
    </w:p>
    <w:p w:rsidR="004437B4" w:rsidP="00CE270A">
      <w:pPr>
        <w:spacing w:line="360" w:lineRule="auto"/>
        <w:ind w:firstLine="567"/>
        <w:jc w:val="both"/>
        <w:rPr>
          <w:rFonts w:ascii="Times New Roman" w:hAnsi="Times New Roman" w:cs="Times New Roman"/>
        </w:rPr>
      </w:pPr>
    </w:p>
    <w:p w:rsidR="004437B4" w:rsidP="00CE270A">
      <w:pPr>
        <w:spacing w:line="360" w:lineRule="auto"/>
        <w:ind w:firstLine="567"/>
        <w:jc w:val="both"/>
        <w:rPr>
          <w:rFonts w:ascii="Times New Roman" w:hAnsi="Times New Roman" w:cs="Times New Roman"/>
        </w:rPr>
      </w:pPr>
    </w:p>
    <w:p w:rsidR="004437B4" w:rsidP="00CE270A">
      <w:pPr>
        <w:spacing w:line="360" w:lineRule="auto"/>
        <w:ind w:firstLine="567"/>
        <w:jc w:val="both"/>
        <w:rPr>
          <w:rFonts w:ascii="Times New Roman" w:hAnsi="Times New Roman" w:cs="Times New Roman"/>
        </w:rPr>
      </w:pPr>
    </w:p>
    <w:p w:rsidR="004437B4" w:rsidRPr="00136361" w:rsidP="00CE270A">
      <w:pPr>
        <w:spacing w:line="360" w:lineRule="auto"/>
        <w:ind w:firstLine="567"/>
        <w:jc w:val="both"/>
        <w:rPr>
          <w:rFonts w:ascii="Times New Roman" w:hAnsi="Times New Roman" w:cs="Times New Roman"/>
        </w:rPr>
      </w:pPr>
    </w:p>
    <w:p w:rsidR="00CE270A" w:rsidRPr="002E5FC9" w:rsidP="00644DA1">
      <w:pPr>
        <w:numPr>
          <w:ilvl w:val="2"/>
          <w:numId w:val="154"/>
        </w:numPr>
        <w:tabs>
          <w:tab w:val="left" w:pos="720"/>
        </w:tabs>
        <w:jc w:val="center"/>
        <w:rPr>
          <w:rFonts w:ascii="Times New Roman" w:hAnsi="Times New Roman" w:cs="Times New Roman"/>
          <w:b/>
        </w:rPr>
      </w:pPr>
      <w:r w:rsidRPr="002E5FC9">
        <w:rPr>
          <w:rFonts w:ascii="Times New Roman" w:hAnsi="Times New Roman" w:cs="Times New Roman"/>
          <w:b/>
        </w:rPr>
        <w:t>Vymáhanie pohľadávok v</w:t>
      </w:r>
      <w:r>
        <w:rPr>
          <w:rFonts w:ascii="Times New Roman" w:hAnsi="Times New Roman" w:cs="Times New Roman"/>
          <w:b/>
        </w:rPr>
        <w:t> </w:t>
      </w:r>
      <w:r w:rsidRPr="002E5FC9">
        <w:rPr>
          <w:rFonts w:ascii="Times New Roman" w:hAnsi="Times New Roman" w:cs="Times New Roman"/>
          <w:b/>
        </w:rPr>
        <w:t>tuzemsku</w:t>
      </w:r>
    </w:p>
    <w:p w:rsidR="00CE270A" w:rsidP="00CE270A">
      <w:pPr>
        <w:tabs>
          <w:tab w:val="left" w:pos="567"/>
        </w:tabs>
        <w:ind w:hanging="567"/>
        <w:jc w:val="both"/>
        <w:rPr>
          <w:rFonts w:ascii="Times New Roman" w:hAnsi="Times New Roman" w:cs="Times New Roman"/>
        </w:rPr>
      </w:pPr>
    </w:p>
    <w:p w:rsidR="00CE270A" w:rsidRPr="002E5FC9" w:rsidP="00CE270A">
      <w:pPr>
        <w:spacing w:line="360" w:lineRule="auto"/>
        <w:ind w:firstLine="720"/>
        <w:jc w:val="both"/>
        <w:rPr>
          <w:rFonts w:ascii="Times New Roman" w:hAnsi="Times New Roman" w:cs="Times New Roman"/>
        </w:rPr>
      </w:pPr>
      <w:r w:rsidRPr="002E5FC9">
        <w:rPr>
          <w:rFonts w:ascii="Times New Roman" w:hAnsi="Times New Roman" w:cs="Times New Roman"/>
        </w:rPr>
        <w:t xml:space="preserve">Vymáhanie pohľadávok po lehote splatnosti vykonávajú colné úrady podľa zákona </w:t>
      </w:r>
      <w:r>
        <w:rPr>
          <w:rFonts w:ascii="Times New Roman" w:hAnsi="Times New Roman" w:cs="Times New Roman"/>
        </w:rPr>
        <w:t xml:space="preserve">   </w:t>
      </w:r>
      <w:r w:rsidRPr="002E5FC9">
        <w:rPr>
          <w:rFonts w:ascii="Times New Roman" w:hAnsi="Times New Roman" w:cs="Times New Roman"/>
        </w:rPr>
        <w:t xml:space="preserve">č. 511/1992 Zb. o správe daní a poplatkov a o zmenách v sústave územných finančných orgánov v znení neskorších predpisov ako aj zákona </w:t>
      </w:r>
      <w:r>
        <w:rPr>
          <w:rFonts w:ascii="Times New Roman" w:hAnsi="Times New Roman" w:cs="Times New Roman"/>
        </w:rPr>
        <w:t>č</w:t>
      </w:r>
      <w:r w:rsidRPr="002E5FC9">
        <w:rPr>
          <w:rFonts w:ascii="Times New Roman" w:hAnsi="Times New Roman" w:cs="Times New Roman"/>
        </w:rPr>
        <w:t xml:space="preserve">. 278/1993 Z. z. o správe majetku štátu v znení neskorších predpisov. </w:t>
      </w:r>
    </w:p>
    <w:p w:rsidR="00CE270A" w:rsidRPr="002E5FC9" w:rsidP="00CE270A">
      <w:pPr>
        <w:spacing w:line="360" w:lineRule="auto"/>
        <w:ind w:left="1" w:firstLine="566"/>
        <w:jc w:val="both"/>
        <w:rPr>
          <w:rFonts w:ascii="Times New Roman" w:hAnsi="Times New Roman" w:cs="Times New Roman"/>
        </w:rPr>
      </w:pPr>
      <w:r>
        <w:rPr>
          <w:rFonts w:ascii="Times New Roman" w:hAnsi="Times New Roman" w:cs="Times New Roman"/>
        </w:rPr>
        <w:t>H</w:t>
      </w:r>
      <w:r w:rsidRPr="002E5FC9">
        <w:rPr>
          <w:rFonts w:ascii="Times New Roman" w:hAnsi="Times New Roman" w:cs="Times New Roman"/>
        </w:rPr>
        <w:t xml:space="preserve">lavnou úlohou colnej správy </w:t>
      </w:r>
      <w:r>
        <w:rPr>
          <w:rFonts w:ascii="Times New Roman" w:hAnsi="Times New Roman" w:cs="Times New Roman"/>
        </w:rPr>
        <w:t xml:space="preserve">je </w:t>
      </w:r>
      <w:r w:rsidRPr="002E5FC9">
        <w:rPr>
          <w:rFonts w:ascii="Times New Roman" w:hAnsi="Times New Roman" w:cs="Times New Roman"/>
        </w:rPr>
        <w:t>zabezpečiť</w:t>
      </w:r>
      <w:r>
        <w:rPr>
          <w:rFonts w:ascii="Times New Roman" w:hAnsi="Times New Roman" w:cs="Times New Roman"/>
        </w:rPr>
        <w:t xml:space="preserve"> </w:t>
      </w:r>
      <w:r w:rsidRPr="002E5FC9">
        <w:rPr>
          <w:rFonts w:ascii="Times New Roman" w:hAnsi="Times New Roman" w:cs="Times New Roman"/>
        </w:rPr>
        <w:t xml:space="preserve">čo najväčšiu úspešnosť vymáhania pohľadávok a znižovať nedoplatky na čo najnižšiu úroveň. </w:t>
      </w:r>
      <w:r>
        <w:rPr>
          <w:rFonts w:ascii="Times New Roman" w:hAnsi="Times New Roman" w:cs="Times New Roman"/>
        </w:rPr>
        <w:t>Pre jej zabezpečenie</w:t>
      </w:r>
      <w:r w:rsidRPr="002E5FC9">
        <w:rPr>
          <w:rFonts w:ascii="Times New Roman" w:hAnsi="Times New Roman" w:cs="Times New Roman"/>
        </w:rPr>
        <w:t xml:space="preserve"> colné úrady  zasielajú  výzvy  deklarantom  a ručiteľom,  zisťujú majetok dlžníkov na katastrálnych úradoch, spolupracujú s peňažnými ústavmi alebo daňovými  úradmi za účelom zistenia finančných prostriedkov dlžníka, resp. možnosti úhrady pohľadávky z daňových preplatkov, spolupracujú s registrovými súdmi pri objasňovaní reálnosti a pravdivosti údajov,  s Registrom obyvateľov SR </w:t>
      </w:r>
      <w:r>
        <w:rPr>
          <w:rFonts w:ascii="Times New Roman" w:hAnsi="Times New Roman" w:cs="Times New Roman"/>
        </w:rPr>
        <w:t xml:space="preserve">pri </w:t>
      </w:r>
      <w:r w:rsidRPr="002E5FC9">
        <w:rPr>
          <w:rFonts w:ascii="Times New Roman" w:hAnsi="Times New Roman" w:cs="Times New Roman"/>
        </w:rPr>
        <w:t>zisťovan</w:t>
      </w:r>
      <w:r>
        <w:rPr>
          <w:rFonts w:ascii="Times New Roman" w:hAnsi="Times New Roman" w:cs="Times New Roman"/>
        </w:rPr>
        <w:t>í</w:t>
      </w:r>
      <w:r w:rsidRPr="002E5FC9">
        <w:rPr>
          <w:rFonts w:ascii="Times New Roman" w:hAnsi="Times New Roman" w:cs="Times New Roman"/>
        </w:rPr>
        <w:t xml:space="preserve"> aktuálnych adries fyzických osôb  atď. </w:t>
      </w:r>
    </w:p>
    <w:p w:rsidR="00CE270A" w:rsidRPr="002E5FC9" w:rsidP="00CE270A">
      <w:pPr>
        <w:spacing w:after="120" w:line="360" w:lineRule="auto"/>
        <w:ind w:firstLine="284"/>
        <w:jc w:val="both"/>
        <w:rPr>
          <w:rFonts w:ascii="Times New Roman" w:hAnsi="Times New Roman" w:cs="Times New Roman"/>
        </w:rPr>
      </w:pPr>
      <w:r w:rsidRPr="002E5FC9">
        <w:rPr>
          <w:rFonts w:ascii="Times New Roman" w:hAnsi="Times New Roman" w:cs="Times New Roman"/>
        </w:rPr>
        <w:t xml:space="preserve">      Celkový prehľad o vymáhaní pohľadávok colnej správy a ich účinnosti v roku 2006 </w:t>
      </w:r>
      <w:r>
        <w:rPr>
          <w:rFonts w:ascii="Times New Roman" w:hAnsi="Times New Roman" w:cs="Times New Roman"/>
        </w:rPr>
        <w:t>j</w:t>
      </w:r>
      <w:r w:rsidRPr="002E5FC9">
        <w:rPr>
          <w:rFonts w:ascii="Times New Roman" w:hAnsi="Times New Roman" w:cs="Times New Roman"/>
        </w:rPr>
        <w:t>e uvedený v nasledujúcom prehľade</w:t>
      </w:r>
      <w:r>
        <w:rPr>
          <w:rFonts w:ascii="Times New Roman" w:hAnsi="Times New Roman" w:cs="Times New Roman"/>
        </w:rPr>
        <w:t xml:space="preserve"> (v mil. Sk):</w:t>
      </w:r>
    </w:p>
    <w:tbl>
      <w:tblPr>
        <w:tblW w:w="9200" w:type="dxa"/>
        <w:tblInd w:w="55"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CellMar>
          <w:left w:w="70" w:type="dxa"/>
          <w:right w:w="70" w:type="dxa"/>
        </w:tblCellMar>
      </w:tblPr>
      <w:tblGrid>
        <w:gridCol w:w="3795"/>
        <w:gridCol w:w="1085"/>
        <w:gridCol w:w="1615"/>
        <w:gridCol w:w="1440"/>
        <w:gridCol w:w="1265"/>
      </w:tblGrid>
      <w:tr>
        <w:tblPrEx>
          <w:tblW w:w="9200" w:type="dxa"/>
          <w:tblInd w:w="55" w:type="dxa"/>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CellMar>
            <w:left w:w="70" w:type="dxa"/>
            <w:right w:w="70" w:type="dxa"/>
          </w:tblCellMar>
        </w:tblPrEx>
        <w:trPr>
          <w:trHeight w:val="1021"/>
        </w:trPr>
        <w:tc>
          <w:tcPr>
            <w:tcW w:w="3795" w:type="dxa"/>
            <w:tcBorders>
              <w:top w:val="single" w:sz="8" w:space="0" w:color="auto"/>
              <w:left w:val="single" w:sz="8" w:space="0" w:color="auto"/>
              <w:bottom w:val="single" w:sz="4" w:space="0" w:color="auto"/>
              <w:right w:val="single" w:sz="4" w:space="0" w:color="auto"/>
              <w:tl2br w:val="nil"/>
              <w:tr2bl w:val="nil"/>
            </w:tcBorders>
            <w:noWrap/>
            <w:textDirection w:val="lrTb"/>
            <w:vAlign w:val="center"/>
          </w:tcPr>
          <w:p w:rsidR="00CE270A" w:rsidRPr="004437B4" w:rsidP="00CE270A">
            <w:pPr>
              <w:jc w:val="center"/>
              <w:rPr>
                <w:rFonts w:ascii="Times New Roman" w:hAnsi="Times New Roman" w:cs="Times New Roman"/>
                <w:b/>
                <w:bCs/>
                <w:sz w:val="20"/>
                <w:szCs w:val="20"/>
              </w:rPr>
            </w:pPr>
            <w:r w:rsidRPr="004437B4">
              <w:rPr>
                <w:rFonts w:ascii="Times New Roman" w:hAnsi="Times New Roman" w:cs="Times New Roman"/>
                <w:b/>
                <w:bCs/>
                <w:sz w:val="20"/>
                <w:szCs w:val="20"/>
              </w:rPr>
              <w:t>Forma vymáhania</w:t>
            </w:r>
          </w:p>
        </w:tc>
        <w:tc>
          <w:tcPr>
            <w:tcW w:w="1085" w:type="dxa"/>
            <w:tcBorders>
              <w:top w:val="single" w:sz="8" w:space="0" w:color="auto"/>
              <w:left w:val="single" w:sz="4" w:space="0" w:color="auto"/>
              <w:bottom w:val="single" w:sz="4" w:space="0" w:color="auto"/>
              <w:right w:val="single" w:sz="4" w:space="0" w:color="auto"/>
              <w:tl2br w:val="nil"/>
              <w:tr2bl w:val="nil"/>
            </w:tcBorders>
            <w:noWrap/>
            <w:textDirection w:val="lrTb"/>
            <w:vAlign w:val="center"/>
          </w:tcPr>
          <w:p w:rsidR="00CE270A" w:rsidRPr="004437B4" w:rsidP="00CE270A">
            <w:pPr>
              <w:jc w:val="center"/>
              <w:rPr>
                <w:rFonts w:ascii="Times New Roman" w:hAnsi="Times New Roman" w:cs="Times New Roman"/>
                <w:b/>
                <w:bCs/>
                <w:sz w:val="20"/>
                <w:szCs w:val="20"/>
              </w:rPr>
            </w:pPr>
            <w:r w:rsidRPr="004437B4">
              <w:rPr>
                <w:rFonts w:ascii="Times New Roman" w:hAnsi="Times New Roman" w:cs="Times New Roman"/>
                <w:b/>
                <w:bCs/>
                <w:sz w:val="20"/>
                <w:szCs w:val="20"/>
              </w:rPr>
              <w:t>Počet vydaných</w:t>
            </w:r>
          </w:p>
          <w:p w:rsidR="00CE270A" w:rsidRPr="004437B4" w:rsidP="00CE270A">
            <w:pPr>
              <w:jc w:val="center"/>
              <w:rPr>
                <w:rFonts w:ascii="Times New Roman" w:hAnsi="Times New Roman" w:cs="Times New Roman"/>
                <w:b/>
                <w:bCs/>
                <w:sz w:val="20"/>
                <w:szCs w:val="20"/>
              </w:rPr>
            </w:pPr>
            <w:r w:rsidRPr="004437B4">
              <w:rPr>
                <w:rFonts w:ascii="Times New Roman" w:hAnsi="Times New Roman" w:cs="Times New Roman"/>
                <w:b/>
                <w:bCs/>
                <w:sz w:val="20"/>
                <w:szCs w:val="20"/>
              </w:rPr>
              <w:t>rozhodnutí</w:t>
            </w:r>
          </w:p>
        </w:tc>
        <w:tc>
          <w:tcPr>
            <w:tcW w:w="1615" w:type="dxa"/>
            <w:tcBorders>
              <w:top w:val="single" w:sz="8" w:space="0" w:color="auto"/>
              <w:left w:val="single" w:sz="4" w:space="0" w:color="auto"/>
              <w:bottom w:val="single" w:sz="4" w:space="0" w:color="auto"/>
              <w:right w:val="single" w:sz="4" w:space="0" w:color="auto"/>
              <w:tl2br w:val="nil"/>
              <w:tr2bl w:val="nil"/>
            </w:tcBorders>
            <w:noWrap/>
            <w:tcMar>
              <w:left w:w="0" w:type="dxa"/>
              <w:right w:w="0" w:type="dxa"/>
            </w:tcMar>
            <w:textDirection w:val="lrTb"/>
            <w:vAlign w:val="center"/>
          </w:tcPr>
          <w:p w:rsidR="00CE270A" w:rsidRPr="004437B4" w:rsidP="00125CB5">
            <w:pPr>
              <w:jc w:val="center"/>
              <w:rPr>
                <w:rFonts w:ascii="Times New Roman" w:hAnsi="Times New Roman" w:cs="Times New Roman"/>
                <w:b/>
                <w:bCs/>
                <w:sz w:val="20"/>
                <w:szCs w:val="20"/>
              </w:rPr>
            </w:pPr>
            <w:r w:rsidR="00125CB5">
              <w:rPr>
                <w:rFonts w:ascii="Times New Roman" w:hAnsi="Times New Roman" w:cs="Times New Roman"/>
                <w:b/>
                <w:bCs/>
                <w:sz w:val="20"/>
                <w:szCs w:val="20"/>
              </w:rPr>
              <w:t>Výška vymáha</w:t>
            </w:r>
            <w:r w:rsidRPr="004437B4">
              <w:rPr>
                <w:rFonts w:ascii="Times New Roman" w:hAnsi="Times New Roman" w:cs="Times New Roman"/>
                <w:b/>
                <w:bCs/>
                <w:sz w:val="20"/>
                <w:szCs w:val="20"/>
              </w:rPr>
              <w:t>ných prostriedkov</w:t>
            </w:r>
          </w:p>
        </w:tc>
        <w:tc>
          <w:tcPr>
            <w:tcW w:w="1440" w:type="dxa"/>
            <w:tcBorders>
              <w:top w:val="single" w:sz="8" w:space="0" w:color="auto"/>
              <w:left w:val="single" w:sz="4" w:space="0" w:color="auto"/>
              <w:bottom w:val="single" w:sz="4" w:space="0" w:color="auto"/>
              <w:right w:val="single" w:sz="4" w:space="0" w:color="auto"/>
              <w:tl2br w:val="nil"/>
              <w:tr2bl w:val="nil"/>
            </w:tcBorders>
            <w:noWrap/>
            <w:tcMar>
              <w:left w:w="0" w:type="dxa"/>
              <w:right w:w="0" w:type="dxa"/>
            </w:tcMar>
            <w:textDirection w:val="lrTb"/>
            <w:vAlign w:val="center"/>
          </w:tcPr>
          <w:p w:rsidR="00CE270A" w:rsidRPr="004437B4" w:rsidP="00125CB5">
            <w:pPr>
              <w:jc w:val="center"/>
              <w:rPr>
                <w:rFonts w:ascii="Times New Roman" w:hAnsi="Times New Roman" w:cs="Times New Roman"/>
                <w:b/>
                <w:bCs/>
                <w:sz w:val="20"/>
                <w:szCs w:val="20"/>
              </w:rPr>
            </w:pPr>
            <w:r w:rsidR="00125CB5">
              <w:rPr>
                <w:rFonts w:ascii="Times New Roman" w:hAnsi="Times New Roman" w:cs="Times New Roman"/>
                <w:b/>
                <w:bCs/>
                <w:sz w:val="20"/>
                <w:szCs w:val="20"/>
              </w:rPr>
              <w:t>Výška vymože</w:t>
            </w:r>
            <w:r w:rsidRPr="004437B4">
              <w:rPr>
                <w:rFonts w:ascii="Times New Roman" w:hAnsi="Times New Roman" w:cs="Times New Roman"/>
                <w:b/>
                <w:bCs/>
                <w:sz w:val="20"/>
                <w:szCs w:val="20"/>
              </w:rPr>
              <w:t>ných prostriedkov</w:t>
            </w:r>
          </w:p>
        </w:tc>
        <w:tc>
          <w:tcPr>
            <w:tcW w:w="1265" w:type="dxa"/>
            <w:tcBorders>
              <w:top w:val="single" w:sz="8" w:space="0" w:color="auto"/>
              <w:left w:val="single" w:sz="4" w:space="0" w:color="auto"/>
              <w:bottom w:val="single" w:sz="4" w:space="0" w:color="auto"/>
              <w:right w:val="single" w:sz="8" w:space="0" w:color="auto"/>
              <w:tl2br w:val="nil"/>
              <w:tr2bl w:val="nil"/>
            </w:tcBorders>
            <w:noWrap/>
            <w:textDirection w:val="lrTb"/>
            <w:vAlign w:val="center"/>
          </w:tcPr>
          <w:p w:rsidR="00CE270A" w:rsidRPr="004437B4" w:rsidP="00CE270A">
            <w:pPr>
              <w:jc w:val="center"/>
              <w:rPr>
                <w:rFonts w:ascii="Times New Roman" w:hAnsi="Times New Roman" w:cs="Times New Roman"/>
                <w:b/>
                <w:bCs/>
                <w:sz w:val="20"/>
                <w:szCs w:val="20"/>
              </w:rPr>
            </w:pPr>
            <w:r w:rsidRPr="004437B4">
              <w:rPr>
                <w:rFonts w:ascii="Times New Roman" w:hAnsi="Times New Roman" w:cs="Times New Roman"/>
                <w:b/>
                <w:bCs/>
                <w:sz w:val="20"/>
                <w:szCs w:val="20"/>
              </w:rPr>
              <w:t>Účinnosť</w:t>
            </w:r>
          </w:p>
          <w:p w:rsidR="00CE270A" w:rsidRPr="004437B4" w:rsidP="00CE270A">
            <w:pPr>
              <w:jc w:val="center"/>
              <w:rPr>
                <w:rFonts w:ascii="Times New Roman" w:hAnsi="Times New Roman" w:cs="Times New Roman"/>
                <w:b/>
                <w:bCs/>
                <w:sz w:val="20"/>
                <w:szCs w:val="20"/>
              </w:rPr>
            </w:pPr>
            <w:r w:rsidRPr="004437B4">
              <w:rPr>
                <w:rFonts w:ascii="Times New Roman" w:hAnsi="Times New Roman" w:cs="Times New Roman"/>
                <w:b/>
                <w:bCs/>
                <w:sz w:val="20"/>
                <w:szCs w:val="20"/>
              </w:rPr>
              <w:t>vymáhania</w:t>
            </w:r>
          </w:p>
          <w:p w:rsidR="00CE270A" w:rsidRPr="004437B4" w:rsidP="00CE270A">
            <w:pPr>
              <w:jc w:val="center"/>
              <w:rPr>
                <w:rFonts w:ascii="Times New Roman" w:hAnsi="Times New Roman" w:cs="Times New Roman"/>
                <w:b/>
                <w:bCs/>
                <w:sz w:val="20"/>
                <w:szCs w:val="20"/>
              </w:rPr>
            </w:pPr>
            <w:r w:rsidRPr="004437B4">
              <w:rPr>
                <w:rFonts w:ascii="Times New Roman" w:hAnsi="Times New Roman" w:cs="Times New Roman"/>
                <w:b/>
                <w:bCs/>
                <w:sz w:val="20"/>
                <w:szCs w:val="20"/>
              </w:rPr>
              <w:t xml:space="preserve"> v %</w:t>
            </w:r>
          </w:p>
        </w:tc>
      </w:tr>
      <w:tr>
        <w:tblPrEx>
          <w:tblW w:w="9200" w:type="dxa"/>
          <w:tblInd w:w="55" w:type="dxa"/>
          <w:tblCellMar>
            <w:left w:w="70" w:type="dxa"/>
            <w:right w:w="70" w:type="dxa"/>
          </w:tblCellMar>
        </w:tblPrEx>
        <w:trPr>
          <w:trHeight w:val="255"/>
        </w:trPr>
        <w:tc>
          <w:tcPr>
            <w:tcW w:w="379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CE270A" w:rsidRPr="004437B4" w:rsidP="00CE270A">
            <w:pPr>
              <w:rPr>
                <w:rFonts w:ascii="Times New Roman" w:hAnsi="Times New Roman" w:cs="Times New Roman"/>
                <w:sz w:val="20"/>
                <w:szCs w:val="20"/>
              </w:rPr>
            </w:pPr>
            <w:r w:rsidRPr="004437B4">
              <w:rPr>
                <w:rFonts w:ascii="Times New Roman" w:hAnsi="Times New Roman" w:cs="Times New Roman"/>
                <w:sz w:val="20"/>
                <w:szCs w:val="20"/>
              </w:rPr>
              <w:t>1. Colné záložné právo</w:t>
            </w:r>
          </w:p>
        </w:tc>
        <w:tc>
          <w:tcPr>
            <w:tcW w:w="108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216</w:t>
            </w:r>
          </w:p>
        </w:tc>
        <w:tc>
          <w:tcPr>
            <w:tcW w:w="161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105 564,2</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1 297,6</w:t>
            </w:r>
          </w:p>
        </w:tc>
        <w:tc>
          <w:tcPr>
            <w:tcW w:w="1265"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1,2</w:t>
            </w:r>
          </w:p>
        </w:tc>
      </w:tr>
      <w:tr>
        <w:tblPrEx>
          <w:tblW w:w="9200" w:type="dxa"/>
          <w:tblInd w:w="55" w:type="dxa"/>
          <w:tblCellMar>
            <w:left w:w="70" w:type="dxa"/>
            <w:right w:w="70" w:type="dxa"/>
          </w:tblCellMar>
        </w:tblPrEx>
        <w:trPr>
          <w:trHeight w:val="765"/>
        </w:trPr>
        <w:tc>
          <w:tcPr>
            <w:tcW w:w="3795"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CE270A" w:rsidRPr="004437B4" w:rsidP="00CE270A">
            <w:pPr>
              <w:rPr>
                <w:rFonts w:ascii="Times New Roman" w:hAnsi="Times New Roman" w:cs="Times New Roman"/>
                <w:sz w:val="20"/>
                <w:szCs w:val="20"/>
              </w:rPr>
            </w:pPr>
            <w:r w:rsidRPr="004437B4">
              <w:rPr>
                <w:rFonts w:ascii="Times New Roman" w:hAnsi="Times New Roman" w:cs="Times New Roman"/>
                <w:sz w:val="20"/>
                <w:szCs w:val="20"/>
              </w:rPr>
              <w:t>2.1. Exek. príkaz na prikázanie pohľadávky</w:t>
            </w:r>
          </w:p>
          <w:p w:rsidR="00CE270A" w:rsidRPr="004437B4" w:rsidP="00CE270A">
            <w:pPr>
              <w:rPr>
                <w:rFonts w:ascii="Times New Roman" w:hAnsi="Times New Roman" w:cs="Times New Roman"/>
                <w:sz w:val="20"/>
                <w:szCs w:val="20"/>
              </w:rPr>
            </w:pPr>
            <w:r w:rsidRPr="004437B4">
              <w:rPr>
                <w:rFonts w:ascii="Times New Roman" w:hAnsi="Times New Roman" w:cs="Times New Roman"/>
                <w:sz w:val="20"/>
                <w:szCs w:val="20"/>
              </w:rPr>
              <w:t xml:space="preserve">       na peň. prostriedky dlžníkov na účtoch</w:t>
            </w:r>
          </w:p>
          <w:p w:rsidR="00CE270A" w:rsidRPr="004437B4" w:rsidP="00CE270A">
            <w:pPr>
              <w:rPr>
                <w:rFonts w:ascii="Times New Roman" w:hAnsi="Times New Roman" w:cs="Times New Roman"/>
                <w:sz w:val="20"/>
                <w:szCs w:val="20"/>
              </w:rPr>
            </w:pPr>
            <w:r w:rsidRPr="004437B4">
              <w:rPr>
                <w:rFonts w:ascii="Times New Roman" w:hAnsi="Times New Roman" w:cs="Times New Roman"/>
                <w:sz w:val="20"/>
                <w:szCs w:val="20"/>
              </w:rPr>
              <w:t xml:space="preserve">       v bankách alebo iné pohľadávky</w:t>
            </w:r>
          </w:p>
        </w:tc>
        <w:tc>
          <w:tcPr>
            <w:tcW w:w="108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869</w:t>
            </w:r>
          </w:p>
        </w:tc>
        <w:tc>
          <w:tcPr>
            <w:tcW w:w="161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74 010,8</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8 560,9</w:t>
            </w:r>
          </w:p>
        </w:tc>
        <w:tc>
          <w:tcPr>
            <w:tcW w:w="1265" w:type="dxa"/>
            <w:tcBorders>
              <w:top w:val="single" w:sz="4" w:space="0" w:color="auto"/>
              <w:left w:val="single" w:sz="4" w:space="0" w:color="auto"/>
              <w:bottom w:val="single" w:sz="4" w:space="0" w:color="auto"/>
              <w:right w:val="single" w:sz="8" w:space="0" w:color="auto"/>
              <w:tl2br w:val="nil"/>
              <w:tr2bl w:val="nil"/>
            </w:tcBorders>
            <w:noWrap/>
            <w:textDirection w:val="lrTb"/>
            <w:vAlign w:val="center"/>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11,6</w:t>
            </w:r>
          </w:p>
        </w:tc>
      </w:tr>
      <w:tr>
        <w:tblPrEx>
          <w:tblW w:w="9200" w:type="dxa"/>
          <w:tblInd w:w="55" w:type="dxa"/>
          <w:tblCellMar>
            <w:left w:w="70" w:type="dxa"/>
            <w:right w:w="70" w:type="dxa"/>
          </w:tblCellMar>
        </w:tblPrEx>
        <w:trPr>
          <w:trHeight w:val="255"/>
        </w:trPr>
        <w:tc>
          <w:tcPr>
            <w:tcW w:w="3795"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CE270A" w:rsidRPr="004437B4" w:rsidP="00CE270A">
            <w:pPr>
              <w:rPr>
                <w:rFonts w:ascii="Times New Roman" w:hAnsi="Times New Roman" w:cs="Times New Roman"/>
                <w:sz w:val="20"/>
                <w:szCs w:val="20"/>
              </w:rPr>
            </w:pPr>
            <w:r w:rsidRPr="004437B4">
              <w:rPr>
                <w:rFonts w:ascii="Times New Roman" w:hAnsi="Times New Roman" w:cs="Times New Roman"/>
                <w:sz w:val="20"/>
                <w:szCs w:val="20"/>
              </w:rPr>
              <w:t xml:space="preserve">2.2. Preúčtovanie nadmerného odpočtu </w:t>
            </w:r>
          </w:p>
          <w:p w:rsidR="00CE270A" w:rsidRPr="004437B4" w:rsidP="00CE270A">
            <w:pPr>
              <w:rPr>
                <w:rFonts w:ascii="Times New Roman" w:hAnsi="Times New Roman" w:cs="Times New Roman"/>
                <w:sz w:val="20"/>
                <w:szCs w:val="20"/>
              </w:rPr>
            </w:pPr>
            <w:r w:rsidRPr="004437B4">
              <w:rPr>
                <w:rFonts w:ascii="Times New Roman" w:hAnsi="Times New Roman" w:cs="Times New Roman"/>
                <w:sz w:val="20"/>
                <w:szCs w:val="20"/>
              </w:rPr>
              <w:t xml:space="preserve">       DPH u</w:t>
            </w:r>
            <w:r w:rsidRPr="004437B4" w:rsidR="00B652E3">
              <w:rPr>
                <w:rFonts w:ascii="Times New Roman" w:hAnsi="Times New Roman" w:cs="Times New Roman"/>
                <w:sz w:val="20"/>
                <w:szCs w:val="20"/>
              </w:rPr>
              <w:t> </w:t>
            </w:r>
            <w:r w:rsidRPr="004437B4">
              <w:rPr>
                <w:rFonts w:ascii="Times New Roman" w:hAnsi="Times New Roman" w:cs="Times New Roman"/>
                <w:sz w:val="20"/>
                <w:szCs w:val="20"/>
              </w:rPr>
              <w:t>dlžníkov</w:t>
            </w:r>
          </w:p>
        </w:tc>
        <w:tc>
          <w:tcPr>
            <w:tcW w:w="108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17</w:t>
            </w:r>
          </w:p>
        </w:tc>
        <w:tc>
          <w:tcPr>
            <w:tcW w:w="161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57,1</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825,4</w:t>
            </w:r>
          </w:p>
        </w:tc>
        <w:tc>
          <w:tcPr>
            <w:tcW w:w="1265" w:type="dxa"/>
            <w:tcBorders>
              <w:top w:val="single" w:sz="4" w:space="0" w:color="auto"/>
              <w:left w:val="single" w:sz="4" w:space="0" w:color="auto"/>
              <w:bottom w:val="single" w:sz="4" w:space="0" w:color="auto"/>
              <w:right w:val="single" w:sz="8" w:space="0" w:color="auto"/>
              <w:tl2br w:val="nil"/>
              <w:tr2bl w:val="nil"/>
            </w:tcBorders>
            <w:noWrap/>
            <w:textDirection w:val="lrTb"/>
            <w:vAlign w:val="center"/>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1 445,5</w:t>
            </w:r>
          </w:p>
        </w:tc>
      </w:tr>
      <w:tr>
        <w:tblPrEx>
          <w:tblW w:w="9200" w:type="dxa"/>
          <w:tblInd w:w="55" w:type="dxa"/>
          <w:tblCellMar>
            <w:left w:w="70" w:type="dxa"/>
            <w:right w:w="70" w:type="dxa"/>
          </w:tblCellMar>
        </w:tblPrEx>
        <w:trPr>
          <w:trHeight w:val="510"/>
        </w:trPr>
        <w:tc>
          <w:tcPr>
            <w:tcW w:w="3795"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CE270A" w:rsidRPr="004437B4" w:rsidP="00CE270A">
            <w:pPr>
              <w:rPr>
                <w:rFonts w:ascii="Times New Roman" w:hAnsi="Times New Roman" w:cs="Times New Roman"/>
                <w:sz w:val="20"/>
                <w:szCs w:val="20"/>
              </w:rPr>
            </w:pPr>
            <w:r w:rsidRPr="004437B4">
              <w:rPr>
                <w:rFonts w:ascii="Times New Roman" w:hAnsi="Times New Roman" w:cs="Times New Roman"/>
                <w:sz w:val="20"/>
                <w:szCs w:val="20"/>
              </w:rPr>
              <w:t>2.3. Preúčtovanie z bankových záruk</w:t>
            </w:r>
          </w:p>
          <w:p w:rsidR="00CE270A" w:rsidRPr="004437B4" w:rsidP="00CE270A">
            <w:pPr>
              <w:rPr>
                <w:rFonts w:ascii="Times New Roman" w:hAnsi="Times New Roman" w:cs="Times New Roman"/>
                <w:sz w:val="20"/>
                <w:szCs w:val="20"/>
              </w:rPr>
            </w:pPr>
            <w:r w:rsidRPr="004437B4">
              <w:rPr>
                <w:rFonts w:ascii="Times New Roman" w:hAnsi="Times New Roman" w:cs="Times New Roman"/>
                <w:sz w:val="20"/>
                <w:szCs w:val="20"/>
              </w:rPr>
              <w:t xml:space="preserve">      a vinkulácií         </w:t>
            </w:r>
          </w:p>
        </w:tc>
        <w:tc>
          <w:tcPr>
            <w:tcW w:w="108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628</w:t>
            </w:r>
          </w:p>
        </w:tc>
        <w:tc>
          <w:tcPr>
            <w:tcW w:w="161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126 381,6</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98 440,7</w:t>
            </w:r>
          </w:p>
        </w:tc>
        <w:tc>
          <w:tcPr>
            <w:tcW w:w="1265" w:type="dxa"/>
            <w:tcBorders>
              <w:top w:val="single" w:sz="4" w:space="0" w:color="auto"/>
              <w:left w:val="single" w:sz="4" w:space="0" w:color="auto"/>
              <w:bottom w:val="single" w:sz="4" w:space="0" w:color="auto"/>
              <w:right w:val="single" w:sz="8" w:space="0" w:color="auto"/>
              <w:tl2br w:val="nil"/>
              <w:tr2bl w:val="nil"/>
            </w:tcBorders>
            <w:noWrap/>
            <w:textDirection w:val="lrTb"/>
            <w:vAlign w:val="center"/>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77,9</w:t>
            </w:r>
          </w:p>
        </w:tc>
      </w:tr>
      <w:tr>
        <w:tblPrEx>
          <w:tblW w:w="9200" w:type="dxa"/>
          <w:tblInd w:w="55" w:type="dxa"/>
          <w:tblCellMar>
            <w:left w:w="70" w:type="dxa"/>
            <w:right w:w="70" w:type="dxa"/>
          </w:tblCellMar>
        </w:tblPrEx>
        <w:trPr>
          <w:trHeight w:val="510"/>
        </w:trPr>
        <w:tc>
          <w:tcPr>
            <w:tcW w:w="3795"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CE270A" w:rsidRPr="004437B4" w:rsidP="00CE270A">
            <w:pPr>
              <w:rPr>
                <w:rFonts w:ascii="Times New Roman" w:hAnsi="Times New Roman" w:cs="Times New Roman"/>
                <w:sz w:val="20"/>
                <w:szCs w:val="20"/>
              </w:rPr>
            </w:pPr>
            <w:r w:rsidRPr="004437B4">
              <w:rPr>
                <w:rFonts w:ascii="Times New Roman" w:hAnsi="Times New Roman" w:cs="Times New Roman"/>
                <w:sz w:val="20"/>
                <w:szCs w:val="20"/>
              </w:rPr>
              <w:t xml:space="preserve">3. Exek. príkaz na zrážku zo mzdy, inej </w:t>
            </w:r>
          </w:p>
          <w:p w:rsidR="00CE270A" w:rsidRPr="004437B4" w:rsidP="00CE270A">
            <w:pPr>
              <w:rPr>
                <w:rFonts w:ascii="Times New Roman" w:hAnsi="Times New Roman" w:cs="Times New Roman"/>
                <w:sz w:val="20"/>
                <w:szCs w:val="20"/>
              </w:rPr>
            </w:pPr>
            <w:r w:rsidRPr="004437B4">
              <w:rPr>
                <w:rFonts w:ascii="Times New Roman" w:hAnsi="Times New Roman" w:cs="Times New Roman"/>
                <w:sz w:val="20"/>
                <w:szCs w:val="20"/>
              </w:rPr>
              <w:t xml:space="preserve">    odmeny ...</w:t>
            </w:r>
          </w:p>
        </w:tc>
        <w:tc>
          <w:tcPr>
            <w:tcW w:w="108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92</w:t>
            </w:r>
          </w:p>
        </w:tc>
        <w:tc>
          <w:tcPr>
            <w:tcW w:w="161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21 318,3</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677,1</w:t>
            </w:r>
          </w:p>
        </w:tc>
        <w:tc>
          <w:tcPr>
            <w:tcW w:w="1265" w:type="dxa"/>
            <w:tcBorders>
              <w:top w:val="single" w:sz="4" w:space="0" w:color="auto"/>
              <w:left w:val="single" w:sz="4" w:space="0" w:color="auto"/>
              <w:bottom w:val="single" w:sz="4" w:space="0" w:color="auto"/>
              <w:right w:val="single" w:sz="8" w:space="0" w:color="auto"/>
              <w:tl2br w:val="nil"/>
              <w:tr2bl w:val="nil"/>
            </w:tcBorders>
            <w:noWrap/>
            <w:textDirection w:val="lrTb"/>
            <w:vAlign w:val="center"/>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3,2</w:t>
            </w:r>
          </w:p>
        </w:tc>
      </w:tr>
      <w:tr>
        <w:tblPrEx>
          <w:tblW w:w="9200" w:type="dxa"/>
          <w:tblInd w:w="55" w:type="dxa"/>
          <w:tblCellMar>
            <w:left w:w="70" w:type="dxa"/>
            <w:right w:w="70" w:type="dxa"/>
          </w:tblCellMar>
        </w:tblPrEx>
        <w:trPr>
          <w:trHeight w:val="255"/>
        </w:trPr>
        <w:tc>
          <w:tcPr>
            <w:tcW w:w="379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CE270A" w:rsidRPr="004437B4" w:rsidP="00CE270A">
            <w:pPr>
              <w:rPr>
                <w:rFonts w:ascii="Times New Roman" w:hAnsi="Times New Roman" w:cs="Times New Roman"/>
                <w:sz w:val="20"/>
                <w:szCs w:val="20"/>
              </w:rPr>
            </w:pPr>
            <w:r w:rsidRPr="004437B4">
              <w:rPr>
                <w:rFonts w:ascii="Times New Roman" w:hAnsi="Times New Roman" w:cs="Times New Roman"/>
                <w:sz w:val="20"/>
                <w:szCs w:val="20"/>
              </w:rPr>
              <w:t>4. Exek. príkaz na predaj hnuteľných vecí</w:t>
            </w:r>
          </w:p>
        </w:tc>
        <w:tc>
          <w:tcPr>
            <w:tcW w:w="108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15</w:t>
            </w:r>
          </w:p>
        </w:tc>
        <w:tc>
          <w:tcPr>
            <w:tcW w:w="161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53 553,1</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248,2</w:t>
            </w:r>
          </w:p>
        </w:tc>
        <w:tc>
          <w:tcPr>
            <w:tcW w:w="1265"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0,5</w:t>
            </w:r>
          </w:p>
        </w:tc>
      </w:tr>
      <w:tr>
        <w:tblPrEx>
          <w:tblW w:w="9200" w:type="dxa"/>
          <w:tblInd w:w="55" w:type="dxa"/>
          <w:tblCellMar>
            <w:left w:w="70" w:type="dxa"/>
            <w:right w:w="70" w:type="dxa"/>
          </w:tblCellMar>
        </w:tblPrEx>
        <w:trPr>
          <w:trHeight w:val="255"/>
        </w:trPr>
        <w:tc>
          <w:tcPr>
            <w:tcW w:w="379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CE270A" w:rsidRPr="004437B4" w:rsidP="00CE270A">
            <w:pPr>
              <w:rPr>
                <w:rFonts w:ascii="Times New Roman" w:hAnsi="Times New Roman" w:cs="Times New Roman"/>
                <w:sz w:val="20"/>
                <w:szCs w:val="20"/>
              </w:rPr>
            </w:pPr>
            <w:r w:rsidRPr="004437B4">
              <w:rPr>
                <w:rFonts w:ascii="Times New Roman" w:hAnsi="Times New Roman" w:cs="Times New Roman"/>
                <w:sz w:val="20"/>
                <w:szCs w:val="20"/>
              </w:rPr>
              <w:t>5. Exek. príkaz na predaj nehnuteľnosti</w:t>
            </w:r>
          </w:p>
        </w:tc>
        <w:tc>
          <w:tcPr>
            <w:tcW w:w="108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5</w:t>
            </w:r>
          </w:p>
        </w:tc>
        <w:tc>
          <w:tcPr>
            <w:tcW w:w="161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495,4</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10,7</w:t>
            </w:r>
          </w:p>
        </w:tc>
        <w:tc>
          <w:tcPr>
            <w:tcW w:w="1265"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2,2</w:t>
            </w:r>
          </w:p>
        </w:tc>
      </w:tr>
      <w:tr>
        <w:tblPrEx>
          <w:tblW w:w="9200" w:type="dxa"/>
          <w:tblInd w:w="55" w:type="dxa"/>
          <w:tblCellMar>
            <w:left w:w="70" w:type="dxa"/>
            <w:right w:w="70" w:type="dxa"/>
          </w:tblCellMar>
        </w:tblPrEx>
        <w:trPr>
          <w:trHeight w:val="255"/>
        </w:trPr>
        <w:tc>
          <w:tcPr>
            <w:tcW w:w="3795" w:type="dxa"/>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CE270A" w:rsidRPr="004437B4" w:rsidP="00CE270A">
            <w:pPr>
              <w:rPr>
                <w:rFonts w:ascii="Times New Roman" w:hAnsi="Times New Roman" w:cs="Times New Roman"/>
                <w:sz w:val="20"/>
                <w:szCs w:val="20"/>
              </w:rPr>
            </w:pPr>
            <w:r w:rsidRPr="004437B4">
              <w:rPr>
                <w:rFonts w:ascii="Times New Roman" w:hAnsi="Times New Roman" w:cs="Times New Roman"/>
                <w:sz w:val="20"/>
                <w:szCs w:val="20"/>
              </w:rPr>
              <w:t>9. Výzva (nezahrnuté do súčtu)</w:t>
            </w:r>
          </w:p>
        </w:tc>
        <w:tc>
          <w:tcPr>
            <w:tcW w:w="108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2 605</w:t>
            </w:r>
          </w:p>
        </w:tc>
        <w:tc>
          <w:tcPr>
            <w:tcW w:w="1615"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510 964,4</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210 531,5</w:t>
            </w:r>
          </w:p>
        </w:tc>
        <w:tc>
          <w:tcPr>
            <w:tcW w:w="1265" w:type="dxa"/>
            <w:tcBorders>
              <w:top w:val="single" w:sz="4" w:space="0" w:color="auto"/>
              <w:left w:val="single" w:sz="4" w:space="0" w:color="auto"/>
              <w:bottom w:val="single" w:sz="4" w:space="0" w:color="auto"/>
              <w:right w:val="single" w:sz="8" w:space="0" w:color="auto"/>
              <w:tl2br w:val="nil"/>
              <w:tr2bl w:val="nil"/>
            </w:tcBorders>
            <w:noWrap/>
            <w:textDirection w:val="lrTb"/>
            <w:vAlign w:val="bottom"/>
          </w:tcPr>
          <w:p w:rsidR="00CE270A" w:rsidRPr="004437B4" w:rsidP="00CE270A">
            <w:pPr>
              <w:jc w:val="right"/>
              <w:rPr>
                <w:rFonts w:ascii="Times New Roman" w:hAnsi="Times New Roman" w:cs="Times New Roman"/>
                <w:sz w:val="20"/>
                <w:szCs w:val="20"/>
              </w:rPr>
            </w:pPr>
            <w:r w:rsidRPr="004437B4">
              <w:rPr>
                <w:rFonts w:ascii="Times New Roman" w:hAnsi="Times New Roman" w:cs="Times New Roman"/>
                <w:sz w:val="20"/>
                <w:szCs w:val="20"/>
              </w:rPr>
              <w:t>41,2</w:t>
            </w:r>
          </w:p>
        </w:tc>
      </w:tr>
      <w:tr>
        <w:tblPrEx>
          <w:tblW w:w="9200" w:type="dxa"/>
          <w:tblInd w:w="55" w:type="dxa"/>
          <w:tblCellMar>
            <w:left w:w="70" w:type="dxa"/>
            <w:right w:w="70" w:type="dxa"/>
          </w:tblCellMar>
        </w:tblPrEx>
        <w:trPr>
          <w:trHeight w:val="255"/>
        </w:trPr>
        <w:tc>
          <w:tcPr>
            <w:tcW w:w="3795" w:type="dxa"/>
            <w:tcBorders>
              <w:top w:val="single" w:sz="4" w:space="0" w:color="auto"/>
              <w:left w:val="single" w:sz="8" w:space="0" w:color="auto"/>
              <w:bottom w:val="double" w:sz="6" w:space="0" w:color="auto"/>
              <w:right w:val="single" w:sz="4" w:space="0" w:color="auto"/>
              <w:tl2br w:val="nil"/>
              <w:tr2bl w:val="nil"/>
            </w:tcBorders>
            <w:noWrap/>
            <w:textDirection w:val="lrTb"/>
            <w:vAlign w:val="bottom"/>
          </w:tcPr>
          <w:p w:rsidR="00CE270A" w:rsidRPr="004437B4" w:rsidP="00CE270A">
            <w:pPr>
              <w:rPr>
                <w:rFonts w:ascii="Times New Roman" w:hAnsi="Times New Roman" w:cs="Times New Roman"/>
                <w:b/>
                <w:bCs/>
                <w:sz w:val="20"/>
                <w:szCs w:val="20"/>
              </w:rPr>
            </w:pPr>
            <w:r w:rsidRPr="004437B4">
              <w:rPr>
                <w:rFonts w:ascii="Times New Roman" w:hAnsi="Times New Roman" w:cs="Times New Roman"/>
                <w:b/>
                <w:bCs/>
                <w:sz w:val="20"/>
                <w:szCs w:val="20"/>
              </w:rPr>
              <w:t>Spolu</w:t>
            </w:r>
          </w:p>
        </w:tc>
        <w:tc>
          <w:tcPr>
            <w:tcW w:w="1085"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CE270A" w:rsidRPr="004437B4" w:rsidP="00CE270A">
            <w:pPr>
              <w:jc w:val="right"/>
              <w:rPr>
                <w:rFonts w:ascii="Times New Roman" w:hAnsi="Times New Roman" w:cs="Times New Roman"/>
                <w:b/>
                <w:sz w:val="20"/>
                <w:szCs w:val="20"/>
              </w:rPr>
            </w:pPr>
            <w:r w:rsidRPr="004437B4">
              <w:rPr>
                <w:rFonts w:ascii="Times New Roman" w:hAnsi="Times New Roman" w:cs="Times New Roman"/>
                <w:b/>
                <w:sz w:val="20"/>
                <w:szCs w:val="20"/>
              </w:rPr>
              <w:t>1 842</w:t>
            </w:r>
          </w:p>
        </w:tc>
        <w:tc>
          <w:tcPr>
            <w:tcW w:w="1615"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CE270A" w:rsidRPr="004437B4" w:rsidP="00CE270A">
            <w:pPr>
              <w:jc w:val="right"/>
              <w:rPr>
                <w:rFonts w:ascii="Times New Roman" w:hAnsi="Times New Roman" w:cs="Times New Roman"/>
                <w:b/>
                <w:sz w:val="20"/>
                <w:szCs w:val="20"/>
              </w:rPr>
            </w:pPr>
            <w:r w:rsidRPr="004437B4">
              <w:rPr>
                <w:rFonts w:ascii="Times New Roman" w:hAnsi="Times New Roman" w:cs="Times New Roman"/>
                <w:b/>
                <w:sz w:val="20"/>
                <w:szCs w:val="20"/>
              </w:rPr>
              <w:t>381 380,5</w:t>
            </w:r>
          </w:p>
        </w:tc>
        <w:tc>
          <w:tcPr>
            <w:tcW w:w="1440" w:type="dxa"/>
            <w:tcBorders>
              <w:top w:val="single" w:sz="4" w:space="0" w:color="auto"/>
              <w:left w:val="single" w:sz="4" w:space="0" w:color="auto"/>
              <w:bottom w:val="double" w:sz="6" w:space="0" w:color="auto"/>
              <w:right w:val="single" w:sz="4" w:space="0" w:color="auto"/>
              <w:tl2br w:val="nil"/>
              <w:tr2bl w:val="nil"/>
            </w:tcBorders>
            <w:noWrap/>
            <w:textDirection w:val="lrTb"/>
            <w:vAlign w:val="bottom"/>
          </w:tcPr>
          <w:p w:rsidR="00CE270A" w:rsidRPr="004437B4" w:rsidP="00CE270A">
            <w:pPr>
              <w:jc w:val="right"/>
              <w:rPr>
                <w:rFonts w:ascii="Times New Roman" w:hAnsi="Times New Roman" w:cs="Times New Roman"/>
                <w:b/>
                <w:sz w:val="20"/>
                <w:szCs w:val="20"/>
              </w:rPr>
            </w:pPr>
            <w:r w:rsidRPr="004437B4">
              <w:rPr>
                <w:rFonts w:ascii="Times New Roman" w:hAnsi="Times New Roman" w:cs="Times New Roman"/>
                <w:b/>
                <w:sz w:val="20"/>
                <w:szCs w:val="20"/>
              </w:rPr>
              <w:t>110 060,6</w:t>
            </w:r>
          </w:p>
        </w:tc>
        <w:tc>
          <w:tcPr>
            <w:tcW w:w="1265" w:type="dxa"/>
            <w:tcBorders>
              <w:top w:val="single" w:sz="4" w:space="0" w:color="auto"/>
              <w:left w:val="single" w:sz="4" w:space="0" w:color="auto"/>
              <w:bottom w:val="double" w:sz="6" w:space="0" w:color="auto"/>
              <w:right w:val="single" w:sz="8" w:space="0" w:color="auto"/>
              <w:tl2br w:val="nil"/>
              <w:tr2bl w:val="nil"/>
            </w:tcBorders>
            <w:noWrap/>
            <w:textDirection w:val="lrTb"/>
            <w:vAlign w:val="bottom"/>
          </w:tcPr>
          <w:p w:rsidR="00CE270A" w:rsidRPr="004437B4" w:rsidP="00CE270A">
            <w:pPr>
              <w:jc w:val="right"/>
              <w:rPr>
                <w:rFonts w:ascii="Times New Roman" w:hAnsi="Times New Roman" w:cs="Times New Roman"/>
                <w:b/>
                <w:sz w:val="20"/>
                <w:szCs w:val="20"/>
              </w:rPr>
            </w:pPr>
            <w:r w:rsidRPr="004437B4">
              <w:rPr>
                <w:rFonts w:ascii="Times New Roman" w:hAnsi="Times New Roman" w:cs="Times New Roman"/>
                <w:b/>
                <w:sz w:val="20"/>
                <w:szCs w:val="20"/>
              </w:rPr>
              <w:t>28,9</w:t>
            </w:r>
          </w:p>
        </w:tc>
      </w:tr>
    </w:tbl>
    <w:p w:rsidR="00CE270A" w:rsidRPr="00D16C41" w:rsidP="00CE270A">
      <w:pPr>
        <w:jc w:val="both"/>
        <w:rPr>
          <w:rFonts w:ascii="Times New Roman" w:hAnsi="Times New Roman" w:cs="Times New Roman"/>
          <w:sz w:val="20"/>
          <w:szCs w:val="20"/>
        </w:rPr>
      </w:pPr>
      <w:r>
        <w:rPr>
          <w:rFonts w:ascii="Times New Roman" w:hAnsi="Times New Roman" w:cs="Times New Roman"/>
          <w:sz w:val="20"/>
          <w:szCs w:val="20"/>
        </w:rPr>
        <w:t>Zdroj: Colné riaditeľstvo SR</w:t>
      </w:r>
    </w:p>
    <w:p w:rsidR="00CE270A" w:rsidP="00CE270A">
      <w:pPr>
        <w:jc w:val="both"/>
        <w:rPr>
          <w:rFonts w:ascii="Times New Roman" w:hAnsi="Times New Roman" w:cs="Times New Roman"/>
        </w:rPr>
      </w:pPr>
    </w:p>
    <w:p w:rsidR="00CE270A" w:rsidP="00CE270A">
      <w:pPr>
        <w:spacing w:line="360" w:lineRule="auto"/>
        <w:ind w:firstLine="709"/>
        <w:jc w:val="both"/>
        <w:rPr>
          <w:rFonts w:ascii="Times New Roman" w:hAnsi="Times New Roman" w:cs="Times New Roman"/>
        </w:rPr>
      </w:pPr>
      <w:r>
        <w:rPr>
          <w:rFonts w:ascii="Times New Roman" w:hAnsi="Times New Roman" w:cs="Times New Roman"/>
        </w:rPr>
        <w:t>Z tabuľky vyplýva, že z celkovej vymáhanej sumy 381 380,5 mil. Sk bolo na základe 1 842 rozhodnutí vymožených 110 060,6 mil. Sk, čo predstavuje úspešnosť vymáhania na 28,9 %. V medziročnom porovnaní, keď sa v roku 2005 z vymáhaných prostriedkov 198 363,8 mil. Sk vymohlo na základe 946 rozhodnutí spolu 104 616,3 mil. Sk, t.j. 52,7 % došlo k výraznému zníženiu úspešnosti vymáhania pohľadávok.</w:t>
      </w:r>
    </w:p>
    <w:p w:rsidR="00CE270A" w:rsidRPr="003A36BA" w:rsidP="00CE270A">
      <w:pPr>
        <w:spacing w:line="360" w:lineRule="auto"/>
        <w:jc w:val="both"/>
        <w:rPr>
          <w:rFonts w:ascii="Times New Roman" w:hAnsi="Times New Roman" w:cs="Times New Roman"/>
        </w:rPr>
      </w:pPr>
      <w:r>
        <w:rPr>
          <w:rFonts w:ascii="Times New Roman" w:hAnsi="Times New Roman" w:cs="Times New Roman"/>
        </w:rPr>
        <w:tab/>
        <w:t xml:space="preserve">Pri </w:t>
      </w:r>
      <w:r w:rsidRPr="003A36BA">
        <w:rPr>
          <w:rFonts w:ascii="Times New Roman" w:hAnsi="Times New Roman" w:cs="Times New Roman"/>
        </w:rPr>
        <w:t>vymáhan</w:t>
      </w:r>
      <w:r>
        <w:rPr>
          <w:rFonts w:ascii="Times New Roman" w:hAnsi="Times New Roman" w:cs="Times New Roman"/>
        </w:rPr>
        <w:t>í</w:t>
      </w:r>
      <w:r w:rsidRPr="003A36BA">
        <w:rPr>
          <w:rFonts w:ascii="Times New Roman" w:hAnsi="Times New Roman" w:cs="Times New Roman"/>
        </w:rPr>
        <w:t xml:space="preserve">  pohľadávok  po lehote  splatnosti </w:t>
      </w:r>
      <w:r>
        <w:rPr>
          <w:rFonts w:ascii="Times New Roman" w:hAnsi="Times New Roman" w:cs="Times New Roman"/>
        </w:rPr>
        <w:t xml:space="preserve">vykonali </w:t>
      </w:r>
      <w:r w:rsidRPr="003A36BA">
        <w:rPr>
          <w:rFonts w:ascii="Times New Roman" w:hAnsi="Times New Roman" w:cs="Times New Roman"/>
        </w:rPr>
        <w:t>coln</w:t>
      </w:r>
      <w:r>
        <w:rPr>
          <w:rFonts w:ascii="Times New Roman" w:hAnsi="Times New Roman" w:cs="Times New Roman"/>
        </w:rPr>
        <w:t>é</w:t>
      </w:r>
      <w:r w:rsidRPr="003A36BA">
        <w:rPr>
          <w:rFonts w:ascii="Times New Roman" w:hAnsi="Times New Roman" w:cs="Times New Roman"/>
        </w:rPr>
        <w:t xml:space="preserve"> úrad</w:t>
      </w:r>
      <w:r>
        <w:rPr>
          <w:rFonts w:ascii="Times New Roman" w:hAnsi="Times New Roman" w:cs="Times New Roman"/>
        </w:rPr>
        <w:t xml:space="preserve">y tiež </w:t>
      </w:r>
      <w:r w:rsidRPr="003A36BA">
        <w:rPr>
          <w:rFonts w:ascii="Times New Roman" w:hAnsi="Times New Roman" w:cs="Times New Roman"/>
        </w:rPr>
        <w:t>3  dražby,  pričom  z   celkovej  dlžnej   sumy  613</w:t>
      </w:r>
      <w:r>
        <w:rPr>
          <w:rFonts w:ascii="Times New Roman" w:hAnsi="Times New Roman" w:cs="Times New Roman"/>
        </w:rPr>
        <w:t>,0</w:t>
      </w:r>
      <w:r w:rsidRPr="003A36BA">
        <w:rPr>
          <w:rFonts w:ascii="Times New Roman" w:hAnsi="Times New Roman" w:cs="Times New Roman"/>
        </w:rPr>
        <w:t xml:space="preserve"> tis. Sk bolo vymožených celkom 36</w:t>
      </w:r>
      <w:r>
        <w:rPr>
          <w:rFonts w:ascii="Times New Roman" w:hAnsi="Times New Roman" w:cs="Times New Roman"/>
        </w:rPr>
        <w:t>,0</w:t>
      </w:r>
      <w:r w:rsidRPr="003A36BA">
        <w:rPr>
          <w:rFonts w:ascii="Times New Roman" w:hAnsi="Times New Roman" w:cs="Times New Roman"/>
        </w:rPr>
        <w:t xml:space="preserve"> tis. Sk,</w:t>
      </w:r>
      <w:r>
        <w:rPr>
          <w:rFonts w:ascii="Times New Roman" w:hAnsi="Times New Roman" w:cs="Times New Roman"/>
        </w:rPr>
        <w:t xml:space="preserve"> t.j. </w:t>
      </w:r>
      <w:r w:rsidRPr="003A36BA">
        <w:rPr>
          <w:rFonts w:ascii="Times New Roman" w:hAnsi="Times New Roman" w:cs="Times New Roman"/>
        </w:rPr>
        <w:t>5,</w:t>
      </w:r>
      <w:r>
        <w:rPr>
          <w:rFonts w:ascii="Times New Roman" w:hAnsi="Times New Roman" w:cs="Times New Roman"/>
        </w:rPr>
        <w:t>9</w:t>
      </w:r>
      <w:r w:rsidRPr="003A36BA">
        <w:rPr>
          <w:rFonts w:ascii="Times New Roman" w:hAnsi="Times New Roman" w:cs="Times New Roman"/>
        </w:rPr>
        <w:t xml:space="preserve"> %. T</w:t>
      </w:r>
      <w:r>
        <w:rPr>
          <w:rFonts w:ascii="Times New Roman" w:hAnsi="Times New Roman" w:cs="Times New Roman"/>
        </w:rPr>
        <w:t>á</w:t>
      </w:r>
      <w:r w:rsidRPr="003A36BA">
        <w:rPr>
          <w:rFonts w:ascii="Times New Roman" w:hAnsi="Times New Roman" w:cs="Times New Roman"/>
        </w:rPr>
        <w:t xml:space="preserve">to formu vymáhania nedoplatkov </w:t>
      </w:r>
      <w:r>
        <w:rPr>
          <w:rFonts w:ascii="Times New Roman" w:hAnsi="Times New Roman" w:cs="Times New Roman"/>
        </w:rPr>
        <w:t xml:space="preserve">sa teda javí </w:t>
      </w:r>
      <w:r w:rsidRPr="003A36BA">
        <w:rPr>
          <w:rFonts w:ascii="Times New Roman" w:hAnsi="Times New Roman" w:cs="Times New Roman"/>
        </w:rPr>
        <w:t>ako málo efektívn</w:t>
      </w:r>
      <w:r>
        <w:rPr>
          <w:rFonts w:ascii="Times New Roman" w:hAnsi="Times New Roman" w:cs="Times New Roman"/>
        </w:rPr>
        <w:t>a</w:t>
      </w:r>
      <w:r w:rsidRPr="003A36BA">
        <w:rPr>
          <w:rFonts w:ascii="Times New Roman" w:hAnsi="Times New Roman" w:cs="Times New Roman"/>
        </w:rPr>
        <w:t>.</w:t>
      </w:r>
    </w:p>
    <w:p w:rsidR="00CE270A" w:rsidRPr="00500408" w:rsidP="00CE270A">
      <w:pPr>
        <w:pStyle w:val="Heading8"/>
        <w:spacing w:line="360" w:lineRule="auto"/>
        <w:rPr>
          <w:rFonts w:ascii="Times New Roman" w:hAnsi="Times New Roman" w:cs="Times New Roman"/>
          <w:b w:val="0"/>
        </w:rPr>
      </w:pPr>
      <w:r>
        <w:rPr>
          <w:rFonts w:cs="Times New Roman"/>
          <w:b w:val="0"/>
          <w:i/>
          <w:sz w:val="22"/>
        </w:rPr>
        <w:t xml:space="preserve">            </w:t>
      </w:r>
      <w:r w:rsidRPr="003A36BA">
        <w:rPr>
          <w:rFonts w:cs="Times New Roman"/>
        </w:rPr>
        <w:t xml:space="preserve"> </w:t>
      </w:r>
      <w:r w:rsidRPr="00500408">
        <w:rPr>
          <w:rFonts w:ascii="Times New Roman" w:hAnsi="Times New Roman" w:cs="Times New Roman"/>
          <w:b w:val="0"/>
        </w:rPr>
        <w:t>Colné úrady vymáhajú nedoplatky aj  prihlasovaním pohľadávok voči dlžníkom v konkurznom konaní a v likvidácii. V roku  2006  boli   prihlásené  pohľadávky do konkurzu v celkovej výške  20,0 mil. Sk a  voči  dlžníkom v likvidácii vo výške 1,2 mil. Sk. Vzhľadom na to, že pohľadávky v konkurze sa vysporadúvajú v pomernej čiastke, teda nie sú uhradené v plnej výške, podľa evidencie, ktorú colná správa vedie od roku 2002, kde sa konkurzy do roku 2006 skončili, z vykázaných pohľadávok vo výške 596,1 mil. Sk sa touto formou vymohlo 134,5 mil. Sk, takže úspešnosť vymoženia bola  22,6 %. Ani vymoženosť pohľadávok dlžníkov v likvidácii nedosahuje 100 %, pretože firmy, ktoré vstúpili do likvidácie skončia zväčša v konkurze, resp. konkurz je zamietnutý pre nedostatok majetku.</w:t>
      </w:r>
    </w:p>
    <w:p w:rsidR="00CE270A" w:rsidP="00CE270A">
      <w:pPr>
        <w:jc w:val="both"/>
        <w:rPr>
          <w:rFonts w:ascii="Arial Narrow" w:hAnsi="Arial Narrow" w:cs="Times New Roman"/>
          <w:b/>
        </w:rPr>
      </w:pPr>
    </w:p>
    <w:p w:rsidR="00CE270A" w:rsidRPr="00A51204" w:rsidP="00CE270A">
      <w:pPr>
        <w:jc w:val="center"/>
        <w:rPr>
          <w:rFonts w:ascii="Times New Roman" w:hAnsi="Times New Roman" w:cs="Times New Roman"/>
        </w:rPr>
      </w:pPr>
      <w:r w:rsidR="00644DA1">
        <w:rPr>
          <w:rFonts w:ascii="Times New Roman" w:hAnsi="Times New Roman" w:cs="Times New Roman"/>
          <w:b/>
        </w:rPr>
        <w:t>6</w:t>
      </w:r>
      <w:r>
        <w:rPr>
          <w:rFonts w:ascii="Times New Roman" w:hAnsi="Times New Roman" w:cs="Times New Roman"/>
          <w:b/>
        </w:rPr>
        <w:t xml:space="preserve">.2.2. </w:t>
      </w:r>
      <w:r w:rsidRPr="00A51204">
        <w:rPr>
          <w:rFonts w:ascii="Times New Roman" w:hAnsi="Times New Roman" w:cs="Times New Roman"/>
          <w:b/>
        </w:rPr>
        <w:t>Vymáhanie zahraničných pohľadávok</w:t>
      </w:r>
    </w:p>
    <w:p w:rsidR="00CE270A" w:rsidRPr="00A51204" w:rsidP="00CE270A">
      <w:pPr>
        <w:rPr>
          <w:rFonts w:ascii="Times New Roman" w:hAnsi="Times New Roman" w:cs="Times New Roman"/>
          <w:b/>
        </w:rPr>
      </w:pPr>
    </w:p>
    <w:p w:rsidR="00CE270A" w:rsidRPr="00A51204" w:rsidP="00CE270A">
      <w:pPr>
        <w:spacing w:line="360" w:lineRule="auto"/>
        <w:ind w:firstLine="567"/>
        <w:jc w:val="both"/>
        <w:rPr>
          <w:rFonts w:ascii="Times New Roman" w:hAnsi="Times New Roman" w:cs="Times New Roman"/>
        </w:rPr>
      </w:pPr>
      <w:r w:rsidRPr="00A51204">
        <w:rPr>
          <w:rFonts w:ascii="Times New Roman" w:hAnsi="Times New Roman" w:cs="Times New Roman"/>
        </w:rPr>
        <w:t xml:space="preserve">Od 1.1.2005 nadobudol účinnosť </w:t>
      </w:r>
      <w:r w:rsidRPr="00A51204">
        <w:rPr>
          <w:rFonts w:ascii="Times New Roman" w:hAnsi="Times New Roman" w:cs="Times New Roman"/>
          <w:color w:val="000000"/>
        </w:rPr>
        <w:t>z</w:t>
      </w:r>
      <w:r w:rsidRPr="00A51204">
        <w:rPr>
          <w:rFonts w:ascii="Times New Roman" w:hAnsi="Times New Roman" w:cs="Times New Roman"/>
        </w:rPr>
        <w:t xml:space="preserve">ákon č. 679/2004  Z. z., ktorým  bol novelizovaný zákon č. 446/2002 Z. z. o vzájomnej pomoci pri vymáhaní niektorých finančných pohľadávok. V zmysle uvedeného zákona s účinnosťou od 15.2.2005 delegovalo Ministerstvo financií SR svoju právomoc v oblasti vzájomnej pomoci pri vymáhaní niektorých finančných pohľadávok na </w:t>
      </w:r>
      <w:r>
        <w:rPr>
          <w:rFonts w:ascii="Times New Roman" w:hAnsi="Times New Roman" w:cs="Times New Roman"/>
        </w:rPr>
        <w:t>D</w:t>
      </w:r>
      <w:r w:rsidRPr="00A51204">
        <w:rPr>
          <w:rFonts w:ascii="Times New Roman" w:hAnsi="Times New Roman" w:cs="Times New Roman"/>
        </w:rPr>
        <w:t>aňové a colné  riaditeľstvo</w:t>
      </w:r>
      <w:r>
        <w:rPr>
          <w:rFonts w:ascii="Times New Roman" w:hAnsi="Times New Roman" w:cs="Times New Roman"/>
        </w:rPr>
        <w:t xml:space="preserve"> SR</w:t>
      </w:r>
      <w:r w:rsidRPr="00A51204">
        <w:rPr>
          <w:rFonts w:ascii="Times New Roman" w:hAnsi="Times New Roman" w:cs="Times New Roman"/>
        </w:rPr>
        <w:t>. P</w:t>
      </w:r>
      <w:r w:rsidRPr="00A51204">
        <w:rPr>
          <w:rFonts w:ascii="Times New Roman" w:hAnsi="Times New Roman" w:cs="Times New Roman"/>
          <w:color w:val="000000"/>
        </w:rPr>
        <w:t xml:space="preserve">omocou pri vymáhaní pohľadávky sa na účely tohto zákona rozumie poskytovanie, požadovanie alebo prijímanie informácií potrebných na vymáhanie pohľadávky alebo zabezpečovanie vymáhania pohľadávky. </w:t>
      </w:r>
    </w:p>
    <w:p w:rsidR="00CE270A" w:rsidRPr="00A51204" w:rsidP="00CE270A">
      <w:pPr>
        <w:spacing w:line="360" w:lineRule="auto"/>
        <w:ind w:firstLine="567"/>
        <w:jc w:val="both"/>
        <w:rPr>
          <w:rFonts w:ascii="Times New Roman" w:hAnsi="Times New Roman" w:cs="Times New Roman"/>
        </w:rPr>
      </w:pPr>
      <w:r w:rsidRPr="00A51204">
        <w:rPr>
          <w:rFonts w:ascii="Times New Roman" w:hAnsi="Times New Roman" w:cs="Times New Roman"/>
        </w:rPr>
        <w:t>Presná špecifikácia žiadostí o poskytnutie pomoci pri vymáhaní pohľadávok je  uvedená v </w:t>
      </w:r>
      <w:r>
        <w:rPr>
          <w:rFonts w:ascii="Times New Roman" w:hAnsi="Times New Roman" w:cs="Times New Roman"/>
        </w:rPr>
        <w:t>nasledovných</w:t>
      </w:r>
      <w:r w:rsidRPr="00A51204">
        <w:rPr>
          <w:rFonts w:ascii="Times New Roman" w:hAnsi="Times New Roman" w:cs="Times New Roman"/>
        </w:rPr>
        <w:t xml:space="preserve"> tabuľkách</w:t>
      </w:r>
      <w:r>
        <w:rPr>
          <w:rFonts w:ascii="Times New Roman" w:hAnsi="Times New Roman" w:cs="Times New Roman"/>
        </w:rPr>
        <w:t>:</w:t>
      </w:r>
    </w:p>
    <w:p w:rsidR="00CE270A" w:rsidP="00CE270A">
      <w:pPr>
        <w:rPr>
          <w:rFonts w:ascii="Times New Roman" w:hAnsi="Times New Roman" w:cs="Times New Roman"/>
        </w:rPr>
      </w:pPr>
    </w:p>
    <w:tbl>
      <w:tblPr>
        <w:tblW w:w="0" w:type="auto"/>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70" w:type="dxa"/>
          <w:bottom w:w="0" w:type="dxa"/>
          <w:right w:w="70" w:type="dxa"/>
        </w:tblCellMar>
      </w:tblPr>
      <w:tblGrid>
        <w:gridCol w:w="2835"/>
        <w:gridCol w:w="2552"/>
        <w:gridCol w:w="2552"/>
      </w:tblGrid>
      <w:tr>
        <w:tblPrEx>
          <w:tblW w:w="0" w:type="auto"/>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70" w:type="dxa"/>
            <w:bottom w:w="0" w:type="dxa"/>
            <w:right w:w="70" w:type="dxa"/>
          </w:tblCellMar>
        </w:tblPrEx>
        <w:trPr>
          <w:trHeight w:val="454"/>
          <w:jc w:val="center"/>
        </w:trPr>
        <w:tc>
          <w:tcPr>
            <w:tcW w:w="283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E270A" w:rsidRPr="004755CB" w:rsidP="00CE270A">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Počet žiadostí o vymáhanie</w:t>
            </w:r>
          </w:p>
          <w:p w:rsidR="00CE270A" w:rsidRPr="004755CB" w:rsidP="00CE270A">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/prijaté z</w:t>
            </w:r>
            <w:r w:rsidRPr="004755CB" w:rsidR="00B652E3">
              <w:rPr>
                <w:rFonts w:ascii="Times New Roman" w:hAnsi="Times New Roman" w:cs="Times New Roman"/>
                <w:b/>
                <w:sz w:val="20"/>
                <w:szCs w:val="20"/>
              </w:rPr>
              <w:t> </w:t>
            </w:r>
            <w:r w:rsidRPr="004755CB">
              <w:rPr>
                <w:rFonts w:ascii="Times New Roman" w:hAnsi="Times New Roman" w:cs="Times New Roman"/>
                <w:b/>
                <w:sz w:val="20"/>
                <w:szCs w:val="20"/>
              </w:rPr>
              <w:t>EÚ/</w:t>
            </w:r>
          </w:p>
        </w:tc>
        <w:tc>
          <w:tcPr>
            <w:tcW w:w="2552"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E270A" w:rsidRPr="004755CB" w:rsidP="00CE270A">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 xml:space="preserve">Celková výška pohľadávok </w:t>
            </w:r>
          </w:p>
          <w:p w:rsidR="00CE270A" w:rsidRPr="004755CB" w:rsidP="00CE270A">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(v Sk)</w:t>
            </w:r>
          </w:p>
        </w:tc>
        <w:tc>
          <w:tcPr>
            <w:tcW w:w="2552"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E270A" w:rsidRPr="004755CB" w:rsidP="00CE270A">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Výška vymožených pohľadávok</w:t>
            </w:r>
          </w:p>
          <w:p w:rsidR="00CE270A" w:rsidRPr="004755CB" w:rsidP="00CE270A">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(v Sk)</w:t>
            </w:r>
          </w:p>
        </w:tc>
      </w:tr>
      <w:tr>
        <w:tblPrEx>
          <w:tblW w:w="0" w:type="auto"/>
          <w:jc w:val="center"/>
          <w:tblInd w:w="70" w:type="dxa"/>
          <w:tblLayout w:type="fixed"/>
          <w:tblCellMar>
            <w:top w:w="0" w:type="dxa"/>
            <w:left w:w="70" w:type="dxa"/>
            <w:bottom w:w="0" w:type="dxa"/>
            <w:right w:w="70" w:type="dxa"/>
          </w:tblCellMar>
        </w:tblPrEx>
        <w:trPr>
          <w:trHeight w:val="340"/>
          <w:jc w:val="center"/>
        </w:trPr>
        <w:tc>
          <w:tcPr>
            <w:tcW w:w="283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E270A" w:rsidRPr="004755CB" w:rsidP="00CE270A">
            <w:pPr>
              <w:pStyle w:val="Header"/>
              <w:tabs>
                <w:tab w:val="clear" w:pos="4536"/>
                <w:tab w:val="clear" w:pos="9072"/>
              </w:tabs>
              <w:jc w:val="center"/>
              <w:rPr>
                <w:rFonts w:ascii="Times New Roman" w:hAnsi="Times New Roman" w:cs="Times New Roman"/>
                <w:sz w:val="20"/>
                <w:szCs w:val="20"/>
              </w:rPr>
            </w:pPr>
            <w:r w:rsidRPr="004755CB">
              <w:rPr>
                <w:rFonts w:ascii="Times New Roman" w:hAnsi="Times New Roman" w:cs="Times New Roman"/>
                <w:sz w:val="20"/>
                <w:szCs w:val="20"/>
              </w:rPr>
              <w:t>28</w:t>
            </w:r>
          </w:p>
        </w:tc>
        <w:tc>
          <w:tcPr>
            <w:tcW w:w="2552"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E270A" w:rsidRPr="004755CB" w:rsidP="00CE270A">
            <w:pPr>
              <w:pStyle w:val="Header"/>
              <w:tabs>
                <w:tab w:val="clear" w:pos="4536"/>
                <w:tab w:val="clear" w:pos="9072"/>
              </w:tabs>
              <w:jc w:val="center"/>
              <w:rPr>
                <w:rFonts w:ascii="Times New Roman" w:hAnsi="Times New Roman" w:cs="Times New Roman"/>
                <w:sz w:val="20"/>
                <w:szCs w:val="20"/>
              </w:rPr>
            </w:pPr>
            <w:r w:rsidRPr="004755CB">
              <w:rPr>
                <w:rFonts w:ascii="Times New Roman" w:hAnsi="Times New Roman" w:cs="Times New Roman"/>
                <w:sz w:val="20"/>
                <w:szCs w:val="20"/>
              </w:rPr>
              <w:t>94 776 379,14</w:t>
            </w:r>
          </w:p>
        </w:tc>
        <w:tc>
          <w:tcPr>
            <w:tcW w:w="2552"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E270A" w:rsidRPr="004755CB" w:rsidP="00CE270A">
            <w:pPr>
              <w:pStyle w:val="Header"/>
              <w:tabs>
                <w:tab w:val="clear" w:pos="4536"/>
                <w:tab w:val="clear" w:pos="9072"/>
              </w:tabs>
              <w:jc w:val="center"/>
              <w:rPr>
                <w:rFonts w:ascii="Times New Roman" w:hAnsi="Times New Roman" w:cs="Times New Roman"/>
                <w:sz w:val="20"/>
                <w:szCs w:val="20"/>
              </w:rPr>
            </w:pPr>
            <w:r w:rsidRPr="004755CB">
              <w:rPr>
                <w:rFonts w:ascii="Times New Roman" w:hAnsi="Times New Roman" w:cs="Times New Roman"/>
                <w:sz w:val="20"/>
                <w:szCs w:val="20"/>
              </w:rPr>
              <w:t>57 051,58</w:t>
            </w:r>
          </w:p>
        </w:tc>
      </w:tr>
    </w:tbl>
    <w:p w:rsidR="00CE270A" w:rsidRPr="009A28F0" w:rsidP="00CE270A">
      <w:pPr>
        <w:spacing w:before="120" w:after="120"/>
        <w:rPr>
          <w:rFonts w:ascii="Times New Roman" w:hAnsi="Times New Roman" w:cs="Times New Roman"/>
          <w:sz w:val="20"/>
          <w:szCs w:val="20"/>
        </w:rPr>
      </w:pPr>
      <w:r>
        <w:rPr>
          <w:rFonts w:ascii="Times New Roman" w:hAnsi="Times New Roman" w:cs="Times New Roman"/>
          <w:sz w:val="20"/>
          <w:szCs w:val="20"/>
        </w:rPr>
        <w:t xml:space="preserve">           </w:t>
      </w:r>
      <w:r w:rsidRPr="009A28F0">
        <w:rPr>
          <w:rFonts w:ascii="Times New Roman" w:hAnsi="Times New Roman" w:cs="Times New Roman"/>
          <w:sz w:val="20"/>
          <w:szCs w:val="20"/>
        </w:rPr>
        <w:t xml:space="preserve">Zdroj: </w:t>
      </w:r>
      <w:r>
        <w:rPr>
          <w:rFonts w:ascii="Times New Roman" w:hAnsi="Times New Roman" w:cs="Times New Roman"/>
          <w:sz w:val="20"/>
          <w:szCs w:val="20"/>
        </w:rPr>
        <w:t>C</w:t>
      </w:r>
      <w:r w:rsidRPr="009A28F0">
        <w:rPr>
          <w:rFonts w:ascii="Times New Roman" w:hAnsi="Times New Roman" w:cs="Times New Roman"/>
          <w:sz w:val="20"/>
          <w:szCs w:val="20"/>
        </w:rPr>
        <w:t>o</w:t>
      </w:r>
      <w:r>
        <w:rPr>
          <w:rFonts w:ascii="Times New Roman" w:hAnsi="Times New Roman" w:cs="Times New Roman"/>
          <w:sz w:val="20"/>
          <w:szCs w:val="20"/>
        </w:rPr>
        <w:t>ln</w:t>
      </w:r>
      <w:r w:rsidRPr="009A28F0">
        <w:rPr>
          <w:rFonts w:ascii="Times New Roman" w:hAnsi="Times New Roman" w:cs="Times New Roman"/>
          <w:sz w:val="20"/>
          <w:szCs w:val="20"/>
        </w:rPr>
        <w:t>é riaditeľstvo SR</w:t>
      </w:r>
    </w:p>
    <w:p w:rsidR="00CE270A" w:rsidP="00CE270A">
      <w:pPr>
        <w:ind w:firstLine="567"/>
        <w:jc w:val="both"/>
        <w:rPr>
          <w:rFonts w:ascii="Arial Narrow" w:hAnsi="Arial Narrow" w:cs="Times New Roman"/>
          <w:sz w:val="22"/>
        </w:rPr>
      </w:pPr>
    </w:p>
    <w:p w:rsidR="00CE270A" w:rsidP="00CE270A">
      <w:pPr>
        <w:spacing w:line="360" w:lineRule="auto"/>
        <w:ind w:firstLine="567"/>
        <w:jc w:val="both"/>
        <w:rPr>
          <w:rFonts w:ascii="Times New Roman" w:hAnsi="Times New Roman" w:cs="Times New Roman"/>
        </w:rPr>
      </w:pPr>
      <w:r w:rsidRPr="00002AFB">
        <w:rPr>
          <w:rFonts w:ascii="Times New Roman" w:hAnsi="Times New Roman" w:cs="Times New Roman"/>
        </w:rPr>
        <w:t>Okrem sumy 57 051,58 Sk</w:t>
      </w:r>
      <w:r>
        <w:rPr>
          <w:rFonts w:ascii="Times New Roman" w:hAnsi="Times New Roman" w:cs="Times New Roman"/>
        </w:rPr>
        <w:t xml:space="preserve"> </w:t>
      </w:r>
      <w:r w:rsidRPr="00002AFB">
        <w:rPr>
          <w:rFonts w:ascii="Times New Roman" w:hAnsi="Times New Roman" w:cs="Times New Roman"/>
        </w:rPr>
        <w:t>vymohla colná</w:t>
      </w:r>
      <w:r>
        <w:rPr>
          <w:rFonts w:ascii="Times New Roman" w:hAnsi="Times New Roman" w:cs="Times New Roman"/>
        </w:rPr>
        <w:t xml:space="preserve"> </w:t>
      </w:r>
      <w:r w:rsidRPr="00002AFB">
        <w:rPr>
          <w:rFonts w:ascii="Times New Roman" w:hAnsi="Times New Roman" w:cs="Times New Roman"/>
        </w:rPr>
        <w:t>správa</w:t>
      </w:r>
      <w:r>
        <w:rPr>
          <w:rFonts w:ascii="Times New Roman" w:hAnsi="Times New Roman" w:cs="Times New Roman"/>
        </w:rPr>
        <w:t xml:space="preserve"> </w:t>
      </w:r>
      <w:r w:rsidRPr="00002AFB">
        <w:rPr>
          <w:rFonts w:ascii="Times New Roman" w:hAnsi="Times New Roman" w:cs="Times New Roman"/>
        </w:rPr>
        <w:t>v roku 2006</w:t>
      </w:r>
      <w:r>
        <w:rPr>
          <w:rFonts w:ascii="Times New Roman" w:hAnsi="Times New Roman" w:cs="Times New Roman"/>
        </w:rPr>
        <w:t xml:space="preserve"> </w:t>
      </w:r>
      <w:r w:rsidRPr="00002AFB">
        <w:rPr>
          <w:rFonts w:ascii="Times New Roman" w:hAnsi="Times New Roman" w:cs="Times New Roman"/>
        </w:rPr>
        <w:t>aj pohľadávky vo výške 1 012 297,29 Sk</w:t>
      </w:r>
      <w:r>
        <w:rPr>
          <w:rFonts w:ascii="Times New Roman" w:hAnsi="Times New Roman" w:cs="Times New Roman"/>
        </w:rPr>
        <w:t xml:space="preserve"> na základe </w:t>
      </w:r>
      <w:r w:rsidRPr="00002AFB">
        <w:rPr>
          <w:rFonts w:ascii="Times New Roman" w:hAnsi="Times New Roman" w:cs="Times New Roman"/>
        </w:rPr>
        <w:t>žiadost</w:t>
      </w:r>
      <w:r>
        <w:rPr>
          <w:rFonts w:ascii="Times New Roman" w:hAnsi="Times New Roman" w:cs="Times New Roman"/>
        </w:rPr>
        <w:t xml:space="preserve">í </w:t>
      </w:r>
      <w:r w:rsidRPr="00002AFB">
        <w:rPr>
          <w:rFonts w:ascii="Times New Roman" w:hAnsi="Times New Roman" w:cs="Times New Roman"/>
        </w:rPr>
        <w:t>o vymáhanie, ktoré C</w:t>
      </w:r>
      <w:r>
        <w:rPr>
          <w:rFonts w:ascii="Times New Roman" w:hAnsi="Times New Roman" w:cs="Times New Roman"/>
        </w:rPr>
        <w:t xml:space="preserve">olné riaditeľstvo </w:t>
      </w:r>
      <w:r w:rsidRPr="00002AFB">
        <w:rPr>
          <w:rFonts w:ascii="Times New Roman" w:hAnsi="Times New Roman" w:cs="Times New Roman"/>
        </w:rPr>
        <w:t>SR</w:t>
      </w:r>
      <w:r>
        <w:rPr>
          <w:rFonts w:ascii="Times New Roman" w:hAnsi="Times New Roman" w:cs="Times New Roman"/>
        </w:rPr>
        <w:t xml:space="preserve"> </w:t>
      </w:r>
      <w:r w:rsidRPr="00002AFB">
        <w:rPr>
          <w:rFonts w:ascii="Times New Roman" w:hAnsi="Times New Roman" w:cs="Times New Roman"/>
        </w:rPr>
        <w:t xml:space="preserve">obdržalo v roku 2005. Vymožené finančné prostriedky </w:t>
      </w:r>
      <w:r>
        <w:rPr>
          <w:rFonts w:ascii="Times New Roman" w:hAnsi="Times New Roman" w:cs="Times New Roman"/>
        </w:rPr>
        <w:t>b</w:t>
      </w:r>
      <w:r w:rsidRPr="00002AFB">
        <w:rPr>
          <w:rFonts w:ascii="Times New Roman" w:hAnsi="Times New Roman" w:cs="Times New Roman"/>
        </w:rPr>
        <w:t>oli poukázané na účet</w:t>
      </w:r>
      <w:r w:rsidRPr="00A51204">
        <w:rPr>
          <w:rFonts w:ascii="Times New Roman" w:hAnsi="Times New Roman" w:cs="Times New Roman"/>
        </w:rPr>
        <w:t xml:space="preserve"> príslušného zmluvného štátu.</w:t>
      </w:r>
    </w:p>
    <w:p w:rsidR="004755CB" w:rsidRPr="00A51204" w:rsidP="00CE270A">
      <w:pPr>
        <w:spacing w:line="360" w:lineRule="auto"/>
        <w:ind w:firstLine="567"/>
        <w:jc w:val="both"/>
        <w:rPr>
          <w:rFonts w:ascii="Times New Roman" w:hAnsi="Times New Roman" w:cs="Times New Roman"/>
        </w:rPr>
      </w:pPr>
    </w:p>
    <w:tbl>
      <w:tblPr>
        <w:tblpPr w:leftFromText="141" w:rightFromText="141" w:vertAnchor="text" w:horzAnchor="margin" w:tblpXSpec="center" w:tblpY="36"/>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70" w:type="dxa"/>
          <w:bottom w:w="0" w:type="dxa"/>
          <w:right w:w="70" w:type="dxa"/>
        </w:tblCellMar>
      </w:tblPr>
      <w:tblGrid>
        <w:gridCol w:w="2835"/>
        <w:gridCol w:w="2552"/>
        <w:gridCol w:w="2552"/>
      </w:tblGrid>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70" w:type="dxa"/>
            <w:bottom w:w="0" w:type="dxa"/>
            <w:right w:w="70" w:type="dxa"/>
          </w:tblCellMar>
        </w:tblPrEx>
        <w:trPr>
          <w:trHeight w:val="454"/>
        </w:trPr>
        <w:tc>
          <w:tcPr>
            <w:tcW w:w="2835"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500408" w:rsidRPr="004755CB" w:rsidP="00500408">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Počet žiadostí o vymáhanie</w:t>
            </w:r>
          </w:p>
          <w:p w:rsidR="00500408" w:rsidRPr="004755CB" w:rsidP="00500408">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/postúpené do EÚ/</w:t>
            </w:r>
          </w:p>
        </w:tc>
        <w:tc>
          <w:tcPr>
            <w:tcW w:w="2552"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500408" w:rsidRPr="004755CB" w:rsidP="00500408">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Celková výška pohľadávok</w:t>
            </w:r>
          </w:p>
          <w:p w:rsidR="00500408" w:rsidRPr="004755CB" w:rsidP="00500408">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(v Sk)</w:t>
            </w:r>
          </w:p>
        </w:tc>
        <w:tc>
          <w:tcPr>
            <w:tcW w:w="2552"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500408" w:rsidRPr="004755CB" w:rsidP="00500408">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Výška vymožených pohľadávok</w:t>
            </w:r>
          </w:p>
          <w:p w:rsidR="00500408" w:rsidRPr="004755CB" w:rsidP="00500408">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(v Sk)</w:t>
            </w:r>
          </w:p>
        </w:tc>
      </w:tr>
      <w:tr>
        <w:tblPrEx>
          <w:tblW w:w="0" w:type="auto"/>
          <w:tblLayout w:type="fixed"/>
          <w:tblCellMar>
            <w:top w:w="0" w:type="dxa"/>
            <w:left w:w="70" w:type="dxa"/>
            <w:bottom w:w="0" w:type="dxa"/>
            <w:right w:w="70" w:type="dxa"/>
          </w:tblCellMar>
        </w:tblPrEx>
        <w:trPr>
          <w:trHeight w:val="340"/>
        </w:trPr>
        <w:tc>
          <w:tcPr>
            <w:tcW w:w="2835" w:type="dxa"/>
            <w:tcBorders>
              <w:top w:val="single" w:sz="4" w:space="0" w:color="auto"/>
              <w:left w:val="single" w:sz="8" w:space="0" w:color="auto"/>
              <w:bottom w:val="single" w:sz="8" w:space="0" w:color="auto"/>
              <w:right w:val="single" w:sz="4" w:space="0" w:color="auto"/>
              <w:tl2br w:val="nil"/>
              <w:tr2bl w:val="nil"/>
            </w:tcBorders>
            <w:textDirection w:val="lrTb"/>
            <w:vAlign w:val="center"/>
          </w:tcPr>
          <w:p w:rsidR="00500408" w:rsidRPr="004755CB" w:rsidP="00500408">
            <w:pPr>
              <w:pStyle w:val="Header"/>
              <w:tabs>
                <w:tab w:val="clear" w:pos="4536"/>
                <w:tab w:val="clear" w:pos="9072"/>
              </w:tabs>
              <w:jc w:val="center"/>
              <w:rPr>
                <w:rFonts w:ascii="Times New Roman" w:hAnsi="Times New Roman" w:cs="Times New Roman"/>
                <w:sz w:val="20"/>
                <w:szCs w:val="20"/>
              </w:rPr>
            </w:pPr>
            <w:r w:rsidRPr="004755CB">
              <w:rPr>
                <w:rFonts w:ascii="Times New Roman" w:hAnsi="Times New Roman" w:cs="Times New Roman"/>
                <w:sz w:val="20"/>
                <w:szCs w:val="20"/>
              </w:rPr>
              <w:t>21</w:t>
            </w:r>
          </w:p>
        </w:tc>
        <w:tc>
          <w:tcPr>
            <w:tcW w:w="2552" w:type="dxa"/>
            <w:tcBorders>
              <w:top w:val="single" w:sz="4" w:space="0" w:color="auto"/>
              <w:left w:val="single" w:sz="4" w:space="0" w:color="auto"/>
              <w:bottom w:val="single" w:sz="8" w:space="0" w:color="auto"/>
              <w:right w:val="single" w:sz="4" w:space="0" w:color="auto"/>
              <w:tl2br w:val="nil"/>
              <w:tr2bl w:val="nil"/>
            </w:tcBorders>
            <w:textDirection w:val="lrTb"/>
            <w:vAlign w:val="center"/>
          </w:tcPr>
          <w:p w:rsidR="00500408" w:rsidRPr="004755CB" w:rsidP="00500408">
            <w:pPr>
              <w:pStyle w:val="Header"/>
              <w:tabs>
                <w:tab w:val="clear" w:pos="4536"/>
                <w:tab w:val="clear" w:pos="9072"/>
              </w:tabs>
              <w:jc w:val="center"/>
              <w:rPr>
                <w:rFonts w:ascii="Times New Roman" w:hAnsi="Times New Roman" w:cs="Times New Roman"/>
                <w:sz w:val="20"/>
                <w:szCs w:val="20"/>
              </w:rPr>
            </w:pPr>
            <w:r w:rsidRPr="004755CB">
              <w:rPr>
                <w:rFonts w:ascii="Times New Roman" w:hAnsi="Times New Roman" w:cs="Times New Roman"/>
                <w:sz w:val="20"/>
                <w:szCs w:val="20"/>
              </w:rPr>
              <w:t>32 566 276,00</w:t>
            </w:r>
          </w:p>
        </w:tc>
        <w:tc>
          <w:tcPr>
            <w:tcW w:w="2552" w:type="dxa"/>
            <w:tcBorders>
              <w:top w:val="single" w:sz="4" w:space="0" w:color="auto"/>
              <w:left w:val="single" w:sz="4" w:space="0" w:color="auto"/>
              <w:bottom w:val="single" w:sz="8" w:space="0" w:color="auto"/>
              <w:right w:val="single" w:sz="8" w:space="0" w:color="auto"/>
              <w:tl2br w:val="nil"/>
              <w:tr2bl w:val="nil"/>
            </w:tcBorders>
            <w:textDirection w:val="lrTb"/>
            <w:vAlign w:val="center"/>
          </w:tcPr>
          <w:p w:rsidR="00500408" w:rsidRPr="004755CB" w:rsidP="00500408">
            <w:pPr>
              <w:pStyle w:val="Header"/>
              <w:tabs>
                <w:tab w:val="clear" w:pos="4536"/>
                <w:tab w:val="clear" w:pos="9072"/>
              </w:tabs>
              <w:jc w:val="center"/>
              <w:rPr>
                <w:rFonts w:ascii="Times New Roman" w:hAnsi="Times New Roman" w:cs="Times New Roman"/>
                <w:sz w:val="20"/>
                <w:szCs w:val="20"/>
              </w:rPr>
            </w:pPr>
            <w:r w:rsidRPr="004755CB">
              <w:rPr>
                <w:rFonts w:ascii="Times New Roman" w:hAnsi="Times New Roman" w:cs="Times New Roman"/>
                <w:sz w:val="20"/>
                <w:szCs w:val="20"/>
              </w:rPr>
              <w:t>69 815,44</w:t>
            </w:r>
          </w:p>
        </w:tc>
      </w:tr>
    </w:tbl>
    <w:p w:rsidR="00CE270A" w:rsidP="00CE270A">
      <w:pPr>
        <w:rPr>
          <w:rFonts w:ascii="Times New Roman" w:hAnsi="Times New Roman" w:cs="Times New Roman"/>
        </w:rPr>
      </w:pPr>
    </w:p>
    <w:p w:rsidR="00CE270A" w:rsidRPr="00500408" w:rsidP="00500408">
      <w:pPr>
        <w:spacing w:before="120" w:after="120"/>
        <w:ind w:left="540"/>
        <w:rPr>
          <w:rFonts w:ascii="Times New Roman" w:hAnsi="Times New Roman" w:cs="Times New Roman"/>
          <w:sz w:val="20"/>
          <w:szCs w:val="20"/>
        </w:rPr>
      </w:pPr>
      <w:r>
        <w:rPr>
          <w:rFonts w:ascii="Times New Roman" w:hAnsi="Times New Roman" w:cs="Times New Roman"/>
        </w:rPr>
        <w:t xml:space="preserve">           </w:t>
      </w:r>
      <w:r w:rsidR="00500408">
        <w:rPr>
          <w:rFonts w:ascii="Times New Roman" w:hAnsi="Times New Roman" w:cs="Times New Roman"/>
        </w:rPr>
        <w:t xml:space="preserve">    </w:t>
      </w:r>
      <w:r w:rsidR="00B614A3">
        <w:rPr>
          <w:rFonts w:ascii="Times New Roman" w:hAnsi="Times New Roman" w:cs="Times New Roman"/>
        </w:rPr>
        <w:t xml:space="preserve"> </w:t>
      </w:r>
      <w:r w:rsidRPr="00500408">
        <w:rPr>
          <w:rFonts w:ascii="Times New Roman" w:hAnsi="Times New Roman" w:cs="Times New Roman"/>
          <w:sz w:val="20"/>
          <w:szCs w:val="20"/>
        </w:rPr>
        <w:t>Zdroj: Colné riaditeľstvo SR</w:t>
      </w:r>
    </w:p>
    <w:p w:rsidR="00CE270A" w:rsidP="00CE270A">
      <w:pPr>
        <w:rPr>
          <w:rFonts w:ascii="Arial Narrow" w:hAnsi="Arial Narrow" w:cs="Times New Roman"/>
          <w:sz w:val="22"/>
        </w:rPr>
      </w:pPr>
    </w:p>
    <w:tbl>
      <w:tblPr>
        <w:tblW w:w="0" w:type="auto"/>
        <w:jc w:val="center"/>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70" w:type="dxa"/>
          <w:bottom w:w="0" w:type="dxa"/>
          <w:right w:w="70" w:type="dxa"/>
        </w:tblCellMar>
      </w:tblPr>
      <w:tblGrid>
        <w:gridCol w:w="2760"/>
        <w:gridCol w:w="2634"/>
        <w:gridCol w:w="2633"/>
      </w:tblGrid>
      <w:tr>
        <w:tblPrEx>
          <w:tblW w:w="0" w:type="auto"/>
          <w:jc w:val="center"/>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70" w:type="dxa"/>
            <w:bottom w:w="0" w:type="dxa"/>
            <w:right w:w="70" w:type="dxa"/>
          </w:tblCellMar>
        </w:tblPrEx>
        <w:trPr>
          <w:trHeight w:val="432"/>
          <w:jc w:val="center"/>
        </w:trPr>
        <w:tc>
          <w:tcPr>
            <w:tcW w:w="2760"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CE270A" w:rsidRPr="004755CB" w:rsidP="00CE270A">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Počet žiadostí</w:t>
            </w:r>
          </w:p>
          <w:p w:rsidR="00CE270A" w:rsidRPr="004755CB" w:rsidP="00CE270A">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o poskytnutie  informácie</w:t>
            </w:r>
          </w:p>
          <w:p w:rsidR="00CE270A" w:rsidRPr="004755CB" w:rsidP="00CE270A">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/postúpené do EÚ/</w:t>
            </w:r>
          </w:p>
        </w:tc>
        <w:tc>
          <w:tcPr>
            <w:tcW w:w="2634"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CE270A" w:rsidRPr="004755CB" w:rsidP="00CE270A">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Počet žiadostí</w:t>
            </w:r>
          </w:p>
          <w:p w:rsidR="00CE270A" w:rsidRPr="004755CB" w:rsidP="00CE270A">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o poskytnutie   informácie</w:t>
            </w:r>
          </w:p>
          <w:p w:rsidR="00CE270A" w:rsidRPr="004755CB" w:rsidP="00CE270A">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/prijaté z EÚ/</w:t>
            </w:r>
          </w:p>
        </w:tc>
        <w:tc>
          <w:tcPr>
            <w:tcW w:w="2633"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CE270A" w:rsidRPr="004755CB" w:rsidP="00CE270A">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Počet žiadostí</w:t>
            </w:r>
          </w:p>
          <w:p w:rsidR="00CE270A" w:rsidRPr="004755CB" w:rsidP="00CE270A">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o doručenie dokumentácie                       /prijaté z EÚ/</w:t>
            </w:r>
          </w:p>
        </w:tc>
      </w:tr>
      <w:tr>
        <w:tblPrEx>
          <w:tblW w:w="0" w:type="auto"/>
          <w:jc w:val="center"/>
          <w:tblInd w:w="70" w:type="dxa"/>
          <w:tblLayout w:type="fixed"/>
          <w:tblCellMar>
            <w:top w:w="0" w:type="dxa"/>
            <w:left w:w="70" w:type="dxa"/>
            <w:bottom w:w="0" w:type="dxa"/>
            <w:right w:w="70" w:type="dxa"/>
          </w:tblCellMar>
        </w:tblPrEx>
        <w:trPr>
          <w:trHeight w:val="323"/>
          <w:jc w:val="center"/>
        </w:trPr>
        <w:tc>
          <w:tcPr>
            <w:tcW w:w="2760" w:type="dxa"/>
            <w:tcBorders>
              <w:top w:val="single" w:sz="4" w:space="0" w:color="auto"/>
              <w:left w:val="single" w:sz="8" w:space="0" w:color="auto"/>
              <w:bottom w:val="single" w:sz="8" w:space="0" w:color="auto"/>
              <w:right w:val="single" w:sz="4" w:space="0" w:color="auto"/>
              <w:tl2br w:val="nil"/>
              <w:tr2bl w:val="nil"/>
            </w:tcBorders>
            <w:textDirection w:val="lrTb"/>
            <w:vAlign w:val="center"/>
          </w:tcPr>
          <w:p w:rsidR="00CE270A" w:rsidRPr="004755CB" w:rsidP="00CE270A">
            <w:pPr>
              <w:pStyle w:val="Header"/>
              <w:tabs>
                <w:tab w:val="clear" w:pos="4536"/>
                <w:tab w:val="clear" w:pos="9072"/>
              </w:tabs>
              <w:jc w:val="center"/>
              <w:rPr>
                <w:rFonts w:ascii="Times New Roman" w:hAnsi="Times New Roman" w:cs="Times New Roman"/>
                <w:sz w:val="20"/>
                <w:szCs w:val="20"/>
              </w:rPr>
            </w:pPr>
            <w:r w:rsidRPr="004755CB">
              <w:rPr>
                <w:rFonts w:ascii="Times New Roman" w:hAnsi="Times New Roman" w:cs="Times New Roman"/>
                <w:sz w:val="20"/>
                <w:szCs w:val="20"/>
              </w:rPr>
              <w:t>1</w:t>
            </w:r>
          </w:p>
        </w:tc>
        <w:tc>
          <w:tcPr>
            <w:tcW w:w="2634" w:type="dxa"/>
            <w:tcBorders>
              <w:top w:val="single" w:sz="4" w:space="0" w:color="auto"/>
              <w:left w:val="single" w:sz="4" w:space="0" w:color="auto"/>
              <w:bottom w:val="single" w:sz="8" w:space="0" w:color="auto"/>
              <w:right w:val="single" w:sz="4" w:space="0" w:color="auto"/>
              <w:tl2br w:val="nil"/>
              <w:tr2bl w:val="nil"/>
            </w:tcBorders>
            <w:textDirection w:val="lrTb"/>
            <w:vAlign w:val="center"/>
          </w:tcPr>
          <w:p w:rsidR="00CE270A" w:rsidRPr="004755CB" w:rsidP="00CE270A">
            <w:pPr>
              <w:pStyle w:val="Header"/>
              <w:tabs>
                <w:tab w:val="clear" w:pos="4536"/>
                <w:tab w:val="clear" w:pos="9072"/>
              </w:tabs>
              <w:jc w:val="center"/>
              <w:rPr>
                <w:rFonts w:ascii="Times New Roman" w:hAnsi="Times New Roman" w:cs="Times New Roman"/>
                <w:sz w:val="20"/>
                <w:szCs w:val="20"/>
              </w:rPr>
            </w:pPr>
            <w:r w:rsidRPr="004755CB">
              <w:rPr>
                <w:rFonts w:ascii="Times New Roman" w:hAnsi="Times New Roman" w:cs="Times New Roman"/>
                <w:sz w:val="20"/>
                <w:szCs w:val="20"/>
              </w:rPr>
              <w:t>10</w:t>
            </w:r>
          </w:p>
        </w:tc>
        <w:tc>
          <w:tcPr>
            <w:tcW w:w="2633" w:type="dxa"/>
            <w:tcBorders>
              <w:top w:val="single" w:sz="4" w:space="0" w:color="auto"/>
              <w:left w:val="single" w:sz="4" w:space="0" w:color="auto"/>
              <w:bottom w:val="single" w:sz="8" w:space="0" w:color="auto"/>
              <w:right w:val="single" w:sz="8" w:space="0" w:color="auto"/>
              <w:tl2br w:val="nil"/>
              <w:tr2bl w:val="nil"/>
            </w:tcBorders>
            <w:textDirection w:val="lrTb"/>
            <w:vAlign w:val="center"/>
          </w:tcPr>
          <w:p w:rsidR="00CE270A" w:rsidRPr="004755CB" w:rsidP="00CE270A">
            <w:pPr>
              <w:pStyle w:val="Header"/>
              <w:tabs>
                <w:tab w:val="clear" w:pos="4536"/>
                <w:tab w:val="clear" w:pos="9072"/>
              </w:tabs>
              <w:jc w:val="center"/>
              <w:rPr>
                <w:rFonts w:ascii="Times New Roman" w:hAnsi="Times New Roman" w:cs="Times New Roman"/>
                <w:sz w:val="20"/>
                <w:szCs w:val="20"/>
              </w:rPr>
            </w:pPr>
            <w:r w:rsidRPr="004755CB">
              <w:rPr>
                <w:rFonts w:ascii="Times New Roman" w:hAnsi="Times New Roman" w:cs="Times New Roman"/>
                <w:sz w:val="20"/>
                <w:szCs w:val="20"/>
              </w:rPr>
              <w:t>122</w:t>
            </w:r>
          </w:p>
        </w:tc>
      </w:tr>
    </w:tbl>
    <w:p w:rsidR="00CE270A" w:rsidP="00B614A3">
      <w:pPr>
        <w:spacing w:before="120" w:after="120"/>
        <w:ind w:left="540" w:hanging="540"/>
        <w:rPr>
          <w:rFonts w:ascii="Times New Roman" w:hAnsi="Times New Roman" w:cs="Times New Roman"/>
          <w:sz w:val="20"/>
          <w:szCs w:val="20"/>
        </w:rPr>
      </w:pPr>
      <w:r w:rsidR="00B614A3">
        <w:rPr>
          <w:rFonts w:ascii="Times New Roman" w:hAnsi="Times New Roman" w:cs="Times New Roman"/>
        </w:rPr>
        <w:t xml:space="preserve">         </w:t>
      </w:r>
      <w:r w:rsidRPr="00B614A3">
        <w:rPr>
          <w:rFonts w:ascii="Times New Roman" w:hAnsi="Times New Roman" w:cs="Times New Roman"/>
          <w:sz w:val="20"/>
          <w:szCs w:val="20"/>
        </w:rPr>
        <w:t>Zdroj: Colné riaditeľstvo SR</w:t>
      </w:r>
    </w:p>
    <w:p w:rsidR="004755CB" w:rsidRPr="00B614A3" w:rsidP="00B614A3">
      <w:pPr>
        <w:spacing w:before="120" w:after="120"/>
        <w:ind w:left="540" w:hanging="540"/>
        <w:rPr>
          <w:rFonts w:ascii="Times New Roman" w:hAnsi="Times New Roman" w:cs="Times New Roman"/>
          <w:sz w:val="20"/>
          <w:szCs w:val="20"/>
        </w:rPr>
      </w:pPr>
    </w:p>
    <w:p w:rsidR="00CE270A" w:rsidRPr="00002AFB" w:rsidP="00644DA1">
      <w:pPr>
        <w:numPr>
          <w:ilvl w:val="2"/>
          <w:numId w:val="155"/>
        </w:numPr>
        <w:tabs>
          <w:tab w:val="left" w:pos="720"/>
        </w:tabs>
        <w:spacing w:line="360" w:lineRule="auto"/>
        <w:jc w:val="center"/>
        <w:rPr>
          <w:rFonts w:ascii="Times New Roman" w:hAnsi="Times New Roman" w:cs="Times New Roman"/>
          <w:b/>
        </w:rPr>
      </w:pPr>
      <w:r w:rsidRPr="00002AFB">
        <w:rPr>
          <w:rFonts w:ascii="Times New Roman" w:hAnsi="Times New Roman" w:cs="Times New Roman"/>
          <w:b/>
        </w:rPr>
        <w:t>Postúpenie pohľadávok</w:t>
      </w:r>
    </w:p>
    <w:p w:rsidR="00CE270A" w:rsidRPr="00002AFB" w:rsidP="00CE270A">
      <w:pPr>
        <w:spacing w:before="120" w:line="360" w:lineRule="auto"/>
        <w:ind w:firstLine="567"/>
        <w:jc w:val="both"/>
        <w:rPr>
          <w:rFonts w:ascii="Times New Roman" w:hAnsi="Times New Roman" w:cs="Times New Roman"/>
        </w:rPr>
      </w:pPr>
      <w:r w:rsidRPr="00002AFB">
        <w:rPr>
          <w:rFonts w:ascii="Times New Roman" w:hAnsi="Times New Roman" w:cs="Times New Roman"/>
        </w:rPr>
        <w:t>V</w:t>
      </w:r>
      <w:r>
        <w:rPr>
          <w:rFonts w:ascii="Times New Roman" w:hAnsi="Times New Roman" w:cs="Times New Roman"/>
        </w:rPr>
        <w:t xml:space="preserve"> </w:t>
      </w:r>
      <w:r w:rsidRPr="00002AFB">
        <w:rPr>
          <w:rFonts w:ascii="Times New Roman" w:hAnsi="Times New Roman" w:cs="Times New Roman"/>
        </w:rPr>
        <w:t xml:space="preserve">zmysle ustanovenia § 89 zákona  č. 199/2004 Z. z. Colný zákon a o zmene a doplnení niektorých zákonov v znení  </w:t>
      </w:r>
      <w:r>
        <w:rPr>
          <w:rFonts w:ascii="Times New Roman" w:hAnsi="Times New Roman" w:cs="Times New Roman"/>
        </w:rPr>
        <w:t>neskorších  predpisov</w:t>
      </w:r>
      <w:r w:rsidRPr="00002AFB">
        <w:rPr>
          <w:rFonts w:ascii="Times New Roman" w:hAnsi="Times New Roman" w:cs="Times New Roman"/>
        </w:rPr>
        <w:t>, môže colný úrad postúpiť tretej osobe   pohľadávku,  ktorá vznikla pred 1.januárom 2006 voči dlžníkovi, na</w:t>
      </w:r>
      <w:r>
        <w:rPr>
          <w:rFonts w:ascii="Times New Roman" w:hAnsi="Times New Roman" w:cs="Times New Roman"/>
        </w:rPr>
        <w:t xml:space="preserve"> </w:t>
      </w:r>
      <w:r w:rsidRPr="00002AFB">
        <w:rPr>
          <w:rFonts w:ascii="Times New Roman" w:hAnsi="Times New Roman" w:cs="Times New Roman"/>
        </w:rPr>
        <w:t>majetok</w:t>
      </w:r>
      <w:r>
        <w:rPr>
          <w:rFonts w:ascii="Times New Roman" w:hAnsi="Times New Roman" w:cs="Times New Roman"/>
        </w:rPr>
        <w:t xml:space="preserve"> </w:t>
      </w:r>
      <w:r w:rsidRPr="00002AFB">
        <w:rPr>
          <w:rFonts w:ascii="Times New Roman" w:hAnsi="Times New Roman" w:cs="Times New Roman"/>
        </w:rPr>
        <w:t>ktorého</w:t>
      </w:r>
      <w:r>
        <w:rPr>
          <w:rFonts w:ascii="Times New Roman" w:hAnsi="Times New Roman" w:cs="Times New Roman"/>
        </w:rPr>
        <w:t xml:space="preserve"> </w:t>
      </w:r>
      <w:r w:rsidRPr="00002AFB">
        <w:rPr>
          <w:rFonts w:ascii="Times New Roman" w:hAnsi="Times New Roman" w:cs="Times New Roman"/>
        </w:rPr>
        <w:t xml:space="preserve">bol   vyhlásený  konkurz.  </w:t>
      </w:r>
    </w:p>
    <w:p w:rsidR="00CE270A" w:rsidRPr="00002AFB" w:rsidP="00CE270A">
      <w:pPr>
        <w:pStyle w:val="Header"/>
        <w:tabs>
          <w:tab w:val="clear" w:pos="4536"/>
          <w:tab w:val="clear" w:pos="9072"/>
        </w:tabs>
        <w:spacing w:line="360" w:lineRule="auto"/>
        <w:ind w:firstLine="567"/>
        <w:jc w:val="both"/>
        <w:rPr>
          <w:rFonts w:ascii="Times New Roman" w:hAnsi="Times New Roman" w:cs="Times New Roman"/>
        </w:rPr>
      </w:pPr>
      <w:r w:rsidRPr="00002AFB">
        <w:rPr>
          <w:rFonts w:ascii="Times New Roman" w:hAnsi="Times New Roman" w:cs="Times New Roman"/>
        </w:rPr>
        <w:t>V zmysle citovaného ustanovenia došlo v priebehu roku 2006 k podpísaniu zmluvy vo veci postúpenia  pohľadávok medzi Colným riaditeľstvom SR a Slovenskou konsolidačnou,  a.s.  Uvedená právnická osoba spĺňa</w:t>
      </w:r>
      <w:r>
        <w:rPr>
          <w:rFonts w:ascii="Times New Roman" w:hAnsi="Times New Roman" w:cs="Times New Roman"/>
        </w:rPr>
        <w:t xml:space="preserve"> </w:t>
      </w:r>
      <w:r w:rsidRPr="00002AFB">
        <w:rPr>
          <w:rFonts w:ascii="Times New Roman" w:hAnsi="Times New Roman" w:cs="Times New Roman"/>
        </w:rPr>
        <w:t xml:space="preserve">všetky podmienky v zmysle </w:t>
      </w:r>
      <w:r>
        <w:rPr>
          <w:rFonts w:ascii="Times New Roman" w:hAnsi="Times New Roman" w:cs="Times New Roman"/>
        </w:rPr>
        <w:t>c</w:t>
      </w:r>
      <w:r w:rsidRPr="00002AFB">
        <w:rPr>
          <w:rFonts w:ascii="Times New Roman" w:hAnsi="Times New Roman" w:cs="Times New Roman"/>
        </w:rPr>
        <w:t xml:space="preserve">olného zákona, t. j. </w:t>
      </w:r>
      <w:r>
        <w:rPr>
          <w:rFonts w:ascii="Times New Roman" w:hAnsi="Times New Roman" w:cs="Times New Roman"/>
        </w:rPr>
        <w:t>je</w:t>
      </w:r>
      <w:r w:rsidRPr="00002AFB">
        <w:rPr>
          <w:rFonts w:ascii="Times New Roman" w:hAnsi="Times New Roman" w:cs="Times New Roman"/>
        </w:rPr>
        <w:t xml:space="preserve"> právnickou  osobou so 100 % majetkovou účasťou štátu. Takýmto spôsobom boli v roku 2006 znížené pohľadávky v celkovej výške 46</w:t>
      </w:r>
      <w:r>
        <w:rPr>
          <w:rFonts w:ascii="Times New Roman" w:hAnsi="Times New Roman" w:cs="Times New Roman"/>
        </w:rPr>
        <w:t>,</w:t>
      </w:r>
      <w:r w:rsidRPr="00002AFB">
        <w:rPr>
          <w:rFonts w:ascii="Times New Roman" w:hAnsi="Times New Roman" w:cs="Times New Roman"/>
        </w:rPr>
        <w:t>3</w:t>
      </w:r>
      <w:r>
        <w:rPr>
          <w:rFonts w:ascii="Times New Roman" w:hAnsi="Times New Roman" w:cs="Times New Roman"/>
        </w:rPr>
        <w:t xml:space="preserve"> mil.</w:t>
      </w:r>
      <w:r w:rsidRPr="00002AFB">
        <w:rPr>
          <w:rFonts w:ascii="Times New Roman" w:hAnsi="Times New Roman" w:cs="Times New Roman"/>
        </w:rPr>
        <w:t xml:space="preserve"> Sk. Celková výška postúpených pohľadávok k 31.12.2006 dosiahla 827</w:t>
      </w:r>
      <w:r>
        <w:rPr>
          <w:rFonts w:ascii="Times New Roman" w:hAnsi="Times New Roman" w:cs="Times New Roman"/>
        </w:rPr>
        <w:t>,</w:t>
      </w:r>
      <w:r w:rsidRPr="00002AFB">
        <w:rPr>
          <w:rFonts w:ascii="Times New Roman" w:hAnsi="Times New Roman" w:cs="Times New Roman"/>
        </w:rPr>
        <w:t>4</w:t>
      </w:r>
      <w:r>
        <w:rPr>
          <w:rFonts w:ascii="Times New Roman" w:hAnsi="Times New Roman" w:cs="Times New Roman"/>
        </w:rPr>
        <w:t xml:space="preserve"> mil. </w:t>
      </w:r>
      <w:r w:rsidRPr="00002AFB">
        <w:rPr>
          <w:rFonts w:ascii="Times New Roman" w:hAnsi="Times New Roman" w:cs="Times New Roman"/>
        </w:rPr>
        <w:t>Sk.</w:t>
      </w:r>
    </w:p>
    <w:p w:rsidR="00CE270A" w:rsidP="00CE270A">
      <w:pPr>
        <w:ind w:left="1" w:firstLine="708"/>
        <w:jc w:val="both"/>
        <w:rPr>
          <w:rFonts w:ascii="Arial Narrow" w:hAnsi="Arial Narrow" w:cs="Times New Roman"/>
          <w:sz w:val="22"/>
        </w:rPr>
      </w:pPr>
    </w:p>
    <w:p w:rsidR="00CE270A" w:rsidRPr="00002AFB" w:rsidP="00644DA1">
      <w:pPr>
        <w:pStyle w:val="Header"/>
        <w:numPr>
          <w:ilvl w:val="2"/>
          <w:numId w:val="157"/>
        </w:numPr>
        <w:tabs>
          <w:tab w:val="left" w:pos="720"/>
          <w:tab w:val="clear" w:pos="4536"/>
          <w:tab w:val="clear" w:pos="9072"/>
        </w:tabs>
        <w:spacing w:line="360" w:lineRule="auto"/>
        <w:jc w:val="center"/>
        <w:rPr>
          <w:rFonts w:ascii="Times New Roman" w:hAnsi="Times New Roman" w:cs="Times New Roman"/>
          <w:b/>
        </w:rPr>
      </w:pPr>
      <w:r w:rsidRPr="00002AFB">
        <w:rPr>
          <w:rFonts w:ascii="Times New Roman" w:hAnsi="Times New Roman" w:cs="Times New Roman"/>
          <w:b/>
        </w:rPr>
        <w:t>Odpis nevymožiteľných pohľadávok</w:t>
      </w:r>
    </w:p>
    <w:p w:rsidR="00CE270A" w:rsidRPr="00FD584E" w:rsidP="00FD584E">
      <w:pPr>
        <w:pStyle w:val="BodyText2"/>
        <w:spacing w:line="360" w:lineRule="auto"/>
        <w:ind w:firstLine="567"/>
        <w:jc w:val="both"/>
        <w:rPr>
          <w:rFonts w:ascii="Times New Roman" w:hAnsi="Times New Roman" w:cs="Times New Roman"/>
          <w:b w:val="0"/>
          <w:sz w:val="24"/>
        </w:rPr>
      </w:pPr>
      <w:r w:rsidRPr="009529ED">
        <w:rPr>
          <w:rFonts w:ascii="Times New Roman" w:hAnsi="Times New Roman" w:cs="Times New Roman"/>
          <w:b w:val="0"/>
          <w:sz w:val="24"/>
        </w:rPr>
        <w:t xml:space="preserve"> P</w:t>
      </w:r>
      <w:r w:rsidRPr="00002AFB">
        <w:rPr>
          <w:rStyle w:val="ZkladntextodsazenChar"/>
          <w:rFonts w:cs="Times New Roman"/>
          <w:b w:val="0"/>
        </w:rPr>
        <w:t>ostup odpisovania nevymožiteľných colných a daňových pohľadávok je špecifický proces, ktorému predchádza konanie colných úradov zamerané na zisťovanie (vyhľadávanie)  majetku dlžníka.</w:t>
      </w:r>
      <w:r>
        <w:rPr>
          <w:rStyle w:val="ZkladntextodsazenChar"/>
          <w:rFonts w:cs="Times New Roman"/>
          <w:b w:val="0"/>
        </w:rPr>
        <w:t xml:space="preserve"> </w:t>
      </w:r>
      <w:r w:rsidRPr="00002AFB">
        <w:rPr>
          <w:rStyle w:val="ZkladntextodsazenChar"/>
          <w:rFonts w:cs="Times New Roman"/>
          <w:b w:val="0"/>
        </w:rPr>
        <w:t xml:space="preserve">Až v prípade negatívnych zistení je možné pohľadávku definovať ako nevymožiteľnú a rozhodnúť o jej odpísaní v zmysle platnej legislatívy. Pri  plnení  uvedených  úloh colné úrady spolupracujú  </w:t>
      </w:r>
      <w:r w:rsidRPr="00FD584E">
        <w:rPr>
          <w:rStyle w:val="ZkladntextodsazenChar"/>
          <w:rFonts w:ascii="Times New Roman" w:hAnsi="Times New Roman" w:cs="Times New Roman"/>
          <w:b w:val="0"/>
        </w:rPr>
        <w:t>najmä  s daňovými orgánmi, inými orgánmi štátnej správy (súdy, policajné orgány, katastrálne úrady), s</w:t>
      </w:r>
      <w:r w:rsidRPr="00FD584E">
        <w:rPr>
          <w:rFonts w:ascii="Times New Roman" w:hAnsi="Times New Roman" w:cs="Times New Roman"/>
          <w:b w:val="0"/>
          <w:sz w:val="24"/>
        </w:rPr>
        <w:t> peňažnými ústavmi a s inými osobami, ktorých informácie môžu pomôcť k úhrade  pohľadávok.</w:t>
      </w:r>
    </w:p>
    <w:p w:rsidR="00CE270A" w:rsidRPr="00FD584E" w:rsidP="00FD584E">
      <w:pPr>
        <w:pStyle w:val="BodyText2"/>
        <w:tabs>
          <w:tab w:val="left" w:pos="567"/>
        </w:tabs>
        <w:spacing w:line="360" w:lineRule="auto"/>
        <w:ind w:firstLine="567"/>
        <w:jc w:val="both"/>
        <w:rPr>
          <w:rFonts w:ascii="Times New Roman" w:hAnsi="Times New Roman" w:cs="Times New Roman"/>
          <w:b w:val="0"/>
          <w:sz w:val="24"/>
        </w:rPr>
      </w:pPr>
      <w:r w:rsidRPr="00FD584E">
        <w:rPr>
          <w:rFonts w:ascii="Times New Roman" w:hAnsi="Times New Roman" w:cs="Times New Roman"/>
          <w:b w:val="0"/>
          <w:sz w:val="24"/>
        </w:rPr>
        <w:t xml:space="preserve">V roku 2006 colná správa odpísala nevymožiteľné pohľadávky vo výške 219,0 mil. Sk (v roku 2005: 886,9 mil. Sk) a k </w:t>
      </w:r>
      <w:r w:rsidR="00C35185">
        <w:rPr>
          <w:rFonts w:ascii="Times New Roman" w:hAnsi="Times New Roman" w:cs="Times New Roman"/>
          <w:b w:val="0"/>
          <w:sz w:val="24"/>
        </w:rPr>
        <w:t>31.12.2006 evidovala nevymožiteľ</w:t>
      </w:r>
      <w:r w:rsidRPr="00FD584E">
        <w:rPr>
          <w:rFonts w:ascii="Times New Roman" w:hAnsi="Times New Roman" w:cs="Times New Roman"/>
          <w:b w:val="0"/>
          <w:sz w:val="24"/>
        </w:rPr>
        <w:t xml:space="preserve">né pohľadávky vo výške 1 106,0 mil. Sk. Prehľad o nevymožiteľných pohľadávkach a ich odpísaní v roku 2006 podľa colných úradov poskytujú nasledujúce údaje (v Sk): </w:t>
      </w:r>
    </w:p>
    <w:p w:rsidR="00CE270A" w:rsidRPr="0085019B" w:rsidP="00CE270A">
      <w:pPr>
        <w:pStyle w:val="BodyTextIndent"/>
        <w:rPr>
          <w:rFonts w:ascii="Arial Narrow" w:hAnsi="Arial Narrow" w:cs="Times New Roman"/>
          <w:sz w:val="22"/>
        </w:rPr>
      </w:pPr>
      <w:r w:rsidR="00FD584E">
        <w:rPr>
          <w:rFonts w:ascii="Arial Narrow" w:hAnsi="Arial Narrow" w:cs="Times New Roman"/>
          <w:sz w:val="22"/>
        </w:rPr>
        <w:t xml:space="preserve">               </w:t>
      </w:r>
      <w:r w:rsidRPr="0085019B">
        <w:rPr>
          <w:rFonts w:ascii="Arial Narrow" w:hAnsi="Arial Narrow" w:cs="Times New Roman"/>
          <w:sz w:val="22"/>
        </w:rPr>
        <w:t xml:space="preserve">                                                                                     </w:t>
      </w:r>
    </w:p>
    <w:tbl>
      <w:tblPr>
        <w:tblW w:w="0" w:type="auto"/>
        <w:jc w:val="center"/>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CellMar>
          <w:top w:w="0" w:type="dxa"/>
          <w:left w:w="70" w:type="dxa"/>
          <w:bottom w:w="0" w:type="dxa"/>
          <w:right w:w="70" w:type="dxa"/>
        </w:tblCellMar>
      </w:tblPr>
      <w:tblGrid>
        <w:gridCol w:w="1888"/>
        <w:gridCol w:w="2932"/>
        <w:gridCol w:w="2648"/>
      </w:tblGrid>
      <w:tr>
        <w:tblPrEx>
          <w:tblW w:w="0" w:type="auto"/>
          <w:jc w:val="center"/>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CellMar>
            <w:top w:w="0" w:type="dxa"/>
            <w:left w:w="70" w:type="dxa"/>
            <w:bottom w:w="0" w:type="dxa"/>
            <w:right w:w="70" w:type="dxa"/>
          </w:tblCellMar>
        </w:tblPrEx>
        <w:trPr>
          <w:trHeight w:hRule="auto" w:val="0"/>
          <w:jc w:val="center"/>
        </w:trPr>
        <w:tc>
          <w:tcPr>
            <w:tcW w:w="1888"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CE270A" w:rsidRPr="004755CB" w:rsidP="00CE270A">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Colný úrad</w:t>
            </w:r>
          </w:p>
        </w:tc>
        <w:tc>
          <w:tcPr>
            <w:tcW w:w="2932"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CE270A" w:rsidRPr="004755CB" w:rsidP="00CE270A">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 xml:space="preserve">Nevymožiteľné pohľadávky k 31. 12. 2006 </w:t>
            </w:r>
          </w:p>
        </w:tc>
        <w:tc>
          <w:tcPr>
            <w:tcW w:w="2648"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CE270A" w:rsidRPr="004755CB" w:rsidP="00CE270A">
            <w:pPr>
              <w:pStyle w:val="Header"/>
              <w:tabs>
                <w:tab w:val="clear" w:pos="4536"/>
                <w:tab w:val="clear" w:pos="9072"/>
              </w:tabs>
              <w:jc w:val="center"/>
              <w:rPr>
                <w:rFonts w:ascii="Times New Roman" w:hAnsi="Times New Roman" w:cs="Times New Roman"/>
                <w:b/>
                <w:sz w:val="20"/>
                <w:szCs w:val="20"/>
              </w:rPr>
            </w:pPr>
            <w:r w:rsidRPr="004755CB">
              <w:rPr>
                <w:rFonts w:ascii="Times New Roman" w:hAnsi="Times New Roman" w:cs="Times New Roman"/>
                <w:b/>
                <w:sz w:val="20"/>
                <w:szCs w:val="20"/>
              </w:rPr>
              <w:t>Odpísané nevymožiteľné pohľadávky</w:t>
            </w:r>
          </w:p>
        </w:tc>
      </w:tr>
      <w:tr>
        <w:tblPrEx>
          <w:tblW w:w="0" w:type="auto"/>
          <w:jc w:val="center"/>
          <w:tblLayout w:type="fixed"/>
          <w:tblCellMar>
            <w:top w:w="0" w:type="dxa"/>
            <w:left w:w="70" w:type="dxa"/>
            <w:bottom w:w="0" w:type="dxa"/>
            <w:right w:w="70" w:type="dxa"/>
          </w:tblCellMar>
        </w:tblPrEx>
        <w:trPr>
          <w:trHeight w:hRule="auto" w:val="0"/>
          <w:jc w:val="center"/>
        </w:trPr>
        <w:tc>
          <w:tcPr>
            <w:tcW w:w="188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E270A" w:rsidRPr="004755CB" w:rsidP="00CE270A">
            <w:pPr>
              <w:pStyle w:val="Header"/>
              <w:tabs>
                <w:tab w:val="clear" w:pos="4536"/>
                <w:tab w:val="clear" w:pos="9072"/>
              </w:tabs>
              <w:rPr>
                <w:rFonts w:ascii="Times New Roman" w:hAnsi="Times New Roman" w:cs="Times New Roman"/>
                <w:sz w:val="20"/>
                <w:szCs w:val="20"/>
              </w:rPr>
            </w:pPr>
            <w:r w:rsidRPr="004755CB">
              <w:rPr>
                <w:rFonts w:ascii="Times New Roman" w:hAnsi="Times New Roman" w:cs="Times New Roman"/>
                <w:sz w:val="20"/>
                <w:szCs w:val="20"/>
              </w:rPr>
              <w:t>Banská Bystrica</w:t>
            </w:r>
          </w:p>
        </w:tc>
        <w:tc>
          <w:tcPr>
            <w:tcW w:w="293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E270A" w:rsidRPr="004755CB" w:rsidP="00CE270A">
            <w:pPr>
              <w:jc w:val="right"/>
              <w:rPr>
                <w:rFonts w:ascii="Times New Roman" w:hAnsi="Times New Roman" w:cs="Times New Roman"/>
                <w:sz w:val="20"/>
                <w:szCs w:val="20"/>
              </w:rPr>
            </w:pPr>
            <w:r w:rsidRPr="004755CB">
              <w:rPr>
                <w:rFonts w:ascii="Times New Roman" w:hAnsi="Times New Roman" w:cs="Times New Roman"/>
                <w:sz w:val="20"/>
                <w:szCs w:val="20"/>
              </w:rPr>
              <w:t>57 886 870</w:t>
            </w:r>
          </w:p>
        </w:tc>
        <w:tc>
          <w:tcPr>
            <w:tcW w:w="2648"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CE270A" w:rsidRPr="004755CB" w:rsidP="00CE270A">
            <w:pPr>
              <w:jc w:val="right"/>
              <w:rPr>
                <w:rFonts w:ascii="Times New Roman" w:hAnsi="Times New Roman" w:cs="Times New Roman"/>
                <w:sz w:val="20"/>
                <w:szCs w:val="20"/>
              </w:rPr>
            </w:pPr>
            <w:r w:rsidRPr="004755CB">
              <w:rPr>
                <w:rFonts w:ascii="Times New Roman" w:hAnsi="Times New Roman" w:cs="Times New Roman"/>
                <w:sz w:val="20"/>
                <w:szCs w:val="20"/>
              </w:rPr>
              <w:t>22 519 145</w:t>
            </w:r>
          </w:p>
        </w:tc>
      </w:tr>
      <w:tr>
        <w:tblPrEx>
          <w:tblW w:w="0" w:type="auto"/>
          <w:jc w:val="center"/>
          <w:tblLayout w:type="fixed"/>
          <w:tblCellMar>
            <w:top w:w="0" w:type="dxa"/>
            <w:left w:w="70" w:type="dxa"/>
            <w:bottom w:w="0" w:type="dxa"/>
            <w:right w:w="70" w:type="dxa"/>
          </w:tblCellMar>
        </w:tblPrEx>
        <w:trPr>
          <w:trHeight w:hRule="auto" w:val="0"/>
          <w:jc w:val="center"/>
        </w:trPr>
        <w:tc>
          <w:tcPr>
            <w:tcW w:w="188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E270A" w:rsidRPr="004755CB" w:rsidP="00CE270A">
            <w:pPr>
              <w:pStyle w:val="Header"/>
              <w:tabs>
                <w:tab w:val="clear" w:pos="4536"/>
                <w:tab w:val="clear" w:pos="9072"/>
              </w:tabs>
              <w:rPr>
                <w:rFonts w:ascii="Times New Roman" w:hAnsi="Times New Roman" w:cs="Times New Roman"/>
                <w:sz w:val="20"/>
                <w:szCs w:val="20"/>
              </w:rPr>
            </w:pPr>
            <w:r w:rsidRPr="004755CB">
              <w:rPr>
                <w:rFonts w:ascii="Times New Roman" w:hAnsi="Times New Roman" w:cs="Times New Roman"/>
                <w:sz w:val="20"/>
                <w:szCs w:val="20"/>
              </w:rPr>
              <w:t>Bratislava</w:t>
            </w:r>
          </w:p>
        </w:tc>
        <w:tc>
          <w:tcPr>
            <w:tcW w:w="293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E270A" w:rsidRPr="004755CB" w:rsidP="00CE270A">
            <w:pPr>
              <w:jc w:val="right"/>
              <w:rPr>
                <w:rFonts w:ascii="Times New Roman" w:hAnsi="Times New Roman" w:cs="Times New Roman"/>
                <w:sz w:val="20"/>
                <w:szCs w:val="20"/>
              </w:rPr>
            </w:pPr>
            <w:r w:rsidRPr="004755CB">
              <w:rPr>
                <w:rFonts w:ascii="Times New Roman" w:hAnsi="Times New Roman" w:cs="Times New Roman"/>
                <w:sz w:val="20"/>
                <w:szCs w:val="20"/>
              </w:rPr>
              <w:t>374 490 335</w:t>
            </w:r>
          </w:p>
        </w:tc>
        <w:tc>
          <w:tcPr>
            <w:tcW w:w="2648"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CE270A" w:rsidRPr="004755CB" w:rsidP="00CE270A">
            <w:pPr>
              <w:jc w:val="right"/>
              <w:rPr>
                <w:rFonts w:ascii="Times New Roman" w:hAnsi="Times New Roman" w:cs="Times New Roman"/>
                <w:sz w:val="20"/>
                <w:szCs w:val="20"/>
              </w:rPr>
            </w:pPr>
            <w:r w:rsidRPr="004755CB">
              <w:rPr>
                <w:rFonts w:ascii="Times New Roman" w:hAnsi="Times New Roman" w:cs="Times New Roman"/>
                <w:sz w:val="20"/>
                <w:szCs w:val="20"/>
              </w:rPr>
              <w:t>158 124 553</w:t>
            </w:r>
          </w:p>
        </w:tc>
      </w:tr>
      <w:tr>
        <w:tblPrEx>
          <w:tblW w:w="0" w:type="auto"/>
          <w:jc w:val="center"/>
          <w:tblLayout w:type="fixed"/>
          <w:tblCellMar>
            <w:top w:w="0" w:type="dxa"/>
            <w:left w:w="70" w:type="dxa"/>
            <w:bottom w:w="0" w:type="dxa"/>
            <w:right w:w="70" w:type="dxa"/>
          </w:tblCellMar>
        </w:tblPrEx>
        <w:trPr>
          <w:trHeight w:hRule="auto" w:val="0"/>
          <w:jc w:val="center"/>
        </w:trPr>
        <w:tc>
          <w:tcPr>
            <w:tcW w:w="188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E270A" w:rsidRPr="004755CB" w:rsidP="00CE270A">
            <w:pPr>
              <w:pStyle w:val="Header"/>
              <w:tabs>
                <w:tab w:val="clear" w:pos="4536"/>
                <w:tab w:val="clear" w:pos="9072"/>
              </w:tabs>
              <w:rPr>
                <w:rFonts w:ascii="Times New Roman" w:hAnsi="Times New Roman" w:cs="Times New Roman"/>
                <w:sz w:val="20"/>
                <w:szCs w:val="20"/>
              </w:rPr>
            </w:pPr>
            <w:r w:rsidRPr="004755CB">
              <w:rPr>
                <w:rFonts w:ascii="Times New Roman" w:hAnsi="Times New Roman" w:cs="Times New Roman"/>
                <w:sz w:val="20"/>
                <w:szCs w:val="20"/>
              </w:rPr>
              <w:t>Čierna nad Tisou</w:t>
            </w:r>
          </w:p>
        </w:tc>
        <w:tc>
          <w:tcPr>
            <w:tcW w:w="293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E270A" w:rsidRPr="004755CB" w:rsidP="00CE270A">
            <w:pPr>
              <w:jc w:val="right"/>
              <w:rPr>
                <w:rFonts w:ascii="Times New Roman" w:hAnsi="Times New Roman" w:cs="Times New Roman"/>
                <w:sz w:val="20"/>
                <w:szCs w:val="20"/>
              </w:rPr>
            </w:pPr>
            <w:r w:rsidRPr="004755CB">
              <w:rPr>
                <w:rFonts w:ascii="Times New Roman" w:hAnsi="Times New Roman" w:cs="Times New Roman"/>
                <w:sz w:val="20"/>
                <w:szCs w:val="20"/>
              </w:rPr>
              <w:t>5 449 339</w:t>
            </w:r>
          </w:p>
        </w:tc>
        <w:tc>
          <w:tcPr>
            <w:tcW w:w="2648"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CE270A" w:rsidRPr="004755CB" w:rsidP="00CE270A">
            <w:pPr>
              <w:jc w:val="right"/>
              <w:rPr>
                <w:rFonts w:ascii="Times New Roman" w:hAnsi="Times New Roman" w:cs="Times New Roman"/>
                <w:sz w:val="20"/>
                <w:szCs w:val="20"/>
              </w:rPr>
            </w:pPr>
            <w:r w:rsidRPr="004755CB">
              <w:rPr>
                <w:rFonts w:ascii="Times New Roman" w:hAnsi="Times New Roman" w:cs="Times New Roman"/>
                <w:sz w:val="20"/>
                <w:szCs w:val="20"/>
              </w:rPr>
              <w:t>310 000</w:t>
            </w:r>
          </w:p>
        </w:tc>
      </w:tr>
      <w:tr>
        <w:tblPrEx>
          <w:tblW w:w="0" w:type="auto"/>
          <w:jc w:val="center"/>
          <w:tblLayout w:type="fixed"/>
          <w:tblCellMar>
            <w:top w:w="0" w:type="dxa"/>
            <w:left w:w="70" w:type="dxa"/>
            <w:bottom w:w="0" w:type="dxa"/>
            <w:right w:w="70" w:type="dxa"/>
          </w:tblCellMar>
        </w:tblPrEx>
        <w:trPr>
          <w:trHeight w:val="231"/>
          <w:jc w:val="center"/>
        </w:trPr>
        <w:tc>
          <w:tcPr>
            <w:tcW w:w="188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E270A" w:rsidRPr="004755CB" w:rsidP="00CE270A">
            <w:pPr>
              <w:pStyle w:val="Header"/>
              <w:tabs>
                <w:tab w:val="clear" w:pos="4536"/>
                <w:tab w:val="clear" w:pos="9072"/>
              </w:tabs>
              <w:rPr>
                <w:rFonts w:ascii="Times New Roman" w:hAnsi="Times New Roman" w:cs="Times New Roman"/>
                <w:sz w:val="20"/>
                <w:szCs w:val="20"/>
              </w:rPr>
            </w:pPr>
            <w:r w:rsidRPr="004755CB">
              <w:rPr>
                <w:rFonts w:ascii="Times New Roman" w:hAnsi="Times New Roman" w:cs="Times New Roman"/>
                <w:sz w:val="20"/>
                <w:szCs w:val="20"/>
              </w:rPr>
              <w:t>Košice</w:t>
            </w:r>
          </w:p>
        </w:tc>
        <w:tc>
          <w:tcPr>
            <w:tcW w:w="293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270A" w:rsidRPr="004755CB" w:rsidP="00CE270A">
            <w:pPr>
              <w:jc w:val="right"/>
              <w:rPr>
                <w:rFonts w:ascii="Times New Roman" w:hAnsi="Times New Roman" w:cs="Times New Roman"/>
                <w:sz w:val="20"/>
                <w:szCs w:val="20"/>
              </w:rPr>
            </w:pPr>
            <w:r w:rsidRPr="004755CB">
              <w:rPr>
                <w:rFonts w:ascii="Times New Roman" w:hAnsi="Times New Roman" w:cs="Times New Roman"/>
                <w:sz w:val="20"/>
                <w:szCs w:val="20"/>
              </w:rPr>
              <w:t>45 505 306</w:t>
            </w:r>
          </w:p>
        </w:tc>
        <w:tc>
          <w:tcPr>
            <w:tcW w:w="2648" w:type="dxa"/>
            <w:tcBorders>
              <w:top w:val="single" w:sz="4" w:space="0" w:color="auto"/>
              <w:left w:val="single" w:sz="4" w:space="0" w:color="auto"/>
              <w:bottom w:val="single" w:sz="4" w:space="0" w:color="auto"/>
              <w:right w:val="single" w:sz="8" w:space="0" w:color="auto"/>
              <w:tl2br w:val="nil"/>
              <w:tr2bl w:val="nil"/>
            </w:tcBorders>
            <w:textDirection w:val="lrTb"/>
            <w:vAlign w:val="top"/>
          </w:tcPr>
          <w:p w:rsidR="00CE270A" w:rsidRPr="004755CB" w:rsidP="00CE270A">
            <w:pPr>
              <w:jc w:val="right"/>
              <w:rPr>
                <w:rFonts w:ascii="Times New Roman" w:hAnsi="Times New Roman" w:cs="Times New Roman"/>
                <w:sz w:val="20"/>
                <w:szCs w:val="20"/>
              </w:rPr>
            </w:pPr>
            <w:r w:rsidRPr="004755CB">
              <w:rPr>
                <w:rFonts w:ascii="Times New Roman" w:hAnsi="Times New Roman" w:cs="Times New Roman"/>
                <w:sz w:val="20"/>
                <w:szCs w:val="20"/>
              </w:rPr>
              <w:t>33 024 841</w:t>
            </w:r>
          </w:p>
        </w:tc>
      </w:tr>
      <w:tr>
        <w:tblPrEx>
          <w:tblW w:w="0" w:type="auto"/>
          <w:jc w:val="center"/>
          <w:tblLayout w:type="fixed"/>
          <w:tblCellMar>
            <w:top w:w="0" w:type="dxa"/>
            <w:left w:w="70" w:type="dxa"/>
            <w:bottom w:w="0" w:type="dxa"/>
            <w:right w:w="70" w:type="dxa"/>
          </w:tblCellMar>
        </w:tblPrEx>
        <w:trPr>
          <w:trHeight w:hRule="auto" w:val="0"/>
          <w:jc w:val="center"/>
        </w:trPr>
        <w:tc>
          <w:tcPr>
            <w:tcW w:w="188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E270A" w:rsidRPr="004755CB" w:rsidP="00CE270A">
            <w:pPr>
              <w:pStyle w:val="Header"/>
              <w:tabs>
                <w:tab w:val="clear" w:pos="4536"/>
                <w:tab w:val="clear" w:pos="9072"/>
              </w:tabs>
              <w:rPr>
                <w:rFonts w:ascii="Times New Roman" w:hAnsi="Times New Roman" w:cs="Times New Roman"/>
                <w:sz w:val="20"/>
                <w:szCs w:val="20"/>
              </w:rPr>
            </w:pPr>
            <w:r w:rsidRPr="004755CB">
              <w:rPr>
                <w:rFonts w:ascii="Times New Roman" w:hAnsi="Times New Roman" w:cs="Times New Roman"/>
                <w:sz w:val="20"/>
                <w:szCs w:val="20"/>
              </w:rPr>
              <w:t>Nitra</w:t>
            </w:r>
          </w:p>
        </w:tc>
        <w:tc>
          <w:tcPr>
            <w:tcW w:w="293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E270A" w:rsidRPr="004755CB" w:rsidP="00CE270A">
            <w:pPr>
              <w:jc w:val="right"/>
              <w:rPr>
                <w:rFonts w:ascii="Times New Roman" w:hAnsi="Times New Roman" w:cs="Times New Roman"/>
                <w:sz w:val="20"/>
                <w:szCs w:val="20"/>
              </w:rPr>
            </w:pPr>
            <w:r w:rsidRPr="004755CB">
              <w:rPr>
                <w:rFonts w:ascii="Times New Roman" w:hAnsi="Times New Roman" w:cs="Times New Roman"/>
                <w:sz w:val="20"/>
                <w:szCs w:val="20"/>
              </w:rPr>
              <w:t>209 997 368</w:t>
            </w:r>
          </w:p>
        </w:tc>
        <w:tc>
          <w:tcPr>
            <w:tcW w:w="2648"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CE270A" w:rsidRPr="004755CB" w:rsidP="00CE270A">
            <w:pPr>
              <w:jc w:val="right"/>
              <w:rPr>
                <w:rFonts w:ascii="Times New Roman" w:hAnsi="Times New Roman" w:cs="Times New Roman"/>
                <w:sz w:val="20"/>
                <w:szCs w:val="20"/>
              </w:rPr>
            </w:pPr>
            <w:r w:rsidRPr="004755CB">
              <w:rPr>
                <w:rFonts w:ascii="Times New Roman" w:hAnsi="Times New Roman" w:cs="Times New Roman"/>
                <w:sz w:val="20"/>
                <w:szCs w:val="20"/>
              </w:rPr>
              <w:t>-2 517</w:t>
            </w:r>
          </w:p>
        </w:tc>
      </w:tr>
      <w:tr>
        <w:tblPrEx>
          <w:tblW w:w="0" w:type="auto"/>
          <w:jc w:val="center"/>
          <w:tblLayout w:type="fixed"/>
          <w:tblCellMar>
            <w:top w:w="0" w:type="dxa"/>
            <w:left w:w="70" w:type="dxa"/>
            <w:bottom w:w="0" w:type="dxa"/>
            <w:right w:w="70" w:type="dxa"/>
          </w:tblCellMar>
        </w:tblPrEx>
        <w:trPr>
          <w:trHeight w:hRule="auto" w:val="0"/>
          <w:jc w:val="center"/>
        </w:trPr>
        <w:tc>
          <w:tcPr>
            <w:tcW w:w="188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E270A" w:rsidRPr="004755CB" w:rsidP="00CE270A">
            <w:pPr>
              <w:pStyle w:val="Header"/>
              <w:tabs>
                <w:tab w:val="clear" w:pos="4536"/>
                <w:tab w:val="clear" w:pos="9072"/>
              </w:tabs>
              <w:rPr>
                <w:rFonts w:ascii="Times New Roman" w:hAnsi="Times New Roman" w:cs="Times New Roman"/>
                <w:sz w:val="20"/>
                <w:szCs w:val="20"/>
              </w:rPr>
            </w:pPr>
            <w:r w:rsidRPr="004755CB">
              <w:rPr>
                <w:rFonts w:ascii="Times New Roman" w:hAnsi="Times New Roman" w:cs="Times New Roman"/>
                <w:sz w:val="20"/>
                <w:szCs w:val="20"/>
              </w:rPr>
              <w:t>Prešov</w:t>
            </w:r>
          </w:p>
        </w:tc>
        <w:tc>
          <w:tcPr>
            <w:tcW w:w="293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E270A" w:rsidRPr="004755CB" w:rsidP="00CE270A">
            <w:pPr>
              <w:jc w:val="right"/>
              <w:rPr>
                <w:rFonts w:ascii="Times New Roman" w:hAnsi="Times New Roman" w:cs="Times New Roman"/>
                <w:sz w:val="20"/>
                <w:szCs w:val="20"/>
              </w:rPr>
            </w:pPr>
            <w:r w:rsidRPr="004755CB">
              <w:rPr>
                <w:rFonts w:ascii="Times New Roman" w:hAnsi="Times New Roman" w:cs="Times New Roman"/>
                <w:sz w:val="20"/>
                <w:szCs w:val="20"/>
              </w:rPr>
              <w:t>225 876 382</w:t>
            </w:r>
          </w:p>
        </w:tc>
        <w:tc>
          <w:tcPr>
            <w:tcW w:w="2648"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CE270A" w:rsidRPr="004755CB" w:rsidP="00CE270A">
            <w:pPr>
              <w:jc w:val="right"/>
              <w:rPr>
                <w:rFonts w:ascii="Times New Roman" w:hAnsi="Times New Roman" w:cs="Times New Roman"/>
                <w:sz w:val="20"/>
                <w:szCs w:val="20"/>
              </w:rPr>
            </w:pPr>
            <w:r w:rsidRPr="004755CB">
              <w:rPr>
                <w:rFonts w:ascii="Times New Roman" w:hAnsi="Times New Roman" w:cs="Times New Roman"/>
                <w:sz w:val="20"/>
                <w:szCs w:val="20"/>
              </w:rPr>
              <w:t>3 950 710</w:t>
            </w:r>
          </w:p>
        </w:tc>
      </w:tr>
      <w:tr>
        <w:tblPrEx>
          <w:tblW w:w="0" w:type="auto"/>
          <w:jc w:val="center"/>
          <w:tblLayout w:type="fixed"/>
          <w:tblCellMar>
            <w:top w:w="0" w:type="dxa"/>
            <w:left w:w="70" w:type="dxa"/>
            <w:bottom w:w="0" w:type="dxa"/>
            <w:right w:w="70" w:type="dxa"/>
          </w:tblCellMar>
        </w:tblPrEx>
        <w:trPr>
          <w:trHeight w:hRule="auto" w:val="0"/>
          <w:jc w:val="center"/>
        </w:trPr>
        <w:tc>
          <w:tcPr>
            <w:tcW w:w="188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E270A" w:rsidRPr="004755CB" w:rsidP="00CE270A">
            <w:pPr>
              <w:pStyle w:val="Header"/>
              <w:tabs>
                <w:tab w:val="clear" w:pos="4536"/>
                <w:tab w:val="clear" w:pos="9072"/>
              </w:tabs>
              <w:rPr>
                <w:rFonts w:ascii="Times New Roman" w:hAnsi="Times New Roman" w:cs="Times New Roman"/>
                <w:sz w:val="20"/>
                <w:szCs w:val="20"/>
              </w:rPr>
            </w:pPr>
            <w:r w:rsidRPr="004755CB">
              <w:rPr>
                <w:rFonts w:ascii="Times New Roman" w:hAnsi="Times New Roman" w:cs="Times New Roman"/>
                <w:sz w:val="20"/>
                <w:szCs w:val="20"/>
              </w:rPr>
              <w:t>Trenčín</w:t>
            </w:r>
          </w:p>
        </w:tc>
        <w:tc>
          <w:tcPr>
            <w:tcW w:w="293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E270A" w:rsidRPr="004755CB" w:rsidP="00CE270A">
            <w:pPr>
              <w:jc w:val="right"/>
              <w:rPr>
                <w:rFonts w:ascii="Times New Roman" w:hAnsi="Times New Roman" w:cs="Times New Roman"/>
                <w:sz w:val="20"/>
                <w:szCs w:val="20"/>
              </w:rPr>
            </w:pPr>
            <w:r w:rsidRPr="004755CB">
              <w:rPr>
                <w:rFonts w:ascii="Times New Roman" w:hAnsi="Times New Roman" w:cs="Times New Roman"/>
                <w:sz w:val="20"/>
                <w:szCs w:val="20"/>
              </w:rPr>
              <w:t>23 662 285</w:t>
            </w:r>
          </w:p>
        </w:tc>
        <w:tc>
          <w:tcPr>
            <w:tcW w:w="2648"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CE270A" w:rsidRPr="004755CB" w:rsidP="00CE270A">
            <w:pPr>
              <w:jc w:val="right"/>
              <w:rPr>
                <w:rFonts w:ascii="Times New Roman" w:hAnsi="Times New Roman" w:cs="Times New Roman"/>
                <w:sz w:val="20"/>
                <w:szCs w:val="20"/>
              </w:rPr>
            </w:pPr>
            <w:r w:rsidRPr="004755CB">
              <w:rPr>
                <w:rFonts w:ascii="Times New Roman" w:hAnsi="Times New Roman" w:cs="Times New Roman"/>
                <w:sz w:val="20"/>
                <w:szCs w:val="20"/>
              </w:rPr>
              <w:t>562 000</w:t>
            </w:r>
          </w:p>
        </w:tc>
      </w:tr>
      <w:tr>
        <w:tblPrEx>
          <w:tblW w:w="0" w:type="auto"/>
          <w:jc w:val="center"/>
          <w:tblLayout w:type="fixed"/>
          <w:tblCellMar>
            <w:top w:w="0" w:type="dxa"/>
            <w:left w:w="70" w:type="dxa"/>
            <w:bottom w:w="0" w:type="dxa"/>
            <w:right w:w="70" w:type="dxa"/>
          </w:tblCellMar>
        </w:tblPrEx>
        <w:trPr>
          <w:trHeight w:hRule="auto" w:val="0"/>
          <w:jc w:val="center"/>
        </w:trPr>
        <w:tc>
          <w:tcPr>
            <w:tcW w:w="188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E270A" w:rsidRPr="004755CB" w:rsidP="00CE270A">
            <w:pPr>
              <w:pStyle w:val="Header"/>
              <w:tabs>
                <w:tab w:val="clear" w:pos="4536"/>
                <w:tab w:val="clear" w:pos="9072"/>
              </w:tabs>
              <w:rPr>
                <w:rFonts w:ascii="Times New Roman" w:hAnsi="Times New Roman" w:cs="Times New Roman"/>
                <w:sz w:val="20"/>
                <w:szCs w:val="20"/>
              </w:rPr>
            </w:pPr>
            <w:r w:rsidRPr="004755CB">
              <w:rPr>
                <w:rFonts w:ascii="Times New Roman" w:hAnsi="Times New Roman" w:cs="Times New Roman"/>
                <w:sz w:val="20"/>
                <w:szCs w:val="20"/>
              </w:rPr>
              <w:t xml:space="preserve">Trnava </w:t>
            </w:r>
          </w:p>
        </w:tc>
        <w:tc>
          <w:tcPr>
            <w:tcW w:w="293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E270A" w:rsidRPr="004755CB" w:rsidP="00CE270A">
            <w:pPr>
              <w:jc w:val="right"/>
              <w:rPr>
                <w:rFonts w:ascii="Times New Roman" w:hAnsi="Times New Roman" w:cs="Times New Roman"/>
                <w:sz w:val="20"/>
                <w:szCs w:val="20"/>
              </w:rPr>
            </w:pPr>
            <w:r w:rsidRPr="004755CB">
              <w:rPr>
                <w:rFonts w:ascii="Times New Roman" w:hAnsi="Times New Roman" w:cs="Times New Roman"/>
                <w:sz w:val="20"/>
                <w:szCs w:val="20"/>
              </w:rPr>
              <w:t>131 960 703</w:t>
            </w:r>
          </w:p>
        </w:tc>
        <w:tc>
          <w:tcPr>
            <w:tcW w:w="2648"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CE270A" w:rsidRPr="004755CB" w:rsidP="00CE270A">
            <w:pPr>
              <w:jc w:val="right"/>
              <w:rPr>
                <w:rFonts w:ascii="Times New Roman" w:hAnsi="Times New Roman" w:cs="Times New Roman"/>
                <w:sz w:val="20"/>
                <w:szCs w:val="20"/>
              </w:rPr>
            </w:pPr>
            <w:r w:rsidRPr="004755CB">
              <w:rPr>
                <w:rFonts w:ascii="Times New Roman" w:hAnsi="Times New Roman" w:cs="Times New Roman"/>
                <w:sz w:val="20"/>
                <w:szCs w:val="20"/>
              </w:rPr>
              <w:t>132 507</w:t>
            </w:r>
          </w:p>
        </w:tc>
      </w:tr>
      <w:tr>
        <w:tblPrEx>
          <w:tblW w:w="0" w:type="auto"/>
          <w:jc w:val="center"/>
          <w:tblLayout w:type="fixed"/>
          <w:tblCellMar>
            <w:top w:w="0" w:type="dxa"/>
            <w:left w:w="70" w:type="dxa"/>
            <w:bottom w:w="0" w:type="dxa"/>
            <w:right w:w="70" w:type="dxa"/>
          </w:tblCellMar>
        </w:tblPrEx>
        <w:trPr>
          <w:trHeight w:hRule="auto" w:val="0"/>
          <w:jc w:val="center"/>
        </w:trPr>
        <w:tc>
          <w:tcPr>
            <w:tcW w:w="1888" w:type="dxa"/>
            <w:tcBorders>
              <w:top w:val="single" w:sz="4" w:space="0" w:color="auto"/>
              <w:left w:val="single" w:sz="8" w:space="0" w:color="auto"/>
              <w:bottom w:val="single" w:sz="4" w:space="0" w:color="auto"/>
              <w:right w:val="single" w:sz="4" w:space="0" w:color="auto"/>
              <w:tl2br w:val="nil"/>
              <w:tr2bl w:val="nil"/>
            </w:tcBorders>
            <w:textDirection w:val="lrTb"/>
            <w:vAlign w:val="top"/>
          </w:tcPr>
          <w:p w:rsidR="00CE270A" w:rsidRPr="004755CB" w:rsidP="00CE270A">
            <w:pPr>
              <w:pStyle w:val="Header"/>
              <w:tabs>
                <w:tab w:val="clear" w:pos="4536"/>
                <w:tab w:val="clear" w:pos="9072"/>
              </w:tabs>
              <w:rPr>
                <w:rFonts w:ascii="Times New Roman" w:hAnsi="Times New Roman" w:cs="Times New Roman"/>
                <w:sz w:val="20"/>
                <w:szCs w:val="20"/>
              </w:rPr>
            </w:pPr>
            <w:r w:rsidRPr="004755CB">
              <w:rPr>
                <w:rFonts w:ascii="Times New Roman" w:hAnsi="Times New Roman" w:cs="Times New Roman"/>
                <w:sz w:val="20"/>
                <w:szCs w:val="20"/>
              </w:rPr>
              <w:t>Žilina</w:t>
            </w:r>
          </w:p>
        </w:tc>
        <w:tc>
          <w:tcPr>
            <w:tcW w:w="293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E270A" w:rsidRPr="004755CB" w:rsidP="00CE270A">
            <w:pPr>
              <w:jc w:val="right"/>
              <w:rPr>
                <w:rFonts w:ascii="Times New Roman" w:hAnsi="Times New Roman" w:cs="Times New Roman"/>
                <w:sz w:val="20"/>
                <w:szCs w:val="20"/>
              </w:rPr>
            </w:pPr>
            <w:r w:rsidRPr="004755CB">
              <w:rPr>
                <w:rFonts w:ascii="Times New Roman" w:hAnsi="Times New Roman" w:cs="Times New Roman"/>
                <w:sz w:val="20"/>
                <w:szCs w:val="20"/>
              </w:rPr>
              <w:t>31 142 279</w:t>
            </w:r>
          </w:p>
        </w:tc>
        <w:tc>
          <w:tcPr>
            <w:tcW w:w="2648"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CE270A" w:rsidRPr="004755CB" w:rsidP="00CE270A">
            <w:pPr>
              <w:jc w:val="right"/>
              <w:rPr>
                <w:rFonts w:ascii="Times New Roman" w:hAnsi="Times New Roman" w:cs="Times New Roman"/>
                <w:sz w:val="20"/>
                <w:szCs w:val="20"/>
              </w:rPr>
            </w:pPr>
            <w:r w:rsidRPr="004755CB">
              <w:rPr>
                <w:rFonts w:ascii="Times New Roman" w:hAnsi="Times New Roman" w:cs="Times New Roman"/>
                <w:sz w:val="20"/>
                <w:szCs w:val="20"/>
              </w:rPr>
              <w:t>404 801</w:t>
            </w:r>
          </w:p>
        </w:tc>
      </w:tr>
      <w:tr>
        <w:tblPrEx>
          <w:tblW w:w="0" w:type="auto"/>
          <w:jc w:val="center"/>
          <w:tblLayout w:type="fixed"/>
          <w:tblCellMar>
            <w:top w:w="0" w:type="dxa"/>
            <w:left w:w="70" w:type="dxa"/>
            <w:bottom w:w="0" w:type="dxa"/>
            <w:right w:w="70" w:type="dxa"/>
          </w:tblCellMar>
        </w:tblPrEx>
        <w:trPr>
          <w:trHeight w:val="184"/>
          <w:jc w:val="center"/>
        </w:trPr>
        <w:tc>
          <w:tcPr>
            <w:tcW w:w="1888" w:type="dxa"/>
            <w:tcBorders>
              <w:top w:val="single" w:sz="4" w:space="0" w:color="auto"/>
              <w:left w:val="single" w:sz="8" w:space="0" w:color="auto"/>
              <w:bottom w:val="double" w:sz="6" w:space="0" w:color="auto"/>
              <w:right w:val="single" w:sz="4" w:space="0" w:color="auto"/>
              <w:tl2br w:val="nil"/>
              <w:tr2bl w:val="nil"/>
            </w:tcBorders>
            <w:textDirection w:val="lrTb"/>
            <w:vAlign w:val="center"/>
          </w:tcPr>
          <w:p w:rsidR="00CE270A" w:rsidRPr="004755CB" w:rsidP="00CE270A">
            <w:pPr>
              <w:pStyle w:val="Header"/>
              <w:tabs>
                <w:tab w:val="clear" w:pos="4536"/>
                <w:tab w:val="clear" w:pos="9072"/>
              </w:tabs>
              <w:rPr>
                <w:rFonts w:ascii="Times New Roman" w:hAnsi="Times New Roman" w:cs="Times New Roman"/>
                <w:b/>
                <w:sz w:val="20"/>
                <w:szCs w:val="20"/>
              </w:rPr>
            </w:pPr>
            <w:r w:rsidRPr="004755CB">
              <w:rPr>
                <w:rFonts w:ascii="Times New Roman" w:hAnsi="Times New Roman" w:cs="Times New Roman"/>
                <w:b/>
                <w:sz w:val="20"/>
                <w:szCs w:val="20"/>
              </w:rPr>
              <w:t>Spolu</w:t>
            </w:r>
          </w:p>
        </w:tc>
        <w:tc>
          <w:tcPr>
            <w:tcW w:w="2932"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CE270A" w:rsidRPr="004755CB" w:rsidP="00CE270A">
            <w:pPr>
              <w:jc w:val="right"/>
              <w:rPr>
                <w:rFonts w:ascii="Times New Roman" w:hAnsi="Times New Roman" w:cs="Times New Roman"/>
                <w:b/>
                <w:sz w:val="20"/>
                <w:szCs w:val="20"/>
              </w:rPr>
            </w:pPr>
            <w:r w:rsidRPr="004755CB">
              <w:rPr>
                <w:rFonts w:ascii="Times New Roman" w:hAnsi="Times New Roman" w:cs="Times New Roman"/>
                <w:b/>
                <w:sz w:val="20"/>
                <w:szCs w:val="20"/>
              </w:rPr>
              <w:t>1 105 970 867</w:t>
            </w:r>
          </w:p>
        </w:tc>
        <w:tc>
          <w:tcPr>
            <w:tcW w:w="2648" w:type="dxa"/>
            <w:tcBorders>
              <w:top w:val="single" w:sz="4" w:space="0" w:color="auto"/>
              <w:left w:val="single" w:sz="4" w:space="0" w:color="auto"/>
              <w:bottom w:val="double" w:sz="6" w:space="0" w:color="auto"/>
              <w:right w:val="single" w:sz="8" w:space="0" w:color="auto"/>
              <w:tl2br w:val="nil"/>
              <w:tr2bl w:val="nil"/>
            </w:tcBorders>
            <w:textDirection w:val="lrTb"/>
            <w:vAlign w:val="center"/>
          </w:tcPr>
          <w:p w:rsidR="00CE270A" w:rsidRPr="004755CB" w:rsidP="00CE270A">
            <w:pPr>
              <w:jc w:val="right"/>
              <w:rPr>
                <w:rFonts w:ascii="Times New Roman" w:hAnsi="Times New Roman" w:cs="Times New Roman"/>
                <w:b/>
                <w:sz w:val="20"/>
                <w:szCs w:val="20"/>
              </w:rPr>
            </w:pPr>
            <w:r w:rsidRPr="004755CB">
              <w:rPr>
                <w:rFonts w:ascii="Times New Roman" w:hAnsi="Times New Roman" w:cs="Times New Roman"/>
                <w:b/>
                <w:sz w:val="20"/>
                <w:szCs w:val="20"/>
              </w:rPr>
              <w:t>219 026 040</w:t>
            </w:r>
          </w:p>
        </w:tc>
      </w:tr>
    </w:tbl>
    <w:p w:rsidR="00CE270A" w:rsidP="00CE270A">
      <w:pPr>
        <w:spacing w:before="120" w:after="120"/>
        <w:rPr>
          <w:rFonts w:ascii="Times New Roman" w:hAnsi="Times New Roman" w:cs="Times New Roman"/>
          <w:sz w:val="20"/>
          <w:szCs w:val="20"/>
        </w:rPr>
      </w:pPr>
      <w:r w:rsidR="004755CB">
        <w:rPr>
          <w:rFonts w:ascii="Times New Roman" w:hAnsi="Times New Roman" w:cs="Times New Roman"/>
          <w:sz w:val="20"/>
          <w:szCs w:val="20"/>
        </w:rPr>
        <w:t xml:space="preserve">                 </w:t>
      </w:r>
      <w:r w:rsidRPr="002A2F25">
        <w:rPr>
          <w:rFonts w:ascii="Times New Roman" w:hAnsi="Times New Roman" w:cs="Times New Roman"/>
          <w:sz w:val="20"/>
          <w:szCs w:val="20"/>
        </w:rPr>
        <w:t>Zdroj: Colné riaditeľstvo SR</w:t>
      </w:r>
    </w:p>
    <w:p w:rsidR="004755CB" w:rsidRPr="002A2F25" w:rsidP="00CE270A">
      <w:pPr>
        <w:spacing w:before="120" w:after="120"/>
        <w:rPr>
          <w:rFonts w:ascii="Times New Roman" w:hAnsi="Times New Roman" w:cs="Times New Roman"/>
          <w:sz w:val="20"/>
          <w:szCs w:val="20"/>
        </w:rPr>
      </w:pPr>
    </w:p>
    <w:p w:rsidR="00E75695" w:rsidRPr="00AE0B89" w:rsidP="00E75695">
      <w:pPr>
        <w:jc w:val="center"/>
        <w:rPr>
          <w:rFonts w:ascii="Times New Roman" w:hAnsi="Times New Roman" w:cs="Times New Roman"/>
          <w:b/>
          <w:bCs/>
        </w:rPr>
      </w:pPr>
      <w:r w:rsidR="00644DA1">
        <w:rPr>
          <w:rFonts w:ascii="Times New Roman" w:hAnsi="Times New Roman" w:cs="Times New Roman"/>
          <w:b/>
          <w:bCs/>
        </w:rPr>
        <w:t>7</w:t>
      </w:r>
      <w:r w:rsidRPr="00AE0B89">
        <w:rPr>
          <w:rFonts w:ascii="Times New Roman" w:hAnsi="Times New Roman" w:cs="Times New Roman"/>
          <w:b/>
          <w:bCs/>
        </w:rPr>
        <w:t>. Súhrnná správa</w:t>
      </w:r>
    </w:p>
    <w:p w:rsidR="00E75695" w:rsidRPr="00AE0B89" w:rsidP="00E75695">
      <w:pPr>
        <w:jc w:val="center"/>
        <w:rPr>
          <w:rFonts w:ascii="Times New Roman" w:hAnsi="Times New Roman" w:cs="Times New Roman"/>
          <w:b/>
          <w:bCs/>
        </w:rPr>
      </w:pPr>
      <w:r w:rsidRPr="00AE0B89">
        <w:rPr>
          <w:rFonts w:ascii="Times New Roman" w:hAnsi="Times New Roman" w:cs="Times New Roman"/>
          <w:b/>
          <w:bCs/>
        </w:rPr>
        <w:t xml:space="preserve"> o výsledkoch následnej finančnej kontroly a vnútorného auditu za rok 2006</w:t>
      </w:r>
    </w:p>
    <w:p w:rsidR="00E75695" w:rsidRPr="007C4CC1" w:rsidP="00E75695">
      <w:pPr>
        <w:rPr>
          <w:rFonts w:ascii="Times New Roman" w:hAnsi="Times New Roman" w:cs="Times New Roman"/>
        </w:rPr>
      </w:pPr>
    </w:p>
    <w:p w:rsidR="00E75695" w:rsidRPr="003262B2" w:rsidP="00E75695">
      <w:pPr>
        <w:spacing w:line="360" w:lineRule="auto"/>
        <w:jc w:val="both"/>
        <w:rPr>
          <w:rFonts w:ascii="Times New Roman" w:hAnsi="Times New Roman" w:cs="Times New Roman"/>
        </w:rPr>
      </w:pPr>
      <w:r w:rsidRPr="003262B2">
        <w:rPr>
          <w:rFonts w:ascii="Times New Roman" w:hAnsi="Times New Roman" w:cs="Times New Roman"/>
        </w:rPr>
        <w:t xml:space="preserve">        </w:t>
        <w:tab/>
      </w:r>
      <w:r>
        <w:rPr>
          <w:rFonts w:ascii="Times New Roman" w:hAnsi="Times New Roman" w:cs="Times New Roman"/>
        </w:rPr>
        <w:t xml:space="preserve">Podľa </w:t>
      </w:r>
      <w:r w:rsidRPr="003262B2">
        <w:rPr>
          <w:rFonts w:ascii="Times New Roman" w:hAnsi="Times New Roman" w:cs="Times New Roman"/>
        </w:rPr>
        <w:t xml:space="preserve">§ 29 ods. 2 písm. i) zákona č. 523/2004 Z. z. o rozpočtových pravidlách verejnej správy a o zmene a doplnení niektorých zákonov </w:t>
      </w:r>
      <w:r>
        <w:rPr>
          <w:rFonts w:ascii="Times New Roman" w:hAnsi="Times New Roman" w:cs="Times New Roman"/>
        </w:rPr>
        <w:t>súčasťou záverečného účtu verejnej správy je aj súhrnná správa o výsledkoch finančnej kontroly a vnútorného auditu.</w:t>
      </w:r>
    </w:p>
    <w:p w:rsidR="00E75695" w:rsidP="00E75695">
      <w:pPr>
        <w:jc w:val="center"/>
        <w:rPr>
          <w:rFonts w:ascii="Times New Roman" w:hAnsi="Times New Roman" w:cs="Times New Roman"/>
          <w:b/>
        </w:rPr>
      </w:pPr>
    </w:p>
    <w:p w:rsidR="00E75695" w:rsidRPr="003262B2" w:rsidP="00E75695">
      <w:pPr>
        <w:jc w:val="center"/>
        <w:rPr>
          <w:rFonts w:ascii="Times New Roman" w:hAnsi="Times New Roman" w:cs="Times New Roman"/>
          <w:b/>
        </w:rPr>
      </w:pPr>
      <w:r w:rsidR="00644DA1">
        <w:rPr>
          <w:rFonts w:ascii="Times New Roman" w:hAnsi="Times New Roman" w:cs="Times New Roman"/>
          <w:b/>
        </w:rPr>
        <w:t>7</w:t>
      </w:r>
      <w:r>
        <w:rPr>
          <w:rFonts w:ascii="Times New Roman" w:hAnsi="Times New Roman" w:cs="Times New Roman"/>
          <w:b/>
        </w:rPr>
        <w:t>.1. Nás</w:t>
      </w:r>
      <w:r w:rsidRPr="003262B2">
        <w:rPr>
          <w:rFonts w:ascii="Times New Roman" w:hAnsi="Times New Roman" w:cs="Times New Roman"/>
          <w:b/>
        </w:rPr>
        <w:t>ledná finančná kontrola verejných prostriedkov</w:t>
      </w:r>
    </w:p>
    <w:p w:rsidR="00E75695" w:rsidRPr="003262B2" w:rsidP="00E75695">
      <w:pPr>
        <w:jc w:val="center"/>
        <w:rPr>
          <w:rFonts w:ascii="Times New Roman" w:hAnsi="Times New Roman" w:cs="Times New Roman"/>
          <w:caps/>
        </w:rPr>
      </w:pPr>
    </w:p>
    <w:p w:rsidR="00E75695" w:rsidRPr="00A7631D" w:rsidP="00E75695">
      <w:pPr>
        <w:spacing w:line="360" w:lineRule="auto"/>
        <w:ind w:firstLine="708"/>
        <w:jc w:val="both"/>
        <w:rPr>
          <w:rFonts w:ascii="Times New Roman" w:hAnsi="Times New Roman" w:cs="Times New Roman"/>
        </w:rPr>
      </w:pPr>
      <w:r w:rsidRPr="00A7631D">
        <w:rPr>
          <w:rFonts w:ascii="Times New Roman" w:hAnsi="Times New Roman" w:cs="Times New Roman"/>
        </w:rPr>
        <w:t>V roku 2006 vykonali kontrolné orgány (ústredné orgány, ktoré sú správcami rozpočtovej kapitoly a správy finančnej kontroly Bratislava, Zvolen a Košice) celkom 2</w:t>
      </w:r>
      <w:r>
        <w:rPr>
          <w:rFonts w:ascii="Times New Roman" w:hAnsi="Times New Roman" w:cs="Times New Roman"/>
        </w:rPr>
        <w:t xml:space="preserve"> </w:t>
      </w:r>
      <w:r w:rsidRPr="00A7631D">
        <w:rPr>
          <w:rFonts w:ascii="Times New Roman" w:hAnsi="Times New Roman" w:cs="Times New Roman"/>
        </w:rPr>
        <w:t>048 následných finančných kontrol verejných prostriedkov, z toho 1</w:t>
      </w:r>
      <w:r>
        <w:rPr>
          <w:rFonts w:ascii="Times New Roman" w:hAnsi="Times New Roman" w:cs="Times New Roman"/>
        </w:rPr>
        <w:t xml:space="preserve"> </w:t>
      </w:r>
      <w:r w:rsidRPr="00A7631D">
        <w:rPr>
          <w:rFonts w:ascii="Times New Roman" w:hAnsi="Times New Roman" w:cs="Times New Roman"/>
        </w:rPr>
        <w:t>600 kontrol bolo zameraných na prostriedky štátneho rozpočtu SR, 439 kontrol na prostriedky E</w:t>
      </w:r>
      <w:r>
        <w:rPr>
          <w:rFonts w:ascii="Times New Roman" w:hAnsi="Times New Roman" w:cs="Times New Roman"/>
        </w:rPr>
        <w:t>urópskej únie</w:t>
      </w:r>
      <w:r w:rsidRPr="00A7631D">
        <w:rPr>
          <w:rFonts w:ascii="Times New Roman" w:hAnsi="Times New Roman" w:cs="Times New Roman"/>
        </w:rPr>
        <w:t xml:space="preserve"> a 9 kontrol na iné zdroje zo zahraničia. Celková suma kontrolovaných verejných prostriedkov bola 54</w:t>
      </w:r>
      <w:r>
        <w:rPr>
          <w:rFonts w:ascii="Times New Roman" w:hAnsi="Times New Roman" w:cs="Times New Roman"/>
        </w:rPr>
        <w:t> </w:t>
      </w:r>
      <w:r w:rsidRPr="00A7631D">
        <w:rPr>
          <w:rFonts w:ascii="Times New Roman" w:hAnsi="Times New Roman" w:cs="Times New Roman"/>
        </w:rPr>
        <w:t>896</w:t>
      </w:r>
      <w:r>
        <w:rPr>
          <w:rFonts w:ascii="Times New Roman" w:hAnsi="Times New Roman" w:cs="Times New Roman"/>
        </w:rPr>
        <w:t>,</w:t>
      </w:r>
      <w:r w:rsidRPr="00A7631D">
        <w:rPr>
          <w:rFonts w:ascii="Times New Roman" w:hAnsi="Times New Roman" w:cs="Times New Roman"/>
        </w:rPr>
        <w:t xml:space="preserve">4 </w:t>
      </w:r>
      <w:r>
        <w:rPr>
          <w:rFonts w:ascii="Times New Roman" w:hAnsi="Times New Roman" w:cs="Times New Roman"/>
        </w:rPr>
        <w:t>mil</w:t>
      </w:r>
      <w:r w:rsidRPr="00A7631D">
        <w:rPr>
          <w:rFonts w:ascii="Times New Roman" w:hAnsi="Times New Roman" w:cs="Times New Roman"/>
        </w:rPr>
        <w:t xml:space="preserve">. Sk, z toho prostriedky štátneho rozpočtu SR </w:t>
      </w:r>
      <w:r>
        <w:rPr>
          <w:rFonts w:ascii="Times New Roman" w:hAnsi="Times New Roman" w:cs="Times New Roman"/>
        </w:rPr>
        <w:t>predstavovali</w:t>
      </w:r>
      <w:r w:rsidRPr="00A7631D">
        <w:rPr>
          <w:rFonts w:ascii="Times New Roman" w:hAnsi="Times New Roman" w:cs="Times New Roman"/>
        </w:rPr>
        <w:t xml:space="preserve"> 38</w:t>
      </w:r>
      <w:r>
        <w:rPr>
          <w:rFonts w:ascii="Times New Roman" w:hAnsi="Times New Roman" w:cs="Times New Roman"/>
        </w:rPr>
        <w:t> </w:t>
      </w:r>
      <w:r w:rsidRPr="00A7631D">
        <w:rPr>
          <w:rFonts w:ascii="Times New Roman" w:hAnsi="Times New Roman" w:cs="Times New Roman"/>
        </w:rPr>
        <w:t>955</w:t>
      </w:r>
      <w:r>
        <w:rPr>
          <w:rFonts w:ascii="Times New Roman" w:hAnsi="Times New Roman" w:cs="Times New Roman"/>
        </w:rPr>
        <w:t>,7</w:t>
      </w:r>
      <w:r w:rsidRPr="00A7631D">
        <w:rPr>
          <w:rFonts w:ascii="Times New Roman" w:hAnsi="Times New Roman" w:cs="Times New Roman"/>
        </w:rPr>
        <w:t xml:space="preserve"> </w:t>
      </w:r>
      <w:r>
        <w:rPr>
          <w:rFonts w:ascii="Times New Roman" w:hAnsi="Times New Roman" w:cs="Times New Roman"/>
        </w:rPr>
        <w:t>mil</w:t>
      </w:r>
      <w:r w:rsidRPr="00A7631D">
        <w:rPr>
          <w:rFonts w:ascii="Times New Roman" w:hAnsi="Times New Roman" w:cs="Times New Roman"/>
        </w:rPr>
        <w:t>. Sk, prostriedky EÚ 15</w:t>
      </w:r>
      <w:r>
        <w:rPr>
          <w:rFonts w:ascii="Times New Roman" w:hAnsi="Times New Roman" w:cs="Times New Roman"/>
        </w:rPr>
        <w:t> </w:t>
      </w:r>
      <w:r w:rsidRPr="00A7631D">
        <w:rPr>
          <w:rFonts w:ascii="Times New Roman" w:hAnsi="Times New Roman" w:cs="Times New Roman"/>
        </w:rPr>
        <w:t>926</w:t>
      </w:r>
      <w:r>
        <w:rPr>
          <w:rFonts w:ascii="Times New Roman" w:hAnsi="Times New Roman" w:cs="Times New Roman"/>
        </w:rPr>
        <w:t>,9</w:t>
      </w:r>
      <w:r w:rsidRPr="00A7631D">
        <w:rPr>
          <w:rFonts w:ascii="Times New Roman" w:hAnsi="Times New Roman" w:cs="Times New Roman"/>
        </w:rPr>
        <w:t> </w:t>
      </w:r>
      <w:r>
        <w:rPr>
          <w:rFonts w:ascii="Times New Roman" w:hAnsi="Times New Roman" w:cs="Times New Roman"/>
        </w:rPr>
        <w:t>mil</w:t>
      </w:r>
      <w:r w:rsidRPr="00A7631D">
        <w:rPr>
          <w:rFonts w:ascii="Times New Roman" w:hAnsi="Times New Roman" w:cs="Times New Roman"/>
        </w:rPr>
        <w:t>. Sk a iné zdroje zo zahraničia 13</w:t>
      </w:r>
      <w:r>
        <w:rPr>
          <w:rFonts w:ascii="Times New Roman" w:hAnsi="Times New Roman" w:cs="Times New Roman"/>
        </w:rPr>
        <w:t>,</w:t>
      </w:r>
      <w:r w:rsidRPr="00A7631D">
        <w:rPr>
          <w:rFonts w:ascii="Times New Roman" w:hAnsi="Times New Roman" w:cs="Times New Roman"/>
        </w:rPr>
        <w:t xml:space="preserve">8 </w:t>
      </w:r>
      <w:r>
        <w:rPr>
          <w:rFonts w:ascii="Times New Roman" w:hAnsi="Times New Roman" w:cs="Times New Roman"/>
        </w:rPr>
        <w:t>mil.</w:t>
      </w:r>
      <w:r w:rsidRPr="00A7631D">
        <w:rPr>
          <w:rFonts w:ascii="Times New Roman" w:hAnsi="Times New Roman" w:cs="Times New Roman"/>
        </w:rPr>
        <w:t xml:space="preserve"> Sk. </w:t>
      </w:r>
    </w:p>
    <w:p w:rsidR="00E75695" w:rsidRPr="006525F1" w:rsidP="00E75695">
      <w:pPr>
        <w:spacing w:line="360" w:lineRule="auto"/>
        <w:ind w:firstLine="708"/>
        <w:jc w:val="both"/>
        <w:rPr>
          <w:rFonts w:ascii="Times New Roman" w:hAnsi="Times New Roman" w:cs="Times New Roman"/>
        </w:rPr>
      </w:pPr>
      <w:r>
        <w:rPr>
          <w:rFonts w:ascii="Times New Roman" w:hAnsi="Times New Roman" w:cs="Times New Roman"/>
        </w:rPr>
        <w:t>Súhrnný</w:t>
      </w:r>
      <w:r w:rsidRPr="006525F1">
        <w:rPr>
          <w:rFonts w:ascii="Times New Roman" w:hAnsi="Times New Roman" w:cs="Times New Roman"/>
        </w:rPr>
        <w:t xml:space="preserve"> prehľad o počte následných finančných kontrol a objeme skontrolovaných prostriedkov podľa jednotlivých orgánov verejnej správy</w:t>
      </w:r>
      <w:r>
        <w:rPr>
          <w:rFonts w:ascii="Times New Roman" w:hAnsi="Times New Roman" w:cs="Times New Roman"/>
        </w:rPr>
        <w:t xml:space="preserve"> poskytujú nasledovné údaje</w:t>
      </w:r>
      <w:r w:rsidRPr="006525F1">
        <w:rPr>
          <w:rFonts w:ascii="Times New Roman" w:hAnsi="Times New Roman" w:cs="Times New Roman"/>
        </w:rPr>
        <w:t>:</w:t>
      </w:r>
    </w:p>
    <w:p w:rsidR="00E75695" w:rsidP="00E75695">
      <w:pPr>
        <w:jc w:val="both"/>
        <w:rPr>
          <w:rFonts w:ascii="Times New Roman" w:hAnsi="Times New Roman" w:cs="Times New Roman"/>
          <w:b/>
          <w:u w:val="single"/>
        </w:rPr>
      </w:pPr>
    </w:p>
    <w:tbl>
      <w:tblPr>
        <w:tblW w:w="10286" w:type="dxa"/>
        <w:jc w:val="center"/>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CellMar>
          <w:top w:w="0" w:type="dxa"/>
          <w:left w:w="70" w:type="dxa"/>
          <w:bottom w:w="0" w:type="dxa"/>
          <w:right w:w="70" w:type="dxa"/>
        </w:tblCellMar>
      </w:tblPr>
      <w:tblGrid>
        <w:gridCol w:w="1327"/>
        <w:gridCol w:w="958"/>
        <w:gridCol w:w="1143"/>
        <w:gridCol w:w="1143"/>
        <w:gridCol w:w="1143"/>
        <w:gridCol w:w="1143"/>
        <w:gridCol w:w="1143"/>
        <w:gridCol w:w="1143"/>
        <w:gridCol w:w="1143"/>
      </w:tblGrid>
      <w:tr>
        <w:tblPrEx>
          <w:tblW w:w="10286" w:type="dxa"/>
          <w:jc w:val="center"/>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Layout w:type="fixed"/>
          <w:tblCellMar>
            <w:top w:w="0" w:type="dxa"/>
            <w:left w:w="70" w:type="dxa"/>
            <w:bottom w:w="0" w:type="dxa"/>
            <w:right w:w="70" w:type="dxa"/>
          </w:tblCellMar>
        </w:tblPrEx>
        <w:trPr>
          <w:trHeight w:val="367"/>
          <w:jc w:val="center"/>
        </w:trPr>
        <w:tc>
          <w:tcPr>
            <w:tcW w:w="1327"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E75695" w:rsidRPr="00115D36" w:rsidP="00E75695">
            <w:pPr>
              <w:jc w:val="center"/>
              <w:rPr>
                <w:rFonts w:ascii="Times New Roman" w:hAnsi="Times New Roman" w:cs="Times New Roman"/>
                <w:b/>
                <w:sz w:val="16"/>
                <w:szCs w:val="16"/>
              </w:rPr>
            </w:pPr>
            <w:r w:rsidRPr="00115D36">
              <w:rPr>
                <w:rFonts w:ascii="Times New Roman" w:hAnsi="Times New Roman" w:cs="Times New Roman"/>
                <w:b/>
                <w:sz w:val="16"/>
                <w:szCs w:val="16"/>
              </w:rPr>
              <w:t>Orgán verejnej správy</w:t>
            </w:r>
          </w:p>
        </w:tc>
        <w:tc>
          <w:tcPr>
            <w:tcW w:w="958"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E75695" w:rsidRPr="00115D36" w:rsidP="00E75695">
            <w:pPr>
              <w:jc w:val="center"/>
              <w:rPr>
                <w:rFonts w:ascii="Times New Roman" w:hAnsi="Times New Roman" w:cs="Times New Roman"/>
                <w:b/>
                <w:sz w:val="16"/>
                <w:szCs w:val="16"/>
              </w:rPr>
            </w:pPr>
            <w:r w:rsidRPr="00115D36">
              <w:rPr>
                <w:rFonts w:ascii="Times New Roman" w:hAnsi="Times New Roman" w:cs="Times New Roman"/>
                <w:b/>
                <w:sz w:val="16"/>
                <w:szCs w:val="16"/>
              </w:rPr>
              <w:t>Celkový počet následných finančných kontrol verejných prostriedkov</w:t>
            </w:r>
          </w:p>
        </w:tc>
        <w:tc>
          <w:tcPr>
            <w:tcW w:w="1143"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b/>
                <w:sz w:val="16"/>
                <w:szCs w:val="16"/>
              </w:rPr>
            </w:pPr>
            <w:r w:rsidRPr="0094429A">
              <w:rPr>
                <w:rFonts w:ascii="Times New Roman" w:hAnsi="Times New Roman" w:cs="Times New Roman"/>
                <w:b/>
                <w:sz w:val="16"/>
                <w:szCs w:val="16"/>
              </w:rPr>
              <w:t>Počet následných finančných kontrol prostriedkov ŠR SR</w:t>
            </w:r>
          </w:p>
        </w:tc>
        <w:tc>
          <w:tcPr>
            <w:tcW w:w="1143" w:type="dxa"/>
            <w:tcBorders>
              <w:top w:val="single" w:sz="8"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b/>
                <w:sz w:val="16"/>
                <w:szCs w:val="16"/>
              </w:rPr>
            </w:pPr>
            <w:r w:rsidRPr="0094429A">
              <w:rPr>
                <w:rFonts w:ascii="Times New Roman" w:hAnsi="Times New Roman" w:cs="Times New Roman"/>
                <w:b/>
                <w:sz w:val="16"/>
                <w:szCs w:val="16"/>
              </w:rPr>
              <w:t>Počet následných finančných kontrol prostriedkov EÚ</w:t>
            </w:r>
          </w:p>
        </w:tc>
        <w:tc>
          <w:tcPr>
            <w:tcW w:w="1143" w:type="dxa"/>
            <w:tcBorders>
              <w:top w:val="single" w:sz="8" w:space="0" w:color="auto"/>
              <w:left w:val="single" w:sz="4" w:space="0" w:color="auto"/>
              <w:bottom w:val="single" w:sz="4" w:space="0" w:color="auto"/>
              <w:right w:val="single" w:sz="4" w:space="0" w:color="auto"/>
              <w:tl2br w:val="nil"/>
              <w:tr2bl w:val="nil"/>
            </w:tcBorders>
            <w:textDirection w:val="lrTb"/>
            <w:vAlign w:val="top"/>
          </w:tcPr>
          <w:p w:rsidR="00E75695" w:rsidRPr="0094429A" w:rsidP="00E75695">
            <w:pPr>
              <w:jc w:val="center"/>
              <w:rPr>
                <w:rFonts w:ascii="Times New Roman" w:hAnsi="Times New Roman" w:cs="Times New Roman"/>
                <w:b/>
                <w:sz w:val="16"/>
                <w:szCs w:val="16"/>
              </w:rPr>
            </w:pPr>
            <w:r>
              <w:rPr>
                <w:rFonts w:ascii="Times New Roman" w:hAnsi="Times New Roman" w:cs="Times New Roman"/>
                <w:b/>
                <w:sz w:val="16"/>
                <w:szCs w:val="16"/>
              </w:rPr>
              <w:t>Počet následných finančných kontrol iných zdrojov zo zahraničia</w:t>
            </w:r>
          </w:p>
        </w:tc>
        <w:tc>
          <w:tcPr>
            <w:tcW w:w="1143" w:type="dxa"/>
            <w:tcBorders>
              <w:top w:val="single" w:sz="8" w:space="0" w:color="auto"/>
              <w:left w:val="single" w:sz="4" w:space="0" w:color="auto"/>
              <w:bottom w:val="single" w:sz="4" w:space="0" w:color="auto"/>
              <w:right w:val="single" w:sz="4" w:space="0" w:color="auto"/>
              <w:tl2br w:val="nil"/>
              <w:tr2bl w:val="nil"/>
            </w:tcBorders>
            <w:textDirection w:val="lrTb"/>
            <w:vAlign w:val="top"/>
          </w:tcPr>
          <w:p w:rsidR="00E75695" w:rsidRPr="0094429A" w:rsidP="00E75695">
            <w:pPr>
              <w:jc w:val="center"/>
              <w:rPr>
                <w:rFonts w:ascii="Times New Roman" w:hAnsi="Times New Roman" w:cs="Times New Roman"/>
                <w:b/>
                <w:sz w:val="16"/>
                <w:szCs w:val="16"/>
              </w:rPr>
            </w:pPr>
            <w:r>
              <w:rPr>
                <w:rFonts w:ascii="Times New Roman" w:hAnsi="Times New Roman" w:cs="Times New Roman"/>
                <w:b/>
                <w:sz w:val="16"/>
                <w:szCs w:val="16"/>
              </w:rPr>
              <w:t>Celková suma odkontrolovaných verejných prostriedkov v tis. Sk</w:t>
            </w:r>
          </w:p>
        </w:tc>
        <w:tc>
          <w:tcPr>
            <w:tcW w:w="1143" w:type="dxa"/>
            <w:tcBorders>
              <w:top w:val="single" w:sz="8" w:space="0" w:color="auto"/>
              <w:left w:val="single" w:sz="4" w:space="0" w:color="auto"/>
              <w:bottom w:val="single" w:sz="4" w:space="0" w:color="auto"/>
              <w:right w:val="single" w:sz="4" w:space="0" w:color="auto"/>
              <w:tl2br w:val="nil"/>
              <w:tr2bl w:val="nil"/>
            </w:tcBorders>
            <w:textDirection w:val="lrTb"/>
            <w:vAlign w:val="top"/>
          </w:tcPr>
          <w:p w:rsidR="00E75695" w:rsidRPr="0094429A" w:rsidP="00E75695">
            <w:pPr>
              <w:jc w:val="center"/>
              <w:rPr>
                <w:rFonts w:ascii="Times New Roman" w:hAnsi="Times New Roman" w:cs="Times New Roman"/>
                <w:b/>
                <w:sz w:val="16"/>
                <w:szCs w:val="16"/>
              </w:rPr>
            </w:pPr>
            <w:r w:rsidRPr="0094429A">
              <w:rPr>
                <w:rFonts w:ascii="Times New Roman" w:hAnsi="Times New Roman" w:cs="Times New Roman"/>
                <w:b/>
                <w:sz w:val="16"/>
                <w:szCs w:val="16"/>
              </w:rPr>
              <w:t>Celková suma odkontrolovaných prostriedkov ŠR SR v</w:t>
            </w:r>
            <w:r>
              <w:rPr>
                <w:rFonts w:ascii="Times New Roman" w:hAnsi="Times New Roman" w:cs="Times New Roman"/>
                <w:b/>
                <w:sz w:val="16"/>
                <w:szCs w:val="16"/>
              </w:rPr>
              <w:t xml:space="preserve"> tis. </w:t>
            </w:r>
            <w:r w:rsidRPr="0094429A">
              <w:rPr>
                <w:rFonts w:ascii="Times New Roman" w:hAnsi="Times New Roman" w:cs="Times New Roman"/>
                <w:b/>
                <w:sz w:val="16"/>
                <w:szCs w:val="16"/>
              </w:rPr>
              <w:t>Sk</w:t>
            </w:r>
          </w:p>
        </w:tc>
        <w:tc>
          <w:tcPr>
            <w:tcW w:w="1143" w:type="dxa"/>
            <w:tcBorders>
              <w:top w:val="single" w:sz="8" w:space="0" w:color="auto"/>
              <w:left w:val="single" w:sz="4" w:space="0" w:color="auto"/>
              <w:bottom w:val="single" w:sz="4" w:space="0" w:color="auto"/>
              <w:right w:val="single" w:sz="4" w:space="0" w:color="auto"/>
              <w:tl2br w:val="nil"/>
              <w:tr2bl w:val="nil"/>
            </w:tcBorders>
            <w:textDirection w:val="lrTb"/>
            <w:vAlign w:val="top"/>
          </w:tcPr>
          <w:p w:rsidR="00E75695" w:rsidRPr="0094429A" w:rsidP="00E75695">
            <w:pPr>
              <w:jc w:val="center"/>
              <w:rPr>
                <w:rFonts w:ascii="Times New Roman" w:hAnsi="Times New Roman" w:cs="Times New Roman"/>
                <w:b/>
                <w:sz w:val="16"/>
                <w:szCs w:val="16"/>
              </w:rPr>
            </w:pPr>
            <w:r w:rsidRPr="0094429A">
              <w:rPr>
                <w:rFonts w:ascii="Times New Roman" w:hAnsi="Times New Roman" w:cs="Times New Roman"/>
                <w:b/>
                <w:sz w:val="16"/>
                <w:szCs w:val="16"/>
              </w:rPr>
              <w:t>Celková suma odkontrolovaných prostriedkov EÚ v</w:t>
            </w:r>
            <w:r>
              <w:rPr>
                <w:rFonts w:ascii="Times New Roman" w:hAnsi="Times New Roman" w:cs="Times New Roman"/>
                <w:b/>
                <w:sz w:val="16"/>
                <w:szCs w:val="16"/>
              </w:rPr>
              <w:t xml:space="preserve"> tis. </w:t>
            </w:r>
            <w:r w:rsidRPr="0094429A">
              <w:rPr>
                <w:rFonts w:ascii="Times New Roman" w:hAnsi="Times New Roman" w:cs="Times New Roman"/>
                <w:b/>
                <w:sz w:val="16"/>
                <w:szCs w:val="16"/>
              </w:rPr>
              <w:t>Sk</w:t>
            </w:r>
          </w:p>
        </w:tc>
        <w:tc>
          <w:tcPr>
            <w:tcW w:w="1143" w:type="dxa"/>
            <w:tcBorders>
              <w:top w:val="single" w:sz="8" w:space="0" w:color="auto"/>
              <w:left w:val="single" w:sz="4" w:space="0" w:color="auto"/>
              <w:bottom w:val="single" w:sz="4" w:space="0" w:color="auto"/>
              <w:right w:val="single" w:sz="8" w:space="0" w:color="auto"/>
              <w:tl2br w:val="nil"/>
              <w:tr2bl w:val="nil"/>
            </w:tcBorders>
            <w:textDirection w:val="lrTb"/>
            <w:vAlign w:val="top"/>
          </w:tcPr>
          <w:p w:rsidR="00E75695" w:rsidRPr="0094429A" w:rsidP="00E75695">
            <w:pPr>
              <w:jc w:val="center"/>
              <w:rPr>
                <w:rFonts w:ascii="Times New Roman" w:hAnsi="Times New Roman" w:cs="Times New Roman"/>
                <w:b/>
                <w:sz w:val="16"/>
                <w:szCs w:val="16"/>
              </w:rPr>
            </w:pPr>
            <w:r>
              <w:rPr>
                <w:rFonts w:ascii="Times New Roman" w:hAnsi="Times New Roman" w:cs="Times New Roman"/>
                <w:b/>
                <w:sz w:val="16"/>
                <w:szCs w:val="16"/>
              </w:rPr>
              <w:t>Celková suma odkontrolovaných  iných zdrojov zo zahraničia v</w:t>
            </w:r>
            <w:r w:rsidR="00C621C0">
              <w:rPr>
                <w:rFonts w:ascii="Times New Roman" w:hAnsi="Times New Roman" w:cs="Times New Roman"/>
                <w:b/>
                <w:sz w:val="16"/>
                <w:szCs w:val="16"/>
              </w:rPr>
              <w:t> </w:t>
            </w:r>
            <w:r>
              <w:rPr>
                <w:rFonts w:ascii="Times New Roman" w:hAnsi="Times New Roman" w:cs="Times New Roman"/>
                <w:b/>
                <w:sz w:val="16"/>
                <w:szCs w:val="16"/>
              </w:rPr>
              <w:t>tis. Sk</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Úrad vlády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8</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6</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2</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54 324</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48 133</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6 191</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Kancelária NR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5</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5</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36 200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both"/>
              <w:rPr>
                <w:rFonts w:ascii="Times New Roman" w:hAnsi="Times New Roman" w:cs="Times New Roman"/>
                <w:sz w:val="16"/>
                <w:szCs w:val="16"/>
              </w:rPr>
            </w:pPr>
            <w:r>
              <w:rPr>
                <w:rFonts w:ascii="Times New Roman" w:hAnsi="Times New Roman" w:cs="Times New Roman"/>
                <w:sz w:val="16"/>
                <w:szCs w:val="16"/>
              </w:rPr>
              <w:t xml:space="preserve">              36 200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Kancelária prezidenta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1</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1</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276</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276</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Ministerstvo financií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77</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35</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42</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17 350 374</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8 205 018</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9 145 356</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Ministerstvo kultúry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12</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12</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298 361</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298 361</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Ministerstvo zdravot</w:t>
            </w:r>
            <w:r>
              <w:rPr>
                <w:rFonts w:ascii="Times New Roman" w:hAnsi="Times New Roman" w:cs="Times New Roman"/>
                <w:sz w:val="16"/>
                <w:szCs w:val="16"/>
              </w:rPr>
              <w:t>.</w:t>
            </w:r>
            <w:r w:rsidRPr="0094429A">
              <w:rPr>
                <w:rFonts w:ascii="Times New Roman" w:hAnsi="Times New Roman" w:cs="Times New Roman"/>
                <w:sz w:val="16"/>
                <w:szCs w:val="16"/>
              </w:rPr>
              <w:t xml:space="preserve">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28</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28</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1 013 096</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1 013 096</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Ministerstvo vnútra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101</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96</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5</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1 054 511</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1 012 529</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41 982</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Ministerstvo dopravy, pôšt a</w:t>
            </w:r>
            <w:r>
              <w:rPr>
                <w:rFonts w:ascii="Times New Roman" w:hAnsi="Times New Roman" w:cs="Times New Roman"/>
                <w:sz w:val="16"/>
                <w:szCs w:val="16"/>
              </w:rPr>
              <w:t> </w:t>
            </w:r>
            <w:r w:rsidRPr="0094429A">
              <w:rPr>
                <w:rFonts w:ascii="Times New Roman" w:hAnsi="Times New Roman" w:cs="Times New Roman"/>
                <w:sz w:val="16"/>
                <w:szCs w:val="16"/>
              </w:rPr>
              <w:t>telekom</w:t>
            </w:r>
            <w:r>
              <w:rPr>
                <w:rFonts w:ascii="Times New Roman" w:hAnsi="Times New Roman" w:cs="Times New Roman"/>
                <w:sz w:val="16"/>
                <w:szCs w:val="16"/>
              </w:rPr>
              <w:t>.</w:t>
            </w:r>
            <w:r w:rsidRPr="0094429A">
              <w:rPr>
                <w:rFonts w:ascii="Times New Roman" w:hAnsi="Times New Roman" w:cs="Times New Roman"/>
                <w:sz w:val="16"/>
                <w:szCs w:val="16"/>
              </w:rPr>
              <w:t xml:space="preserve">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20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16</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4</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2 352 232</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1 181 012</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1 171 220</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Ministerstvo obrany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34</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34</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974 679</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974 679</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Min</w:t>
            </w:r>
            <w:r>
              <w:rPr>
                <w:rFonts w:ascii="Times New Roman" w:hAnsi="Times New Roman" w:cs="Times New Roman"/>
                <w:sz w:val="16"/>
                <w:szCs w:val="16"/>
              </w:rPr>
              <w:t>.</w:t>
            </w:r>
            <w:r w:rsidRPr="0094429A">
              <w:rPr>
                <w:rFonts w:ascii="Times New Roman" w:hAnsi="Times New Roman" w:cs="Times New Roman"/>
                <w:sz w:val="16"/>
                <w:szCs w:val="16"/>
              </w:rPr>
              <w:t xml:space="preserve"> zahr</w:t>
            </w:r>
            <w:r>
              <w:rPr>
                <w:rFonts w:ascii="Times New Roman" w:hAnsi="Times New Roman" w:cs="Times New Roman"/>
                <w:sz w:val="16"/>
                <w:szCs w:val="16"/>
              </w:rPr>
              <w:t>anič- ných</w:t>
            </w:r>
            <w:r w:rsidRPr="0094429A">
              <w:rPr>
                <w:rFonts w:ascii="Times New Roman" w:hAnsi="Times New Roman" w:cs="Times New Roman"/>
                <w:sz w:val="16"/>
                <w:szCs w:val="16"/>
              </w:rPr>
              <w:t xml:space="preserve"> vecí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4</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4</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29 050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29 050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Min</w:t>
            </w:r>
            <w:r>
              <w:rPr>
                <w:rFonts w:ascii="Times New Roman" w:hAnsi="Times New Roman" w:cs="Times New Roman"/>
                <w:sz w:val="16"/>
                <w:szCs w:val="16"/>
              </w:rPr>
              <w:t>.</w:t>
            </w:r>
            <w:r w:rsidRPr="0094429A">
              <w:rPr>
                <w:rFonts w:ascii="Times New Roman" w:hAnsi="Times New Roman" w:cs="Times New Roman"/>
                <w:sz w:val="16"/>
                <w:szCs w:val="16"/>
              </w:rPr>
              <w:t xml:space="preserve"> práce, sociálnych vecí a</w:t>
            </w:r>
            <w:r w:rsidR="00437FA0">
              <w:rPr>
                <w:rFonts w:ascii="Times New Roman" w:hAnsi="Times New Roman" w:cs="Times New Roman"/>
                <w:sz w:val="16"/>
                <w:szCs w:val="16"/>
              </w:rPr>
              <w:t> </w:t>
            </w:r>
            <w:r w:rsidRPr="0094429A">
              <w:rPr>
                <w:rFonts w:ascii="Times New Roman" w:hAnsi="Times New Roman" w:cs="Times New Roman"/>
                <w:sz w:val="16"/>
                <w:szCs w:val="16"/>
              </w:rPr>
              <w:t>rodiny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9</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6</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3</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119 722</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102 514</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17 208</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Min</w:t>
            </w:r>
            <w:r>
              <w:rPr>
                <w:rFonts w:ascii="Times New Roman" w:hAnsi="Times New Roman" w:cs="Times New Roman"/>
                <w:sz w:val="16"/>
                <w:szCs w:val="16"/>
              </w:rPr>
              <w:t>.</w:t>
            </w:r>
            <w:r w:rsidRPr="0094429A">
              <w:rPr>
                <w:rFonts w:ascii="Times New Roman" w:hAnsi="Times New Roman" w:cs="Times New Roman"/>
                <w:sz w:val="16"/>
                <w:szCs w:val="16"/>
              </w:rPr>
              <w:t xml:space="preserve"> výstavby a regionálneho rozvoja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43</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13</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30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467 466</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214 504</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252 962</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Min</w:t>
            </w:r>
            <w:r>
              <w:rPr>
                <w:rFonts w:ascii="Times New Roman" w:hAnsi="Times New Roman" w:cs="Times New Roman"/>
                <w:sz w:val="16"/>
                <w:szCs w:val="16"/>
              </w:rPr>
              <w:t>.</w:t>
            </w:r>
            <w:r w:rsidRPr="0094429A">
              <w:rPr>
                <w:rFonts w:ascii="Times New Roman" w:hAnsi="Times New Roman" w:cs="Times New Roman"/>
                <w:sz w:val="16"/>
                <w:szCs w:val="16"/>
              </w:rPr>
              <w:t xml:space="preserve"> hospod</w:t>
            </w:r>
            <w:r w:rsidR="00C35185">
              <w:rPr>
                <w:rFonts w:ascii="Times New Roman" w:hAnsi="Times New Roman" w:cs="Times New Roman"/>
                <w:sz w:val="16"/>
                <w:szCs w:val="16"/>
              </w:rPr>
              <w:t>árstva</w:t>
            </w:r>
            <w:r w:rsidRPr="0094429A">
              <w:rPr>
                <w:rFonts w:ascii="Times New Roman" w:hAnsi="Times New Roman" w:cs="Times New Roman"/>
                <w:sz w:val="16"/>
                <w:szCs w:val="16"/>
              </w:rPr>
              <w:t xml:space="preserve">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30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20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9</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 xml:space="preserve">  1*</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5 486 072</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5 083 281</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398 194</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4 597</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Min</w:t>
            </w:r>
            <w:r>
              <w:rPr>
                <w:rFonts w:ascii="Times New Roman" w:hAnsi="Times New Roman" w:cs="Times New Roman"/>
                <w:sz w:val="16"/>
                <w:szCs w:val="16"/>
              </w:rPr>
              <w:t>.</w:t>
            </w:r>
            <w:r w:rsidRPr="0094429A">
              <w:rPr>
                <w:rFonts w:ascii="Times New Roman" w:hAnsi="Times New Roman" w:cs="Times New Roman"/>
                <w:sz w:val="16"/>
                <w:szCs w:val="16"/>
              </w:rPr>
              <w:t>spravodli</w:t>
            </w:r>
            <w:r w:rsidR="00C35185">
              <w:rPr>
                <w:rFonts w:ascii="Times New Roman" w:hAnsi="Times New Roman" w:cs="Times New Roman"/>
                <w:sz w:val="16"/>
                <w:szCs w:val="16"/>
              </w:rPr>
              <w:t>-</w:t>
            </w:r>
            <w:r w:rsidRPr="0094429A">
              <w:rPr>
                <w:rFonts w:ascii="Times New Roman" w:hAnsi="Times New Roman" w:cs="Times New Roman"/>
                <w:sz w:val="16"/>
                <w:szCs w:val="16"/>
              </w:rPr>
              <w:t>vosti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14</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14</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164 846</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164 846</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Ministerstvo školstva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41</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22</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19</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707 966</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704 128</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3 838</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Min</w:t>
            </w:r>
            <w:r>
              <w:rPr>
                <w:rFonts w:ascii="Times New Roman" w:hAnsi="Times New Roman" w:cs="Times New Roman"/>
                <w:sz w:val="16"/>
                <w:szCs w:val="16"/>
              </w:rPr>
              <w:t>.</w:t>
            </w:r>
            <w:r w:rsidRPr="0094429A">
              <w:rPr>
                <w:rFonts w:ascii="Times New Roman" w:hAnsi="Times New Roman" w:cs="Times New Roman"/>
                <w:sz w:val="16"/>
                <w:szCs w:val="16"/>
              </w:rPr>
              <w:t xml:space="preserve"> životného prostredia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51</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34</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17</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684 845</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97 957</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586 888</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Min</w:t>
            </w:r>
            <w:r>
              <w:rPr>
                <w:rFonts w:ascii="Times New Roman" w:hAnsi="Times New Roman" w:cs="Times New Roman"/>
                <w:sz w:val="16"/>
                <w:szCs w:val="16"/>
              </w:rPr>
              <w:t xml:space="preserve">. </w:t>
            </w:r>
            <w:r w:rsidRPr="0094429A">
              <w:rPr>
                <w:rFonts w:ascii="Times New Roman" w:hAnsi="Times New Roman" w:cs="Times New Roman"/>
                <w:sz w:val="16"/>
                <w:szCs w:val="16"/>
              </w:rPr>
              <w:t>pôdo</w:t>
            </w:r>
            <w:r>
              <w:rPr>
                <w:rFonts w:ascii="Times New Roman" w:hAnsi="Times New Roman" w:cs="Times New Roman"/>
                <w:sz w:val="16"/>
                <w:szCs w:val="16"/>
              </w:rPr>
              <w:t>-h</w:t>
            </w:r>
            <w:r w:rsidRPr="0094429A">
              <w:rPr>
                <w:rFonts w:ascii="Times New Roman" w:hAnsi="Times New Roman" w:cs="Times New Roman"/>
                <w:sz w:val="16"/>
                <w:szCs w:val="16"/>
              </w:rPr>
              <w:t>ospodárstva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68</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6</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6</w:t>
            </w:r>
            <w:r>
              <w:rPr>
                <w:rFonts w:ascii="Times New Roman" w:hAnsi="Times New Roman" w:cs="Times New Roman"/>
                <w:sz w:val="16"/>
                <w:szCs w:val="16"/>
              </w:rPr>
              <w:t>2</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1 545 141</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1 157 070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388 071</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Štatistický úrad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21</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ind w:hanging="70"/>
              <w:jc w:val="center"/>
              <w:rPr>
                <w:rFonts w:ascii="Times New Roman" w:hAnsi="Times New Roman" w:cs="Times New Roman"/>
                <w:sz w:val="16"/>
                <w:szCs w:val="16"/>
              </w:rPr>
            </w:pPr>
            <w:r w:rsidRPr="0094429A">
              <w:rPr>
                <w:rFonts w:ascii="Times New Roman" w:hAnsi="Times New Roman" w:cs="Times New Roman"/>
                <w:sz w:val="16"/>
                <w:szCs w:val="16"/>
              </w:rPr>
              <w:t>20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1</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ind w:hanging="70"/>
              <w:jc w:val="center"/>
              <w:rPr>
                <w:rFonts w:ascii="Times New Roman" w:hAnsi="Times New Roman" w:cs="Times New Roman"/>
                <w:sz w:val="16"/>
                <w:szCs w:val="16"/>
              </w:rPr>
            </w:pPr>
            <w:r>
              <w:rPr>
                <w:rFonts w:ascii="Times New Roman" w:hAnsi="Times New Roman" w:cs="Times New Roman"/>
                <w:sz w:val="16"/>
                <w:szCs w:val="16"/>
              </w:rPr>
              <w:t xml:space="preserve">  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ind w:hanging="70"/>
              <w:jc w:val="right"/>
              <w:rPr>
                <w:rFonts w:ascii="Times New Roman" w:hAnsi="Times New Roman" w:cs="Times New Roman"/>
                <w:sz w:val="16"/>
                <w:szCs w:val="16"/>
              </w:rPr>
            </w:pPr>
            <w:r>
              <w:rPr>
                <w:rFonts w:ascii="Times New Roman" w:hAnsi="Times New Roman" w:cs="Times New Roman"/>
                <w:sz w:val="16"/>
                <w:szCs w:val="16"/>
              </w:rPr>
              <w:t>280 928</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280 476</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sidRPr="0094429A">
              <w:rPr>
                <w:rFonts w:ascii="Times New Roman" w:hAnsi="Times New Roman" w:cs="Times New Roman"/>
                <w:sz w:val="16"/>
                <w:szCs w:val="16"/>
              </w:rPr>
              <w:t>452</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Ústavný súd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5</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5</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7 736</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7 736</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Generálna prokuratúra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3</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3</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142 129</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142 129</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 xml:space="preserve">Slovenská akadémia vied </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45</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34</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3</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 xml:space="preserve">    8**   </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13 991</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393</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4 385</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B52B2D" w:rsidP="00E75695">
            <w:pPr>
              <w:jc w:val="right"/>
              <w:rPr>
                <w:rFonts w:ascii="Times New Roman" w:hAnsi="Times New Roman" w:cs="Times New Roman"/>
                <w:sz w:val="16"/>
                <w:szCs w:val="16"/>
              </w:rPr>
            </w:pPr>
            <w:r>
              <w:rPr>
                <w:rFonts w:ascii="Times New Roman" w:hAnsi="Times New Roman" w:cs="Times New Roman"/>
                <w:sz w:val="16"/>
                <w:szCs w:val="16"/>
              </w:rPr>
              <w:t xml:space="preserve">       </w:t>
            </w:r>
            <w:r w:rsidRPr="00B52B2D">
              <w:rPr>
                <w:rFonts w:ascii="Times New Roman" w:hAnsi="Times New Roman" w:cs="Times New Roman"/>
                <w:sz w:val="16"/>
                <w:szCs w:val="16"/>
              </w:rPr>
              <w:t>9 213 </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Slovenská informačná služba</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5</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5</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49 300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49 300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Národný bezpečnostný úrad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10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10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ind w:hanging="80"/>
              <w:jc w:val="center"/>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15 516</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15 516</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Úrad pre normalizáciu, metrológiu a skúšobníctvo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4</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4</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ind w:hanging="80"/>
              <w:jc w:val="center"/>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12 000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12 000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Úrad priemyselného vlastníctva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11</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11</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118 121</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118 121</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Úrad geodézie, kartografie a katastra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12</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9</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3</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150 440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132 520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17 920</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Úrad pre ver</w:t>
            </w:r>
            <w:r>
              <w:rPr>
                <w:rFonts w:ascii="Times New Roman" w:hAnsi="Times New Roman" w:cs="Times New Roman"/>
                <w:sz w:val="16"/>
                <w:szCs w:val="16"/>
              </w:rPr>
              <w:t>.</w:t>
            </w:r>
            <w:r w:rsidRPr="0094429A">
              <w:rPr>
                <w:rFonts w:ascii="Times New Roman" w:hAnsi="Times New Roman" w:cs="Times New Roman"/>
                <w:sz w:val="16"/>
                <w:szCs w:val="16"/>
              </w:rPr>
              <w:t xml:space="preserve"> obstarávanie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4</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4</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5000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5 000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ind w:firstLine="708"/>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Protimonopol</w:t>
            </w:r>
            <w:r w:rsidR="00C35185">
              <w:rPr>
                <w:rFonts w:ascii="Times New Roman" w:hAnsi="Times New Roman" w:cs="Times New Roman"/>
                <w:sz w:val="16"/>
                <w:szCs w:val="16"/>
              </w:rPr>
              <w:t>ný</w:t>
            </w:r>
            <w:r w:rsidRPr="0094429A">
              <w:rPr>
                <w:rFonts w:ascii="Times New Roman" w:hAnsi="Times New Roman" w:cs="Times New Roman"/>
                <w:sz w:val="16"/>
                <w:szCs w:val="16"/>
              </w:rPr>
              <w:t xml:space="preserve"> úrad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1</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1</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530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530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Správa št</w:t>
            </w:r>
            <w:r>
              <w:rPr>
                <w:rFonts w:ascii="Times New Roman" w:hAnsi="Times New Roman" w:cs="Times New Roman"/>
                <w:sz w:val="16"/>
                <w:szCs w:val="16"/>
              </w:rPr>
              <w:t>.</w:t>
            </w:r>
            <w:r w:rsidRPr="0094429A">
              <w:rPr>
                <w:rFonts w:ascii="Times New Roman" w:hAnsi="Times New Roman" w:cs="Times New Roman"/>
                <w:sz w:val="16"/>
                <w:szCs w:val="16"/>
              </w:rPr>
              <w:t xml:space="preserve"> hmotných rezerv SR</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ind w:hanging="70"/>
              <w:jc w:val="center"/>
              <w:rPr>
                <w:rFonts w:ascii="Times New Roman" w:hAnsi="Times New Roman" w:cs="Times New Roman"/>
                <w:sz w:val="16"/>
                <w:szCs w:val="16"/>
              </w:rPr>
            </w:pPr>
            <w:r w:rsidRPr="0094429A">
              <w:rPr>
                <w:rFonts w:ascii="Times New Roman" w:hAnsi="Times New Roman" w:cs="Times New Roman"/>
                <w:sz w:val="16"/>
                <w:szCs w:val="16"/>
              </w:rPr>
              <w:t>16</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16</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2 846 382</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2 846 382</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SFK Bratislava</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516</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422</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94</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10 152 024</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7 292 584</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2 859 440</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SFK Zvolen</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453</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379</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74</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5 075 768</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4 588 680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487 088</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sz w:val="16"/>
                <w:szCs w:val="16"/>
              </w:rPr>
            </w:pPr>
            <w:r w:rsidRPr="0094429A">
              <w:rPr>
                <w:rFonts w:ascii="Times New Roman" w:hAnsi="Times New Roman" w:cs="Times New Roman"/>
                <w:sz w:val="16"/>
                <w:szCs w:val="16"/>
              </w:rPr>
              <w:t>SFK Košice</w:t>
            </w:r>
          </w:p>
        </w:tc>
        <w:tc>
          <w:tcPr>
            <w:tcW w:w="95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396</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325</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sidRPr="0094429A">
              <w:rPr>
                <w:rFonts w:ascii="Times New Roman" w:hAnsi="Times New Roman" w:cs="Times New Roman"/>
                <w:sz w:val="16"/>
                <w:szCs w:val="16"/>
              </w:rPr>
              <w:t>71</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sz w:val="16"/>
                <w:szCs w:val="16"/>
              </w:rPr>
            </w:pPr>
            <w:r>
              <w:rPr>
                <w:rFonts w:ascii="Times New Roman" w:hAnsi="Times New Roman" w:cs="Times New Roman"/>
                <w:sz w:val="16"/>
                <w:szCs w:val="16"/>
              </w:rPr>
              <w:t>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3 687 400</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3 141 734</w:t>
            </w:r>
          </w:p>
        </w:tc>
        <w:tc>
          <w:tcPr>
            <w:tcW w:w="11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sidRPr="0094429A">
              <w:rPr>
                <w:rFonts w:ascii="Times New Roman" w:hAnsi="Times New Roman" w:cs="Times New Roman"/>
                <w:sz w:val="16"/>
                <w:szCs w:val="16"/>
              </w:rPr>
              <w:t>545 666</w:t>
            </w:r>
          </w:p>
        </w:tc>
        <w:tc>
          <w:tcPr>
            <w:tcW w:w="1143"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94429A" w:rsidP="00E75695">
            <w:pPr>
              <w:jc w:val="right"/>
              <w:rPr>
                <w:rFonts w:ascii="Times New Roman" w:hAnsi="Times New Roman" w:cs="Times New Roman"/>
                <w:sz w:val="16"/>
                <w:szCs w:val="16"/>
              </w:rPr>
            </w:pPr>
            <w:r>
              <w:rPr>
                <w:rFonts w:ascii="Times New Roman" w:hAnsi="Times New Roman" w:cs="Times New Roman"/>
                <w:sz w:val="16"/>
                <w:szCs w:val="16"/>
              </w:rPr>
              <w:t>0</w:t>
            </w:r>
          </w:p>
        </w:tc>
      </w:tr>
      <w:tr>
        <w:tblPrEx>
          <w:tblW w:w="10286" w:type="dxa"/>
          <w:jc w:val="center"/>
          <w:tblLayout w:type="fixed"/>
          <w:tblCellMar>
            <w:top w:w="0" w:type="dxa"/>
            <w:left w:w="70" w:type="dxa"/>
            <w:bottom w:w="0" w:type="dxa"/>
            <w:right w:w="70" w:type="dxa"/>
          </w:tblCellMar>
        </w:tblPrEx>
        <w:trPr>
          <w:trHeight w:val="367"/>
          <w:jc w:val="center"/>
        </w:trPr>
        <w:tc>
          <w:tcPr>
            <w:tcW w:w="1327" w:type="dxa"/>
            <w:tcBorders>
              <w:top w:val="single" w:sz="4" w:space="0" w:color="auto"/>
              <w:left w:val="single" w:sz="8" w:space="0" w:color="auto"/>
              <w:bottom w:val="double" w:sz="6" w:space="0" w:color="auto"/>
              <w:right w:val="single" w:sz="4" w:space="0" w:color="auto"/>
              <w:tl2br w:val="nil"/>
              <w:tr2bl w:val="nil"/>
            </w:tcBorders>
            <w:textDirection w:val="lrTb"/>
            <w:vAlign w:val="center"/>
          </w:tcPr>
          <w:p w:rsidR="00E75695" w:rsidRPr="0094429A" w:rsidP="00E75695">
            <w:pPr>
              <w:rPr>
                <w:rFonts w:ascii="Times New Roman" w:hAnsi="Times New Roman" w:cs="Times New Roman"/>
                <w:b/>
                <w:sz w:val="16"/>
                <w:szCs w:val="16"/>
              </w:rPr>
            </w:pPr>
            <w:r>
              <w:rPr>
                <w:rFonts w:ascii="Times New Roman" w:hAnsi="Times New Roman" w:cs="Times New Roman"/>
                <w:b/>
                <w:sz w:val="16"/>
                <w:szCs w:val="16"/>
              </w:rPr>
              <w:t>Spolu</w:t>
            </w:r>
          </w:p>
        </w:tc>
        <w:tc>
          <w:tcPr>
            <w:tcW w:w="958"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b/>
                <w:sz w:val="16"/>
                <w:szCs w:val="16"/>
              </w:rPr>
            </w:pPr>
            <w:r w:rsidRPr="0094429A">
              <w:rPr>
                <w:rFonts w:ascii="Times New Roman" w:hAnsi="Times New Roman" w:cs="Times New Roman"/>
                <w:b/>
                <w:sz w:val="16"/>
                <w:szCs w:val="16"/>
              </w:rPr>
              <w:t>2 048</w:t>
            </w:r>
          </w:p>
        </w:tc>
        <w:tc>
          <w:tcPr>
            <w:tcW w:w="1143"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b/>
                <w:sz w:val="16"/>
                <w:szCs w:val="16"/>
              </w:rPr>
            </w:pPr>
            <w:r w:rsidRPr="0094429A">
              <w:rPr>
                <w:rFonts w:ascii="Times New Roman" w:hAnsi="Times New Roman" w:cs="Times New Roman"/>
                <w:b/>
                <w:sz w:val="16"/>
                <w:szCs w:val="16"/>
              </w:rPr>
              <w:t xml:space="preserve">1 </w:t>
            </w:r>
            <w:r>
              <w:rPr>
                <w:rFonts w:ascii="Times New Roman" w:hAnsi="Times New Roman" w:cs="Times New Roman"/>
                <w:b/>
                <w:sz w:val="16"/>
                <w:szCs w:val="16"/>
              </w:rPr>
              <w:t>600</w:t>
            </w:r>
          </w:p>
        </w:tc>
        <w:tc>
          <w:tcPr>
            <w:tcW w:w="1143"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b/>
                <w:sz w:val="16"/>
                <w:szCs w:val="16"/>
              </w:rPr>
            </w:pPr>
            <w:r w:rsidRPr="0094429A">
              <w:rPr>
                <w:rFonts w:ascii="Times New Roman" w:hAnsi="Times New Roman" w:cs="Times New Roman"/>
                <w:b/>
                <w:sz w:val="16"/>
                <w:szCs w:val="16"/>
              </w:rPr>
              <w:t>43</w:t>
            </w:r>
            <w:r>
              <w:rPr>
                <w:rFonts w:ascii="Times New Roman" w:hAnsi="Times New Roman" w:cs="Times New Roman"/>
                <w:b/>
                <w:sz w:val="16"/>
                <w:szCs w:val="16"/>
              </w:rPr>
              <w:t>9</w:t>
            </w:r>
          </w:p>
        </w:tc>
        <w:tc>
          <w:tcPr>
            <w:tcW w:w="1143"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E75695" w:rsidRPr="0094429A" w:rsidP="00E75695">
            <w:pPr>
              <w:jc w:val="center"/>
              <w:rPr>
                <w:rFonts w:ascii="Times New Roman" w:hAnsi="Times New Roman" w:cs="Times New Roman"/>
                <w:b/>
                <w:sz w:val="16"/>
                <w:szCs w:val="16"/>
              </w:rPr>
            </w:pPr>
            <w:r>
              <w:rPr>
                <w:rFonts w:ascii="Times New Roman" w:hAnsi="Times New Roman" w:cs="Times New Roman"/>
                <w:b/>
                <w:sz w:val="16"/>
                <w:szCs w:val="16"/>
              </w:rPr>
              <w:t>9</w:t>
            </w:r>
          </w:p>
        </w:tc>
        <w:tc>
          <w:tcPr>
            <w:tcW w:w="1143"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b/>
                <w:sz w:val="16"/>
                <w:szCs w:val="16"/>
              </w:rPr>
            </w:pPr>
            <w:r>
              <w:rPr>
                <w:rFonts w:ascii="Times New Roman" w:hAnsi="Times New Roman" w:cs="Times New Roman"/>
                <w:b/>
                <w:sz w:val="16"/>
                <w:szCs w:val="16"/>
              </w:rPr>
              <w:t>54 896 426</w:t>
            </w:r>
          </w:p>
        </w:tc>
        <w:tc>
          <w:tcPr>
            <w:tcW w:w="1143"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b/>
                <w:sz w:val="16"/>
                <w:szCs w:val="16"/>
              </w:rPr>
            </w:pPr>
            <w:r>
              <w:rPr>
                <w:rFonts w:ascii="Times New Roman" w:hAnsi="Times New Roman" w:cs="Times New Roman"/>
                <w:b/>
                <w:sz w:val="16"/>
                <w:szCs w:val="16"/>
              </w:rPr>
              <w:t xml:space="preserve">  </w:t>
            </w:r>
            <w:r w:rsidRPr="0094429A">
              <w:rPr>
                <w:rFonts w:ascii="Times New Roman" w:hAnsi="Times New Roman" w:cs="Times New Roman"/>
                <w:b/>
                <w:sz w:val="16"/>
                <w:szCs w:val="16"/>
              </w:rPr>
              <w:t>3</w:t>
            </w:r>
            <w:r>
              <w:rPr>
                <w:rFonts w:ascii="Times New Roman" w:hAnsi="Times New Roman" w:cs="Times New Roman"/>
                <w:b/>
                <w:sz w:val="16"/>
                <w:szCs w:val="16"/>
              </w:rPr>
              <w:t>8</w:t>
            </w:r>
            <w:r w:rsidRPr="0094429A">
              <w:rPr>
                <w:rFonts w:ascii="Times New Roman" w:hAnsi="Times New Roman" w:cs="Times New Roman"/>
                <w:b/>
                <w:sz w:val="16"/>
                <w:szCs w:val="16"/>
              </w:rPr>
              <w:t> </w:t>
            </w:r>
            <w:r>
              <w:rPr>
                <w:rFonts w:ascii="Times New Roman" w:hAnsi="Times New Roman" w:cs="Times New Roman"/>
                <w:b/>
                <w:sz w:val="16"/>
                <w:szCs w:val="16"/>
              </w:rPr>
              <w:t>955</w:t>
            </w:r>
            <w:r w:rsidRPr="0094429A">
              <w:rPr>
                <w:rFonts w:ascii="Times New Roman" w:hAnsi="Times New Roman" w:cs="Times New Roman"/>
                <w:b/>
                <w:sz w:val="16"/>
                <w:szCs w:val="16"/>
              </w:rPr>
              <w:t> </w:t>
            </w:r>
            <w:r>
              <w:rPr>
                <w:rFonts w:ascii="Times New Roman" w:hAnsi="Times New Roman" w:cs="Times New Roman"/>
                <w:b/>
                <w:sz w:val="16"/>
                <w:szCs w:val="16"/>
              </w:rPr>
              <w:t>755</w:t>
            </w:r>
          </w:p>
        </w:tc>
        <w:tc>
          <w:tcPr>
            <w:tcW w:w="1143" w:type="dxa"/>
            <w:tcBorders>
              <w:top w:val="single" w:sz="4" w:space="0" w:color="auto"/>
              <w:left w:val="single" w:sz="4" w:space="0" w:color="auto"/>
              <w:bottom w:val="double" w:sz="6" w:space="0" w:color="auto"/>
              <w:right w:val="single" w:sz="4" w:space="0" w:color="auto"/>
              <w:tl2br w:val="nil"/>
              <w:tr2bl w:val="nil"/>
            </w:tcBorders>
            <w:textDirection w:val="lrTb"/>
            <w:vAlign w:val="center"/>
          </w:tcPr>
          <w:p w:rsidR="00E75695" w:rsidRPr="0094429A" w:rsidP="00E75695">
            <w:pPr>
              <w:jc w:val="right"/>
              <w:rPr>
                <w:rFonts w:ascii="Times New Roman" w:hAnsi="Times New Roman" w:cs="Times New Roman"/>
                <w:b/>
                <w:sz w:val="16"/>
                <w:szCs w:val="16"/>
              </w:rPr>
            </w:pPr>
            <w:r w:rsidRPr="0094429A">
              <w:rPr>
                <w:rFonts w:ascii="Times New Roman" w:hAnsi="Times New Roman" w:cs="Times New Roman"/>
                <w:b/>
                <w:sz w:val="16"/>
                <w:szCs w:val="16"/>
              </w:rPr>
              <w:t>15 926 861</w:t>
            </w:r>
          </w:p>
        </w:tc>
        <w:tc>
          <w:tcPr>
            <w:tcW w:w="1143" w:type="dxa"/>
            <w:tcBorders>
              <w:top w:val="single" w:sz="4" w:space="0" w:color="auto"/>
              <w:left w:val="single" w:sz="4" w:space="0" w:color="auto"/>
              <w:bottom w:val="double" w:sz="6" w:space="0" w:color="auto"/>
              <w:right w:val="single" w:sz="8" w:space="0" w:color="auto"/>
              <w:tl2br w:val="nil"/>
              <w:tr2bl w:val="nil"/>
            </w:tcBorders>
            <w:textDirection w:val="lrTb"/>
            <w:vAlign w:val="center"/>
          </w:tcPr>
          <w:p w:rsidR="00E75695" w:rsidRPr="0094429A" w:rsidP="00E75695">
            <w:pPr>
              <w:jc w:val="right"/>
              <w:rPr>
                <w:rFonts w:ascii="Times New Roman" w:hAnsi="Times New Roman" w:cs="Times New Roman"/>
                <w:b/>
                <w:sz w:val="16"/>
                <w:szCs w:val="16"/>
              </w:rPr>
            </w:pPr>
            <w:r>
              <w:rPr>
                <w:rFonts w:ascii="Times New Roman" w:hAnsi="Times New Roman" w:cs="Times New Roman"/>
                <w:b/>
                <w:sz w:val="16"/>
                <w:szCs w:val="16"/>
              </w:rPr>
              <w:t>13 810</w:t>
            </w:r>
          </w:p>
        </w:tc>
      </w:tr>
    </w:tbl>
    <w:p w:rsidR="00E75695" w:rsidP="00E75695">
      <w:pPr>
        <w:ind w:left="-540"/>
        <w:jc w:val="both"/>
        <w:rPr>
          <w:rFonts w:ascii="Times New Roman" w:hAnsi="Times New Roman" w:cs="Times New Roman"/>
          <w:sz w:val="20"/>
          <w:szCs w:val="20"/>
        </w:rPr>
      </w:pPr>
      <w:r w:rsidRPr="003F4B32">
        <w:rPr>
          <w:rFonts w:ascii="Times New Roman" w:hAnsi="Times New Roman" w:cs="Times New Roman"/>
          <w:sz w:val="20"/>
          <w:szCs w:val="20"/>
        </w:rPr>
        <w:t>*</w:t>
      </w:r>
      <w:r>
        <w:rPr>
          <w:rFonts w:ascii="Times New Roman" w:hAnsi="Times New Roman" w:cs="Times New Roman"/>
          <w:sz w:val="20"/>
          <w:szCs w:val="20"/>
        </w:rPr>
        <w:t xml:space="preserve"> následná finančná kontrola zameraná na </w:t>
      </w:r>
      <w:r w:rsidRPr="003F4B32">
        <w:rPr>
          <w:rFonts w:ascii="Times New Roman" w:hAnsi="Times New Roman" w:cs="Times New Roman"/>
          <w:sz w:val="20"/>
          <w:szCs w:val="20"/>
        </w:rPr>
        <w:t xml:space="preserve">zdroje </w:t>
      </w:r>
      <w:r>
        <w:rPr>
          <w:rFonts w:ascii="Times New Roman" w:hAnsi="Times New Roman" w:cs="Times New Roman"/>
          <w:sz w:val="20"/>
          <w:szCs w:val="20"/>
        </w:rPr>
        <w:t xml:space="preserve">pre právnu a regulačnú reformu v oblasti infraštruktúry </w:t>
      </w:r>
    </w:p>
    <w:p w:rsidR="00E75695" w:rsidRPr="003F4B32" w:rsidP="00E75695">
      <w:pPr>
        <w:ind w:left="-540"/>
        <w:jc w:val="both"/>
        <w:rPr>
          <w:rFonts w:ascii="Times New Roman" w:hAnsi="Times New Roman" w:cs="Times New Roman"/>
          <w:sz w:val="20"/>
          <w:szCs w:val="20"/>
        </w:rPr>
      </w:pPr>
      <w:r>
        <w:rPr>
          <w:rFonts w:ascii="Times New Roman" w:hAnsi="Times New Roman" w:cs="Times New Roman"/>
          <w:sz w:val="20"/>
          <w:szCs w:val="20"/>
        </w:rPr>
        <w:t xml:space="preserve">  z  </w:t>
      </w:r>
      <w:r w:rsidRPr="003F4B32">
        <w:rPr>
          <w:rFonts w:ascii="Times New Roman" w:hAnsi="Times New Roman" w:cs="Times New Roman"/>
          <w:sz w:val="20"/>
          <w:szCs w:val="20"/>
        </w:rPr>
        <w:t xml:space="preserve">Medzinárodnej banky pre obnovu a rozvoj /EBRD/ </w:t>
      </w:r>
    </w:p>
    <w:p w:rsidR="00E75695" w:rsidRPr="003F4B32" w:rsidP="00E75695">
      <w:pPr>
        <w:ind w:left="-540"/>
        <w:rPr>
          <w:rFonts w:ascii="Times New Roman" w:hAnsi="Times New Roman" w:cs="Times New Roman"/>
          <w:sz w:val="20"/>
          <w:szCs w:val="20"/>
        </w:rPr>
      </w:pPr>
      <w:r w:rsidRPr="003F4B32">
        <w:rPr>
          <w:rFonts w:ascii="Times New Roman" w:hAnsi="Times New Roman" w:cs="Times New Roman"/>
          <w:sz w:val="20"/>
          <w:szCs w:val="20"/>
        </w:rPr>
        <w:t xml:space="preserve">* * </w:t>
      </w:r>
      <w:r>
        <w:rPr>
          <w:rFonts w:ascii="Times New Roman" w:hAnsi="Times New Roman" w:cs="Times New Roman"/>
          <w:sz w:val="20"/>
          <w:szCs w:val="20"/>
        </w:rPr>
        <w:t xml:space="preserve">následné finančné kontroly zamerané na </w:t>
      </w:r>
      <w:r w:rsidRPr="003F4B32">
        <w:rPr>
          <w:rFonts w:ascii="Times New Roman" w:hAnsi="Times New Roman" w:cs="Times New Roman"/>
          <w:sz w:val="20"/>
          <w:szCs w:val="20"/>
        </w:rPr>
        <w:t xml:space="preserve">zdroje na vedeckovýskumné projekty VEGA, MVTS a APVT </w:t>
      </w:r>
    </w:p>
    <w:p w:rsidR="00E75695" w:rsidRPr="003262B2" w:rsidP="00E75695">
      <w:pPr>
        <w:rPr>
          <w:rFonts w:ascii="Times New Roman" w:hAnsi="Times New Roman" w:cs="Times New Roman"/>
        </w:rPr>
      </w:pPr>
    </w:p>
    <w:p w:rsidR="00E75695" w:rsidP="00E75695">
      <w:pPr>
        <w:spacing w:line="360" w:lineRule="auto"/>
        <w:ind w:firstLine="708"/>
        <w:jc w:val="both"/>
        <w:rPr>
          <w:rFonts w:ascii="Times New Roman" w:hAnsi="Times New Roman" w:cs="Times New Roman"/>
        </w:rPr>
      </w:pPr>
      <w:r w:rsidRPr="006525F1">
        <w:rPr>
          <w:rFonts w:ascii="Times New Roman" w:hAnsi="Times New Roman" w:cs="Times New Roman"/>
        </w:rPr>
        <w:t>Na základe uvedených kontrol bol</w:t>
      </w:r>
      <w:r>
        <w:rPr>
          <w:rFonts w:ascii="Times New Roman" w:hAnsi="Times New Roman" w:cs="Times New Roman"/>
        </w:rPr>
        <w:t>o</w:t>
      </w:r>
      <w:r w:rsidRPr="006525F1">
        <w:rPr>
          <w:rFonts w:ascii="Times New Roman" w:hAnsi="Times New Roman" w:cs="Times New Roman"/>
        </w:rPr>
        <w:t xml:space="preserve"> zistených</w:t>
      </w:r>
      <w:r>
        <w:rPr>
          <w:rFonts w:ascii="Times New Roman" w:hAnsi="Times New Roman" w:cs="Times New Roman"/>
        </w:rPr>
        <w:t xml:space="preserve"> spolu 10 408</w:t>
      </w:r>
      <w:r w:rsidRPr="006525F1">
        <w:rPr>
          <w:rFonts w:ascii="Times New Roman" w:hAnsi="Times New Roman" w:cs="Times New Roman"/>
        </w:rPr>
        <w:t xml:space="preserve"> nedostatkov</w:t>
      </w:r>
      <w:r>
        <w:rPr>
          <w:rFonts w:ascii="Times New Roman" w:hAnsi="Times New Roman" w:cs="Times New Roman"/>
        </w:rPr>
        <w:t xml:space="preserve">, </w:t>
      </w:r>
      <w:r w:rsidRPr="006525F1">
        <w:rPr>
          <w:rFonts w:ascii="Times New Roman" w:hAnsi="Times New Roman" w:cs="Times New Roman"/>
        </w:rPr>
        <w:t xml:space="preserve">z toho 9 135 nedostatkov </w:t>
      </w:r>
      <w:r>
        <w:rPr>
          <w:rFonts w:ascii="Times New Roman" w:hAnsi="Times New Roman" w:cs="Times New Roman"/>
        </w:rPr>
        <w:t xml:space="preserve">sa </w:t>
      </w:r>
      <w:r w:rsidRPr="006525F1">
        <w:rPr>
          <w:rFonts w:ascii="Times New Roman" w:hAnsi="Times New Roman" w:cs="Times New Roman"/>
        </w:rPr>
        <w:t>týkalo prostriedkov štátneho rozpočtu SR a 1 273 prostriedkov EÚ</w:t>
      </w:r>
      <w:r>
        <w:rPr>
          <w:rFonts w:ascii="Times New Roman" w:hAnsi="Times New Roman" w:cs="Times New Roman"/>
        </w:rPr>
        <w:t>; pri kontrolách iných zdrojov zo zahraničia neboli zistené  nedostatky.</w:t>
      </w:r>
    </w:p>
    <w:p w:rsidR="00E75695" w:rsidRPr="000519CF" w:rsidP="00E75695">
      <w:pPr>
        <w:spacing w:line="360" w:lineRule="auto"/>
        <w:ind w:firstLine="708"/>
        <w:jc w:val="both"/>
        <w:rPr>
          <w:rFonts w:ascii="Times New Roman" w:hAnsi="Times New Roman" w:cs="Times New Roman"/>
        </w:rPr>
      </w:pPr>
      <w:r w:rsidRPr="000519CF">
        <w:rPr>
          <w:rFonts w:ascii="Times New Roman" w:hAnsi="Times New Roman" w:cs="Times New Roman"/>
        </w:rPr>
        <w:t>Porušenie finančnej (rozpočtovej) disciplíny predstavuje sumu v celkovej výške 2</w:t>
      </w:r>
      <w:r>
        <w:rPr>
          <w:rFonts w:ascii="Times New Roman" w:hAnsi="Times New Roman" w:cs="Times New Roman"/>
        </w:rPr>
        <w:t> </w:t>
      </w:r>
      <w:r w:rsidRPr="000519CF">
        <w:rPr>
          <w:rFonts w:ascii="Times New Roman" w:hAnsi="Times New Roman" w:cs="Times New Roman"/>
        </w:rPr>
        <w:t>219</w:t>
      </w:r>
      <w:r>
        <w:rPr>
          <w:rFonts w:ascii="Times New Roman" w:hAnsi="Times New Roman" w:cs="Times New Roman"/>
        </w:rPr>
        <w:t>,</w:t>
      </w:r>
      <w:r w:rsidRPr="000519CF">
        <w:rPr>
          <w:rFonts w:ascii="Times New Roman" w:hAnsi="Times New Roman" w:cs="Times New Roman"/>
        </w:rPr>
        <w:t xml:space="preserve">2 </w:t>
      </w:r>
      <w:r>
        <w:rPr>
          <w:rFonts w:ascii="Times New Roman" w:hAnsi="Times New Roman" w:cs="Times New Roman"/>
        </w:rPr>
        <w:t>mil</w:t>
      </w:r>
      <w:r w:rsidRPr="000519CF">
        <w:rPr>
          <w:rFonts w:ascii="Times New Roman" w:hAnsi="Times New Roman" w:cs="Times New Roman"/>
        </w:rPr>
        <w:t>. Sk, z toho 1</w:t>
      </w:r>
      <w:r>
        <w:rPr>
          <w:rFonts w:ascii="Times New Roman" w:hAnsi="Times New Roman" w:cs="Times New Roman"/>
        </w:rPr>
        <w:t> </w:t>
      </w:r>
      <w:r w:rsidRPr="000519CF">
        <w:rPr>
          <w:rFonts w:ascii="Times New Roman" w:hAnsi="Times New Roman" w:cs="Times New Roman"/>
        </w:rPr>
        <w:t>99</w:t>
      </w:r>
      <w:r>
        <w:rPr>
          <w:rFonts w:ascii="Times New Roman" w:hAnsi="Times New Roman" w:cs="Times New Roman"/>
        </w:rPr>
        <w:t>1,0</w:t>
      </w:r>
      <w:r w:rsidRPr="000519CF">
        <w:rPr>
          <w:rFonts w:ascii="Times New Roman" w:hAnsi="Times New Roman" w:cs="Times New Roman"/>
        </w:rPr>
        <w:t> </w:t>
      </w:r>
      <w:r>
        <w:rPr>
          <w:rFonts w:ascii="Times New Roman" w:hAnsi="Times New Roman" w:cs="Times New Roman"/>
        </w:rPr>
        <w:t>mil</w:t>
      </w:r>
      <w:r w:rsidRPr="000519CF">
        <w:rPr>
          <w:rFonts w:ascii="Times New Roman" w:hAnsi="Times New Roman" w:cs="Times New Roman"/>
        </w:rPr>
        <w:t>. Sk sa týka prostriedkov štátneho rozpočtu SR a</w:t>
      </w:r>
      <w:r>
        <w:rPr>
          <w:rFonts w:ascii="Times New Roman" w:hAnsi="Times New Roman" w:cs="Times New Roman"/>
        </w:rPr>
        <w:t> </w:t>
      </w:r>
      <w:r w:rsidRPr="000519CF">
        <w:rPr>
          <w:rFonts w:ascii="Times New Roman" w:hAnsi="Times New Roman" w:cs="Times New Roman"/>
        </w:rPr>
        <w:t>228</w:t>
      </w:r>
      <w:r>
        <w:rPr>
          <w:rFonts w:ascii="Times New Roman" w:hAnsi="Times New Roman" w:cs="Times New Roman"/>
        </w:rPr>
        <w:t>,</w:t>
      </w:r>
      <w:r w:rsidRPr="000519CF">
        <w:rPr>
          <w:rFonts w:ascii="Times New Roman" w:hAnsi="Times New Roman" w:cs="Times New Roman"/>
        </w:rPr>
        <w:t xml:space="preserve">2 </w:t>
      </w:r>
      <w:r>
        <w:rPr>
          <w:rFonts w:ascii="Times New Roman" w:hAnsi="Times New Roman" w:cs="Times New Roman"/>
        </w:rPr>
        <w:t>mil</w:t>
      </w:r>
      <w:r w:rsidRPr="000519CF">
        <w:rPr>
          <w:rFonts w:ascii="Times New Roman" w:hAnsi="Times New Roman" w:cs="Times New Roman"/>
        </w:rPr>
        <w:t xml:space="preserve">. Sk prostriedkov EÚ. </w:t>
      </w:r>
    </w:p>
    <w:p w:rsidR="00E75695" w:rsidRPr="00E942A5" w:rsidP="00E75695">
      <w:pPr>
        <w:spacing w:line="360" w:lineRule="auto"/>
        <w:ind w:firstLine="708"/>
        <w:jc w:val="both"/>
        <w:rPr>
          <w:rFonts w:ascii="Times New Roman" w:hAnsi="Times New Roman" w:cs="Times New Roman"/>
        </w:rPr>
      </w:pPr>
      <w:r w:rsidRPr="00E942A5">
        <w:rPr>
          <w:rFonts w:ascii="Times New Roman" w:hAnsi="Times New Roman" w:cs="Times New Roman"/>
        </w:rPr>
        <w:t>Neefektívne, nehospodárne a neúčinné použitie verejných prostriedkov predstavuje spolu 46,3 mil. Sk, z</w:t>
      </w:r>
      <w:r>
        <w:rPr>
          <w:rFonts w:ascii="Times New Roman" w:hAnsi="Times New Roman" w:cs="Times New Roman"/>
        </w:rPr>
        <w:t> </w:t>
      </w:r>
      <w:r w:rsidRPr="00E942A5">
        <w:rPr>
          <w:rFonts w:ascii="Times New Roman" w:hAnsi="Times New Roman" w:cs="Times New Roman"/>
        </w:rPr>
        <w:t>toho</w:t>
      </w:r>
      <w:r>
        <w:rPr>
          <w:rFonts w:ascii="Times New Roman" w:hAnsi="Times New Roman" w:cs="Times New Roman"/>
        </w:rPr>
        <w:t xml:space="preserve"> </w:t>
      </w:r>
      <w:r w:rsidRPr="00E942A5">
        <w:rPr>
          <w:rFonts w:ascii="Times New Roman" w:hAnsi="Times New Roman" w:cs="Times New Roman"/>
        </w:rPr>
        <w:t>40,2 mil. Sk</w:t>
      </w:r>
      <w:r>
        <w:rPr>
          <w:rFonts w:ascii="Times New Roman" w:hAnsi="Times New Roman" w:cs="Times New Roman"/>
        </w:rPr>
        <w:t xml:space="preserve"> tvoria</w:t>
      </w:r>
      <w:r w:rsidRPr="00E942A5">
        <w:rPr>
          <w:rFonts w:ascii="Times New Roman" w:hAnsi="Times New Roman" w:cs="Times New Roman"/>
        </w:rPr>
        <w:t xml:space="preserve"> prostriedky štátneho rozpočtu SR a 6,1 mil. Sk prostriedky EÚ.</w:t>
      </w:r>
    </w:p>
    <w:p w:rsidR="00E75695" w:rsidP="00E75695">
      <w:pPr>
        <w:ind w:firstLine="540"/>
        <w:jc w:val="both"/>
        <w:rPr>
          <w:rFonts w:ascii="Times New Roman" w:hAnsi="Times New Roman" w:cs="Times New Roman"/>
        </w:rPr>
      </w:pPr>
    </w:p>
    <w:p w:rsidR="00E75695" w:rsidRPr="000519CF" w:rsidP="00E75695">
      <w:pPr>
        <w:ind w:firstLine="540"/>
        <w:jc w:val="both"/>
        <w:rPr>
          <w:rFonts w:ascii="Times New Roman" w:hAnsi="Times New Roman" w:cs="Times New Roman"/>
        </w:rPr>
      </w:pPr>
      <w:r w:rsidRPr="000519CF">
        <w:rPr>
          <w:rFonts w:ascii="Times New Roman" w:hAnsi="Times New Roman" w:cs="Times New Roman"/>
        </w:rPr>
        <w:t xml:space="preserve">Zistené nedostatky sa týkali najmä porušovania: </w:t>
      </w:r>
    </w:p>
    <w:p w:rsidR="00E75695" w:rsidRPr="00D04455" w:rsidP="00E75695">
      <w:pPr>
        <w:jc w:val="both"/>
        <w:rPr>
          <w:rFonts w:ascii="Times New Roman" w:hAnsi="Times New Roman" w:cs="Times New Roman"/>
        </w:rPr>
      </w:pPr>
    </w:p>
    <w:p w:rsidR="00E75695" w:rsidP="004755CB">
      <w:pPr>
        <w:spacing w:line="360" w:lineRule="auto"/>
        <w:ind w:left="284" w:hanging="284"/>
        <w:jc w:val="both"/>
        <w:rPr>
          <w:rFonts w:ascii="Times New Roman" w:hAnsi="Times New Roman" w:cs="Times New Roman"/>
        </w:rPr>
      </w:pPr>
      <w:r>
        <w:rPr>
          <w:rFonts w:ascii="Wingdings" w:hAnsi="Wingdings" w:cs="Times New Roman"/>
        </w:rPr>
        <w:sym w:font="Wingdings" w:char="F0D8"/>
      </w:r>
      <w:r>
        <w:rPr>
          <w:rFonts w:ascii="Times New Roman" w:hAnsi="Times New Roman" w:cs="Times New Roman"/>
        </w:rPr>
        <w:t xml:space="preserve"> zákona </w:t>
      </w:r>
      <w:r w:rsidRPr="00D04455">
        <w:rPr>
          <w:rFonts w:ascii="Times New Roman" w:hAnsi="Times New Roman" w:cs="Times New Roman"/>
        </w:rPr>
        <w:t>č. 303/1995 Z.</w:t>
      </w:r>
      <w:r>
        <w:rPr>
          <w:rFonts w:ascii="Times New Roman" w:hAnsi="Times New Roman" w:cs="Times New Roman"/>
        </w:rPr>
        <w:t xml:space="preserve"> </w:t>
      </w:r>
      <w:r w:rsidRPr="00D04455">
        <w:rPr>
          <w:rFonts w:ascii="Times New Roman" w:hAnsi="Times New Roman" w:cs="Times New Roman"/>
        </w:rPr>
        <w:t>z. o rozpočtových pravidlách v znení neskorších predpisov a</w:t>
      </w:r>
      <w:r>
        <w:rPr>
          <w:rFonts w:ascii="Times New Roman" w:hAnsi="Times New Roman" w:cs="Times New Roman"/>
        </w:rPr>
        <w:t xml:space="preserve"> zákona </w:t>
      </w:r>
      <w:r w:rsidRPr="00D04455">
        <w:rPr>
          <w:rFonts w:ascii="Times New Roman" w:hAnsi="Times New Roman" w:cs="Times New Roman"/>
        </w:rPr>
        <w:t>č. 523/2004 Z.</w:t>
      </w:r>
      <w:r>
        <w:rPr>
          <w:rFonts w:ascii="Times New Roman" w:hAnsi="Times New Roman" w:cs="Times New Roman"/>
        </w:rPr>
        <w:t xml:space="preserve"> </w:t>
      </w:r>
      <w:r w:rsidRPr="00D04455">
        <w:rPr>
          <w:rFonts w:ascii="Times New Roman" w:hAnsi="Times New Roman" w:cs="Times New Roman"/>
        </w:rPr>
        <w:t>z. o rozpočtových pravidlách verejnej správy a o zmene a doplnení niektorých zákonov v znení neskorších predpisov,</w:t>
      </w:r>
    </w:p>
    <w:p w:rsidR="00E75695" w:rsidP="004755CB">
      <w:pPr>
        <w:spacing w:line="360" w:lineRule="auto"/>
        <w:ind w:left="284" w:hanging="284"/>
        <w:jc w:val="both"/>
        <w:rPr>
          <w:rFonts w:ascii="Times New Roman" w:hAnsi="Times New Roman" w:cs="Times New Roman"/>
        </w:rPr>
      </w:pPr>
      <w:r>
        <w:rPr>
          <w:rFonts w:ascii="Wingdings" w:hAnsi="Wingdings" w:cs="Times New Roman"/>
        </w:rPr>
        <w:sym w:font="Wingdings" w:char="F0D8"/>
      </w:r>
      <w:r>
        <w:rPr>
          <w:rFonts w:ascii="Times New Roman" w:hAnsi="Times New Roman" w:cs="Times New Roman"/>
        </w:rPr>
        <w:t xml:space="preserve"> zákona </w:t>
      </w:r>
      <w:r w:rsidRPr="00D04455">
        <w:rPr>
          <w:rFonts w:ascii="Times New Roman" w:hAnsi="Times New Roman" w:cs="Times New Roman"/>
        </w:rPr>
        <w:t>č. 523/2003 Z.</w:t>
      </w:r>
      <w:r>
        <w:rPr>
          <w:rFonts w:ascii="Times New Roman" w:hAnsi="Times New Roman" w:cs="Times New Roman"/>
        </w:rPr>
        <w:t xml:space="preserve"> </w:t>
      </w:r>
      <w:r w:rsidRPr="00D04455">
        <w:rPr>
          <w:rFonts w:ascii="Times New Roman" w:hAnsi="Times New Roman" w:cs="Times New Roman"/>
        </w:rPr>
        <w:t>z. o verejnom obstarávaní a o zmene zákona č. 575/2001 Z.</w:t>
      </w:r>
      <w:r>
        <w:rPr>
          <w:rFonts w:ascii="Times New Roman" w:hAnsi="Times New Roman" w:cs="Times New Roman"/>
        </w:rPr>
        <w:t xml:space="preserve"> </w:t>
      </w:r>
      <w:r w:rsidRPr="00D04455">
        <w:rPr>
          <w:rFonts w:ascii="Times New Roman" w:hAnsi="Times New Roman" w:cs="Times New Roman"/>
        </w:rPr>
        <w:t>z. o organizácii činnosti vlády a organizácii ústrednej štátnej správy v znení neskorších predpisov,</w:t>
      </w:r>
    </w:p>
    <w:p w:rsidR="00E75695" w:rsidP="004755CB">
      <w:pPr>
        <w:spacing w:line="360" w:lineRule="auto"/>
        <w:jc w:val="both"/>
        <w:rPr>
          <w:rFonts w:ascii="Times New Roman" w:hAnsi="Times New Roman" w:cs="Times New Roman"/>
        </w:rPr>
      </w:pPr>
      <w:r>
        <w:rPr>
          <w:rFonts w:ascii="Wingdings" w:hAnsi="Wingdings" w:cs="Times New Roman"/>
        </w:rPr>
        <w:sym w:font="Wingdings" w:char="F0D8"/>
      </w:r>
      <w:r>
        <w:rPr>
          <w:rFonts w:ascii="Times New Roman" w:hAnsi="Times New Roman" w:cs="Times New Roman"/>
        </w:rPr>
        <w:t xml:space="preserve"> zákona </w:t>
      </w:r>
      <w:r w:rsidRPr="00D04455">
        <w:rPr>
          <w:rFonts w:ascii="Times New Roman" w:hAnsi="Times New Roman" w:cs="Times New Roman"/>
        </w:rPr>
        <w:t>č. 431/2002 Z.</w:t>
      </w:r>
      <w:r>
        <w:rPr>
          <w:rFonts w:ascii="Times New Roman" w:hAnsi="Times New Roman" w:cs="Times New Roman"/>
        </w:rPr>
        <w:t xml:space="preserve"> </w:t>
      </w:r>
      <w:r w:rsidRPr="00D04455">
        <w:rPr>
          <w:rFonts w:ascii="Times New Roman" w:hAnsi="Times New Roman" w:cs="Times New Roman"/>
        </w:rPr>
        <w:t>z. o účtovníctve v znení neskorších predpisov,</w:t>
      </w:r>
    </w:p>
    <w:p w:rsidR="00E75695" w:rsidRPr="003F4B32" w:rsidP="004755CB">
      <w:pPr>
        <w:spacing w:line="360" w:lineRule="auto"/>
        <w:jc w:val="both"/>
        <w:rPr>
          <w:rFonts w:ascii="Times New Roman" w:hAnsi="Times New Roman" w:cs="Times New Roman"/>
          <w:color w:val="0000FF"/>
        </w:rPr>
      </w:pPr>
      <w:r>
        <w:rPr>
          <w:rFonts w:ascii="Wingdings" w:hAnsi="Wingdings" w:cs="Times New Roman"/>
        </w:rPr>
        <w:sym w:font="Wingdings" w:char="F0D8"/>
      </w:r>
      <w:r>
        <w:rPr>
          <w:rFonts w:ascii="Times New Roman" w:hAnsi="Times New Roman" w:cs="Times New Roman"/>
        </w:rPr>
        <w:t xml:space="preserve"> zákona </w:t>
      </w:r>
      <w:r w:rsidRPr="00D04455">
        <w:rPr>
          <w:rFonts w:ascii="Times New Roman" w:hAnsi="Times New Roman" w:cs="Times New Roman"/>
        </w:rPr>
        <w:t>č. 278/1993 Z.</w:t>
      </w:r>
      <w:r>
        <w:rPr>
          <w:rFonts w:ascii="Times New Roman" w:hAnsi="Times New Roman" w:cs="Times New Roman"/>
        </w:rPr>
        <w:t xml:space="preserve"> </w:t>
      </w:r>
      <w:r w:rsidRPr="00D04455">
        <w:rPr>
          <w:rFonts w:ascii="Times New Roman" w:hAnsi="Times New Roman" w:cs="Times New Roman"/>
        </w:rPr>
        <w:t>z. o správe majetku štátu v znení neskorších predpisov,</w:t>
      </w:r>
    </w:p>
    <w:p w:rsidR="00E75695" w:rsidRPr="003F4B32" w:rsidP="004755CB">
      <w:pPr>
        <w:spacing w:line="360" w:lineRule="auto"/>
        <w:jc w:val="both"/>
        <w:rPr>
          <w:rFonts w:ascii="Times New Roman" w:hAnsi="Times New Roman" w:cs="Times New Roman"/>
          <w:color w:val="0000FF"/>
        </w:rPr>
      </w:pPr>
      <w:r>
        <w:rPr>
          <w:rFonts w:ascii="Wingdings" w:hAnsi="Wingdings" w:cs="Times New Roman"/>
        </w:rPr>
        <w:sym w:font="Wingdings" w:char="F0D8"/>
      </w:r>
      <w:r>
        <w:rPr>
          <w:rFonts w:ascii="Times New Roman" w:hAnsi="Times New Roman" w:cs="Times New Roman"/>
        </w:rPr>
        <w:t xml:space="preserve"> zákona </w:t>
      </w:r>
      <w:r w:rsidRPr="00D04455">
        <w:rPr>
          <w:rFonts w:ascii="Times New Roman" w:hAnsi="Times New Roman" w:cs="Times New Roman"/>
        </w:rPr>
        <w:t>č. 283/2002 Z.</w:t>
      </w:r>
      <w:r>
        <w:rPr>
          <w:rFonts w:ascii="Times New Roman" w:hAnsi="Times New Roman" w:cs="Times New Roman"/>
        </w:rPr>
        <w:t xml:space="preserve"> </w:t>
      </w:r>
      <w:r w:rsidRPr="00D04455">
        <w:rPr>
          <w:rFonts w:ascii="Times New Roman" w:hAnsi="Times New Roman" w:cs="Times New Roman"/>
        </w:rPr>
        <w:t>z. o cestovných náhradách v znení neskorších predpisov,</w:t>
      </w:r>
    </w:p>
    <w:p w:rsidR="00E75695" w:rsidRPr="00D04455" w:rsidP="004755CB">
      <w:pPr>
        <w:spacing w:line="360" w:lineRule="auto"/>
        <w:ind w:left="284" w:hanging="284"/>
        <w:jc w:val="both"/>
        <w:rPr>
          <w:rFonts w:ascii="Times New Roman" w:hAnsi="Times New Roman" w:cs="Times New Roman"/>
          <w:color w:val="0000FF"/>
        </w:rPr>
      </w:pPr>
      <w:r>
        <w:rPr>
          <w:rFonts w:ascii="Wingdings" w:hAnsi="Wingdings" w:cs="Times New Roman"/>
        </w:rPr>
        <w:sym w:font="Wingdings" w:char="F0D8"/>
      </w:r>
      <w:r>
        <w:rPr>
          <w:rFonts w:ascii="Times New Roman" w:hAnsi="Times New Roman" w:cs="Times New Roman"/>
        </w:rPr>
        <w:t xml:space="preserve"> zákona </w:t>
      </w:r>
      <w:r w:rsidRPr="00D04455">
        <w:rPr>
          <w:rFonts w:ascii="Times New Roman" w:hAnsi="Times New Roman" w:cs="Times New Roman"/>
        </w:rPr>
        <w:t>č. 502/2001 Z.</w:t>
      </w:r>
      <w:r w:rsidR="004755CB">
        <w:rPr>
          <w:rFonts w:ascii="Times New Roman" w:hAnsi="Times New Roman" w:cs="Times New Roman"/>
        </w:rPr>
        <w:t xml:space="preserve"> </w:t>
      </w:r>
      <w:r w:rsidRPr="00D04455">
        <w:rPr>
          <w:rFonts w:ascii="Times New Roman" w:hAnsi="Times New Roman" w:cs="Times New Roman"/>
        </w:rPr>
        <w:t xml:space="preserve">z. o finančnej kontrole a vnútornom audite v znení zákona </w:t>
      </w:r>
      <w:r w:rsidR="004755CB">
        <w:rPr>
          <w:rFonts w:ascii="Times New Roman" w:hAnsi="Times New Roman" w:cs="Times New Roman"/>
        </w:rPr>
        <w:t xml:space="preserve">              </w:t>
      </w:r>
      <w:r w:rsidRPr="00D04455">
        <w:rPr>
          <w:rFonts w:ascii="Times New Roman" w:hAnsi="Times New Roman" w:cs="Times New Roman"/>
        </w:rPr>
        <w:t>č. 618/2004 Z.</w:t>
      </w:r>
      <w:r>
        <w:rPr>
          <w:rFonts w:ascii="Times New Roman" w:hAnsi="Times New Roman" w:cs="Times New Roman"/>
        </w:rPr>
        <w:t xml:space="preserve"> </w:t>
      </w:r>
      <w:r w:rsidRPr="00D04455">
        <w:rPr>
          <w:rFonts w:ascii="Times New Roman" w:hAnsi="Times New Roman" w:cs="Times New Roman"/>
        </w:rPr>
        <w:t>z</w:t>
      </w:r>
      <w:r>
        <w:rPr>
          <w:rFonts w:ascii="Times New Roman" w:hAnsi="Times New Roman" w:cs="Times New Roman"/>
        </w:rPr>
        <w:t>.</w:t>
      </w:r>
    </w:p>
    <w:p w:rsidR="00E75695" w:rsidRPr="00D04455" w:rsidP="00E75695">
      <w:pPr>
        <w:jc w:val="both"/>
        <w:rPr>
          <w:rFonts w:ascii="Times New Roman" w:hAnsi="Times New Roman" w:cs="Times New Roman"/>
        </w:rPr>
      </w:pPr>
    </w:p>
    <w:p w:rsidR="00E75695" w:rsidRPr="00D04455" w:rsidP="00E75695">
      <w:pPr>
        <w:spacing w:line="360" w:lineRule="auto"/>
        <w:ind w:firstLine="360"/>
        <w:jc w:val="both"/>
        <w:rPr>
          <w:rFonts w:ascii="Times New Roman" w:hAnsi="Times New Roman" w:cs="Times New Roman"/>
        </w:rPr>
      </w:pPr>
      <w:r>
        <w:rPr>
          <w:rFonts w:ascii="Times New Roman" w:hAnsi="Times New Roman" w:cs="Times New Roman"/>
        </w:rPr>
        <w:t xml:space="preserve">     </w:t>
      </w:r>
      <w:r w:rsidRPr="00D04455">
        <w:rPr>
          <w:rFonts w:ascii="Times New Roman" w:hAnsi="Times New Roman" w:cs="Times New Roman"/>
        </w:rPr>
        <w:t xml:space="preserve">V prípadoch zistenia nedostatkov, ktoré zakladali podozrenie z trestnej činnosti, postupovali kontrolné orgány podľa zákona a oznamovali ich orgánom činným v trestnom konaní. </w:t>
      </w:r>
      <w:r>
        <w:rPr>
          <w:rFonts w:ascii="Times New Roman" w:hAnsi="Times New Roman" w:cs="Times New Roman"/>
        </w:rPr>
        <w:t>Prehľad o počte takýchto prípadoch podľa jednotlivých kontrolných orgánov poskytujú nasledovné údaje:</w:t>
      </w:r>
    </w:p>
    <w:p w:rsidR="00E75695" w:rsidRPr="00D04455" w:rsidP="00E75695">
      <w:pPr>
        <w:jc w:val="both"/>
        <w:rPr>
          <w:rFonts w:ascii="Times New Roman" w:hAnsi="Times New Roman" w:cs="Times New Roman"/>
          <w:b/>
          <w:u w:val="single"/>
        </w:rPr>
      </w:pPr>
    </w:p>
    <w:tbl>
      <w:tblPr>
        <w:tblW w:w="0" w:type="auto"/>
        <w:jc w:val="center"/>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CellMar>
          <w:top w:w="0" w:type="dxa"/>
          <w:left w:w="70" w:type="dxa"/>
          <w:bottom w:w="0" w:type="dxa"/>
          <w:right w:w="70" w:type="dxa"/>
        </w:tblCellMar>
      </w:tblPr>
      <w:tblGrid>
        <w:gridCol w:w="3572"/>
        <w:gridCol w:w="2268"/>
      </w:tblGrid>
      <w:tr>
        <w:tblPrEx>
          <w:tblW w:w="0" w:type="auto"/>
          <w:jc w:val="center"/>
          <w:tblBorders>
            <w:top w:val="single" w:sz="8" w:space="0" w:color="auto"/>
            <w:left w:val="single" w:sz="8" w:space="0" w:color="auto"/>
            <w:bottom w:val="double" w:sz="6" w:space="0" w:color="auto"/>
            <w:right w:val="single" w:sz="8" w:space="0" w:color="auto"/>
            <w:insideH w:val="single" w:sz="4" w:space="0" w:color="auto"/>
            <w:insideV w:val="single" w:sz="4" w:space="0" w:color="auto"/>
          </w:tblBorders>
          <w:tblCellMar>
            <w:top w:w="0" w:type="dxa"/>
            <w:left w:w="70" w:type="dxa"/>
            <w:bottom w:w="0" w:type="dxa"/>
            <w:right w:w="70" w:type="dxa"/>
          </w:tblCellMar>
        </w:tblPrEx>
        <w:trPr>
          <w:trHeight w:val="353"/>
          <w:jc w:val="center"/>
        </w:trPr>
        <w:tc>
          <w:tcPr>
            <w:tcW w:w="3572"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E75695" w:rsidRPr="004755CB" w:rsidP="00E75695">
            <w:pPr>
              <w:jc w:val="center"/>
              <w:rPr>
                <w:rFonts w:ascii="Times New Roman" w:hAnsi="Times New Roman" w:cs="Times New Roman"/>
                <w:b/>
                <w:sz w:val="20"/>
                <w:szCs w:val="20"/>
              </w:rPr>
            </w:pPr>
            <w:r w:rsidRPr="004755CB">
              <w:rPr>
                <w:rFonts w:ascii="Times New Roman" w:hAnsi="Times New Roman" w:cs="Times New Roman"/>
                <w:b/>
                <w:sz w:val="20"/>
                <w:szCs w:val="20"/>
              </w:rPr>
              <w:t>Kontrolný orgán</w:t>
            </w:r>
          </w:p>
        </w:tc>
        <w:tc>
          <w:tcPr>
            <w:tcW w:w="2268" w:type="dxa"/>
            <w:tcBorders>
              <w:top w:val="single" w:sz="8" w:space="0" w:color="auto"/>
              <w:left w:val="single" w:sz="4" w:space="0" w:color="auto"/>
              <w:bottom w:val="single" w:sz="4" w:space="0" w:color="auto"/>
              <w:right w:val="single" w:sz="8" w:space="0" w:color="auto"/>
              <w:tl2br w:val="nil"/>
              <w:tr2bl w:val="nil"/>
            </w:tcBorders>
            <w:textDirection w:val="lrTb"/>
            <w:vAlign w:val="center"/>
          </w:tcPr>
          <w:p w:rsidR="00E75695" w:rsidRPr="004755CB" w:rsidP="00E75695">
            <w:pPr>
              <w:jc w:val="center"/>
              <w:rPr>
                <w:rFonts w:ascii="Times New Roman" w:hAnsi="Times New Roman" w:cs="Times New Roman"/>
                <w:b/>
                <w:sz w:val="20"/>
                <w:szCs w:val="20"/>
              </w:rPr>
            </w:pPr>
            <w:r w:rsidRPr="004755CB">
              <w:rPr>
                <w:rFonts w:ascii="Times New Roman" w:hAnsi="Times New Roman" w:cs="Times New Roman"/>
                <w:b/>
                <w:sz w:val="20"/>
                <w:szCs w:val="20"/>
              </w:rPr>
              <w:t>Počet prípadov</w:t>
            </w:r>
          </w:p>
        </w:tc>
      </w:tr>
      <w:tr>
        <w:tblPrEx>
          <w:tblW w:w="0" w:type="auto"/>
          <w:jc w:val="center"/>
          <w:tblCellMar>
            <w:top w:w="0" w:type="dxa"/>
            <w:left w:w="70" w:type="dxa"/>
            <w:bottom w:w="0" w:type="dxa"/>
            <w:right w:w="70" w:type="dxa"/>
          </w:tblCellMar>
        </w:tblPrEx>
        <w:trPr>
          <w:trHeight w:val="174"/>
          <w:jc w:val="center"/>
        </w:trPr>
        <w:tc>
          <w:tcPr>
            <w:tcW w:w="357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4755CB" w:rsidP="00E75695">
            <w:pPr>
              <w:rPr>
                <w:rFonts w:ascii="Times New Roman" w:hAnsi="Times New Roman" w:cs="Times New Roman"/>
                <w:sz w:val="20"/>
                <w:szCs w:val="20"/>
              </w:rPr>
            </w:pPr>
            <w:r w:rsidRPr="004755CB">
              <w:rPr>
                <w:rFonts w:ascii="Times New Roman" w:hAnsi="Times New Roman" w:cs="Times New Roman"/>
                <w:sz w:val="20"/>
                <w:szCs w:val="20"/>
              </w:rPr>
              <w:t>Slovenská informačná služba</w:t>
            </w:r>
          </w:p>
        </w:tc>
        <w:tc>
          <w:tcPr>
            <w:tcW w:w="2268"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4755CB" w:rsidP="00E75695">
            <w:pPr>
              <w:jc w:val="center"/>
              <w:rPr>
                <w:rFonts w:ascii="Times New Roman" w:hAnsi="Times New Roman" w:cs="Times New Roman"/>
                <w:sz w:val="20"/>
                <w:szCs w:val="20"/>
              </w:rPr>
            </w:pPr>
            <w:r w:rsidRPr="004755CB">
              <w:rPr>
                <w:rFonts w:ascii="Times New Roman" w:hAnsi="Times New Roman" w:cs="Times New Roman"/>
                <w:sz w:val="20"/>
                <w:szCs w:val="20"/>
              </w:rPr>
              <w:t>1</w:t>
            </w:r>
          </w:p>
        </w:tc>
      </w:tr>
      <w:tr>
        <w:tblPrEx>
          <w:tblW w:w="0" w:type="auto"/>
          <w:jc w:val="center"/>
          <w:tblCellMar>
            <w:top w:w="0" w:type="dxa"/>
            <w:left w:w="70" w:type="dxa"/>
            <w:bottom w:w="0" w:type="dxa"/>
            <w:right w:w="70" w:type="dxa"/>
          </w:tblCellMar>
        </w:tblPrEx>
        <w:trPr>
          <w:trHeight w:val="116"/>
          <w:jc w:val="center"/>
        </w:trPr>
        <w:tc>
          <w:tcPr>
            <w:tcW w:w="357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4755CB" w:rsidP="00E75695">
            <w:pPr>
              <w:rPr>
                <w:rFonts w:ascii="Times New Roman" w:hAnsi="Times New Roman" w:cs="Times New Roman"/>
                <w:sz w:val="20"/>
                <w:szCs w:val="20"/>
              </w:rPr>
            </w:pPr>
            <w:r w:rsidRPr="004755CB">
              <w:rPr>
                <w:rFonts w:ascii="Times New Roman" w:hAnsi="Times New Roman" w:cs="Times New Roman"/>
                <w:sz w:val="20"/>
                <w:szCs w:val="20"/>
              </w:rPr>
              <w:t>Ministerstvo pôdohospodárstva SR</w:t>
            </w:r>
          </w:p>
        </w:tc>
        <w:tc>
          <w:tcPr>
            <w:tcW w:w="2268"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4755CB" w:rsidP="00E75695">
            <w:pPr>
              <w:jc w:val="center"/>
              <w:rPr>
                <w:rFonts w:ascii="Times New Roman" w:hAnsi="Times New Roman" w:cs="Times New Roman"/>
                <w:sz w:val="20"/>
                <w:szCs w:val="20"/>
              </w:rPr>
            </w:pPr>
            <w:r w:rsidRPr="004755CB">
              <w:rPr>
                <w:rFonts w:ascii="Times New Roman" w:hAnsi="Times New Roman" w:cs="Times New Roman"/>
                <w:sz w:val="20"/>
                <w:szCs w:val="20"/>
              </w:rPr>
              <w:t>7</w:t>
            </w:r>
          </w:p>
        </w:tc>
      </w:tr>
      <w:tr>
        <w:tblPrEx>
          <w:tblW w:w="0" w:type="auto"/>
          <w:jc w:val="center"/>
          <w:tblCellMar>
            <w:top w:w="0" w:type="dxa"/>
            <w:left w:w="70" w:type="dxa"/>
            <w:bottom w:w="0" w:type="dxa"/>
            <w:right w:w="70" w:type="dxa"/>
          </w:tblCellMar>
        </w:tblPrEx>
        <w:trPr>
          <w:trHeight w:val="70"/>
          <w:jc w:val="center"/>
        </w:trPr>
        <w:tc>
          <w:tcPr>
            <w:tcW w:w="357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4755CB" w:rsidP="00E75695">
            <w:pPr>
              <w:rPr>
                <w:rFonts w:ascii="Times New Roman" w:hAnsi="Times New Roman" w:cs="Times New Roman"/>
                <w:sz w:val="20"/>
                <w:szCs w:val="20"/>
              </w:rPr>
            </w:pPr>
            <w:r w:rsidRPr="004755CB">
              <w:rPr>
                <w:rFonts w:ascii="Times New Roman" w:hAnsi="Times New Roman" w:cs="Times New Roman"/>
                <w:sz w:val="20"/>
                <w:szCs w:val="20"/>
              </w:rPr>
              <w:t>Ministerstvo obrany SR</w:t>
            </w:r>
          </w:p>
        </w:tc>
        <w:tc>
          <w:tcPr>
            <w:tcW w:w="2268"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4755CB" w:rsidP="00E75695">
            <w:pPr>
              <w:jc w:val="center"/>
              <w:rPr>
                <w:rFonts w:ascii="Times New Roman" w:hAnsi="Times New Roman" w:cs="Times New Roman"/>
                <w:sz w:val="20"/>
                <w:szCs w:val="20"/>
              </w:rPr>
            </w:pPr>
            <w:r w:rsidRPr="004755CB">
              <w:rPr>
                <w:rFonts w:ascii="Times New Roman" w:hAnsi="Times New Roman" w:cs="Times New Roman"/>
                <w:sz w:val="20"/>
                <w:szCs w:val="20"/>
              </w:rPr>
              <w:t>7</w:t>
            </w:r>
          </w:p>
        </w:tc>
      </w:tr>
      <w:tr>
        <w:tblPrEx>
          <w:tblW w:w="0" w:type="auto"/>
          <w:jc w:val="center"/>
          <w:tblCellMar>
            <w:top w:w="0" w:type="dxa"/>
            <w:left w:w="70" w:type="dxa"/>
            <w:bottom w:w="0" w:type="dxa"/>
            <w:right w:w="70" w:type="dxa"/>
          </w:tblCellMar>
        </w:tblPrEx>
        <w:trPr>
          <w:trHeight w:val="166"/>
          <w:jc w:val="center"/>
        </w:trPr>
        <w:tc>
          <w:tcPr>
            <w:tcW w:w="357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4755CB" w:rsidP="00E75695">
            <w:pPr>
              <w:rPr>
                <w:rFonts w:ascii="Times New Roman" w:hAnsi="Times New Roman" w:cs="Times New Roman"/>
                <w:sz w:val="20"/>
                <w:szCs w:val="20"/>
              </w:rPr>
            </w:pPr>
            <w:r w:rsidRPr="004755CB">
              <w:rPr>
                <w:rFonts w:ascii="Times New Roman" w:hAnsi="Times New Roman" w:cs="Times New Roman"/>
                <w:sz w:val="20"/>
                <w:szCs w:val="20"/>
              </w:rPr>
              <w:t>Ministerstvo vnútra SR</w:t>
            </w:r>
          </w:p>
        </w:tc>
        <w:tc>
          <w:tcPr>
            <w:tcW w:w="2268"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4755CB" w:rsidP="00E75695">
            <w:pPr>
              <w:jc w:val="center"/>
              <w:rPr>
                <w:rFonts w:ascii="Times New Roman" w:hAnsi="Times New Roman" w:cs="Times New Roman"/>
                <w:sz w:val="20"/>
                <w:szCs w:val="20"/>
              </w:rPr>
            </w:pPr>
            <w:r w:rsidRPr="004755CB">
              <w:rPr>
                <w:rFonts w:ascii="Times New Roman" w:hAnsi="Times New Roman" w:cs="Times New Roman"/>
                <w:sz w:val="20"/>
                <w:szCs w:val="20"/>
              </w:rPr>
              <w:t>4</w:t>
            </w:r>
          </w:p>
        </w:tc>
      </w:tr>
      <w:tr>
        <w:tblPrEx>
          <w:tblW w:w="0" w:type="auto"/>
          <w:jc w:val="center"/>
          <w:tblCellMar>
            <w:top w:w="0" w:type="dxa"/>
            <w:left w:w="70" w:type="dxa"/>
            <w:bottom w:w="0" w:type="dxa"/>
            <w:right w:w="70" w:type="dxa"/>
          </w:tblCellMar>
        </w:tblPrEx>
        <w:trPr>
          <w:trHeight w:val="108"/>
          <w:jc w:val="center"/>
        </w:trPr>
        <w:tc>
          <w:tcPr>
            <w:tcW w:w="357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4755CB" w:rsidP="00E75695">
            <w:pPr>
              <w:rPr>
                <w:rFonts w:ascii="Times New Roman" w:hAnsi="Times New Roman" w:cs="Times New Roman"/>
                <w:sz w:val="20"/>
                <w:szCs w:val="20"/>
              </w:rPr>
            </w:pPr>
            <w:r w:rsidRPr="004755CB">
              <w:rPr>
                <w:rFonts w:ascii="Times New Roman" w:hAnsi="Times New Roman" w:cs="Times New Roman"/>
                <w:sz w:val="20"/>
                <w:szCs w:val="20"/>
              </w:rPr>
              <w:t>SFK Bratislava</w:t>
            </w:r>
          </w:p>
        </w:tc>
        <w:tc>
          <w:tcPr>
            <w:tcW w:w="2268"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4755CB" w:rsidP="00E75695">
            <w:pPr>
              <w:jc w:val="center"/>
              <w:rPr>
                <w:rFonts w:ascii="Times New Roman" w:hAnsi="Times New Roman" w:cs="Times New Roman"/>
                <w:sz w:val="20"/>
                <w:szCs w:val="20"/>
              </w:rPr>
            </w:pPr>
            <w:r w:rsidRPr="004755CB">
              <w:rPr>
                <w:rFonts w:ascii="Times New Roman" w:hAnsi="Times New Roman" w:cs="Times New Roman"/>
                <w:sz w:val="20"/>
                <w:szCs w:val="20"/>
              </w:rPr>
              <w:t>3</w:t>
            </w:r>
          </w:p>
        </w:tc>
      </w:tr>
      <w:tr>
        <w:tblPrEx>
          <w:tblW w:w="0" w:type="auto"/>
          <w:jc w:val="center"/>
          <w:tblCellMar>
            <w:top w:w="0" w:type="dxa"/>
            <w:left w:w="70" w:type="dxa"/>
            <w:bottom w:w="0" w:type="dxa"/>
            <w:right w:w="70" w:type="dxa"/>
          </w:tblCellMar>
        </w:tblPrEx>
        <w:trPr>
          <w:trHeight w:val="70"/>
          <w:jc w:val="center"/>
        </w:trPr>
        <w:tc>
          <w:tcPr>
            <w:tcW w:w="357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4755CB" w:rsidP="00E75695">
            <w:pPr>
              <w:rPr>
                <w:rFonts w:ascii="Times New Roman" w:hAnsi="Times New Roman" w:cs="Times New Roman"/>
                <w:sz w:val="20"/>
                <w:szCs w:val="20"/>
              </w:rPr>
            </w:pPr>
            <w:r w:rsidRPr="004755CB">
              <w:rPr>
                <w:rFonts w:ascii="Times New Roman" w:hAnsi="Times New Roman" w:cs="Times New Roman"/>
                <w:sz w:val="20"/>
                <w:szCs w:val="20"/>
              </w:rPr>
              <w:t>SFK Zvolen</w:t>
            </w:r>
          </w:p>
        </w:tc>
        <w:tc>
          <w:tcPr>
            <w:tcW w:w="2268"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4755CB" w:rsidP="00E75695">
            <w:pPr>
              <w:jc w:val="center"/>
              <w:rPr>
                <w:rFonts w:ascii="Times New Roman" w:hAnsi="Times New Roman" w:cs="Times New Roman"/>
                <w:sz w:val="20"/>
                <w:szCs w:val="20"/>
              </w:rPr>
            </w:pPr>
            <w:r w:rsidRPr="004755CB">
              <w:rPr>
                <w:rFonts w:ascii="Times New Roman" w:hAnsi="Times New Roman" w:cs="Times New Roman"/>
                <w:sz w:val="20"/>
                <w:szCs w:val="20"/>
              </w:rPr>
              <w:t>7</w:t>
            </w:r>
          </w:p>
        </w:tc>
      </w:tr>
      <w:tr>
        <w:tblPrEx>
          <w:tblW w:w="0" w:type="auto"/>
          <w:jc w:val="center"/>
          <w:tblCellMar>
            <w:top w:w="0" w:type="dxa"/>
            <w:left w:w="70" w:type="dxa"/>
            <w:bottom w:w="0" w:type="dxa"/>
            <w:right w:w="70" w:type="dxa"/>
          </w:tblCellMar>
        </w:tblPrEx>
        <w:trPr>
          <w:trHeight w:val="70"/>
          <w:jc w:val="center"/>
        </w:trPr>
        <w:tc>
          <w:tcPr>
            <w:tcW w:w="3572"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E75695" w:rsidRPr="004755CB" w:rsidP="00E75695">
            <w:pPr>
              <w:rPr>
                <w:rFonts w:ascii="Times New Roman" w:hAnsi="Times New Roman" w:cs="Times New Roman"/>
                <w:sz w:val="20"/>
                <w:szCs w:val="20"/>
              </w:rPr>
            </w:pPr>
            <w:r w:rsidRPr="004755CB">
              <w:rPr>
                <w:rFonts w:ascii="Times New Roman" w:hAnsi="Times New Roman" w:cs="Times New Roman"/>
                <w:sz w:val="20"/>
                <w:szCs w:val="20"/>
              </w:rPr>
              <w:t>SFK Košice</w:t>
            </w:r>
          </w:p>
        </w:tc>
        <w:tc>
          <w:tcPr>
            <w:tcW w:w="2268" w:type="dxa"/>
            <w:tcBorders>
              <w:top w:val="single" w:sz="4" w:space="0" w:color="auto"/>
              <w:left w:val="single" w:sz="4" w:space="0" w:color="auto"/>
              <w:bottom w:val="single" w:sz="4" w:space="0" w:color="auto"/>
              <w:right w:val="single" w:sz="8" w:space="0" w:color="auto"/>
              <w:tl2br w:val="nil"/>
              <w:tr2bl w:val="nil"/>
            </w:tcBorders>
            <w:textDirection w:val="lrTb"/>
            <w:vAlign w:val="center"/>
          </w:tcPr>
          <w:p w:rsidR="00E75695" w:rsidRPr="004755CB" w:rsidP="00E75695">
            <w:pPr>
              <w:jc w:val="center"/>
              <w:rPr>
                <w:rFonts w:ascii="Times New Roman" w:hAnsi="Times New Roman" w:cs="Times New Roman"/>
                <w:sz w:val="20"/>
                <w:szCs w:val="20"/>
              </w:rPr>
            </w:pPr>
            <w:r w:rsidRPr="004755CB">
              <w:rPr>
                <w:rFonts w:ascii="Times New Roman" w:hAnsi="Times New Roman" w:cs="Times New Roman"/>
                <w:sz w:val="20"/>
                <w:szCs w:val="20"/>
              </w:rPr>
              <w:t>4</w:t>
            </w:r>
          </w:p>
        </w:tc>
      </w:tr>
      <w:tr>
        <w:tblPrEx>
          <w:tblW w:w="0" w:type="auto"/>
          <w:jc w:val="center"/>
          <w:tblCellMar>
            <w:top w:w="0" w:type="dxa"/>
            <w:left w:w="70" w:type="dxa"/>
            <w:bottom w:w="0" w:type="dxa"/>
            <w:right w:w="70" w:type="dxa"/>
          </w:tblCellMar>
        </w:tblPrEx>
        <w:trPr>
          <w:trHeight w:val="115"/>
          <w:jc w:val="center"/>
        </w:trPr>
        <w:tc>
          <w:tcPr>
            <w:tcW w:w="3572" w:type="dxa"/>
            <w:tcBorders>
              <w:top w:val="single" w:sz="4" w:space="0" w:color="auto"/>
              <w:left w:val="single" w:sz="8" w:space="0" w:color="auto"/>
              <w:bottom w:val="double" w:sz="6" w:space="0" w:color="auto"/>
              <w:right w:val="single" w:sz="4" w:space="0" w:color="auto"/>
              <w:tl2br w:val="nil"/>
              <w:tr2bl w:val="nil"/>
            </w:tcBorders>
            <w:textDirection w:val="lrTb"/>
            <w:vAlign w:val="center"/>
          </w:tcPr>
          <w:p w:rsidR="00E75695" w:rsidRPr="004755CB" w:rsidP="00E75695">
            <w:pPr>
              <w:rPr>
                <w:rFonts w:ascii="Times New Roman" w:hAnsi="Times New Roman" w:cs="Times New Roman"/>
                <w:b/>
                <w:sz w:val="20"/>
                <w:szCs w:val="20"/>
              </w:rPr>
            </w:pPr>
            <w:r w:rsidR="004755CB">
              <w:rPr>
                <w:rFonts w:ascii="Times New Roman" w:hAnsi="Times New Roman" w:cs="Times New Roman"/>
                <w:b/>
                <w:sz w:val="20"/>
                <w:szCs w:val="20"/>
              </w:rPr>
              <w:t>SPOLU</w:t>
            </w:r>
          </w:p>
        </w:tc>
        <w:tc>
          <w:tcPr>
            <w:tcW w:w="2268" w:type="dxa"/>
            <w:tcBorders>
              <w:top w:val="single" w:sz="4" w:space="0" w:color="auto"/>
              <w:left w:val="single" w:sz="4" w:space="0" w:color="auto"/>
              <w:bottom w:val="double" w:sz="6" w:space="0" w:color="auto"/>
              <w:right w:val="single" w:sz="8" w:space="0" w:color="auto"/>
              <w:tl2br w:val="nil"/>
              <w:tr2bl w:val="nil"/>
            </w:tcBorders>
            <w:textDirection w:val="lrTb"/>
            <w:vAlign w:val="center"/>
          </w:tcPr>
          <w:p w:rsidR="00E75695" w:rsidRPr="004755CB" w:rsidP="00E75695">
            <w:pPr>
              <w:jc w:val="center"/>
              <w:rPr>
                <w:rFonts w:ascii="Times New Roman" w:hAnsi="Times New Roman" w:cs="Times New Roman"/>
                <w:b/>
                <w:sz w:val="20"/>
                <w:szCs w:val="20"/>
              </w:rPr>
            </w:pPr>
            <w:r w:rsidRPr="004755CB">
              <w:rPr>
                <w:rFonts w:ascii="Times New Roman" w:hAnsi="Times New Roman" w:cs="Times New Roman"/>
                <w:b/>
                <w:sz w:val="20"/>
                <w:szCs w:val="20"/>
              </w:rPr>
              <w:t>33</w:t>
            </w:r>
          </w:p>
        </w:tc>
      </w:tr>
    </w:tbl>
    <w:p w:rsidR="00DF014C" w:rsidRPr="00DF014C" w:rsidP="00DF014C">
      <w:pPr>
        <w:rPr>
          <w:rFonts w:ascii="Times New Roman" w:hAnsi="Times New Roman" w:cs="Times New Roman"/>
          <w:sz w:val="20"/>
          <w:szCs w:val="20"/>
        </w:rPr>
      </w:pPr>
      <w:r>
        <w:rPr>
          <w:rFonts w:ascii="Times New Roman" w:hAnsi="Times New Roman" w:cs="Times New Roman"/>
          <w:sz w:val="20"/>
          <w:szCs w:val="20"/>
        </w:rPr>
        <w:t xml:space="preserve">                                 </w:t>
      </w:r>
      <w:r w:rsidRPr="00DF014C">
        <w:rPr>
          <w:rFonts w:ascii="Times New Roman" w:hAnsi="Times New Roman" w:cs="Times New Roman"/>
          <w:sz w:val="20"/>
          <w:szCs w:val="20"/>
        </w:rPr>
        <w:t>Zdroj: Ministerstvo financií SR</w:t>
      </w:r>
    </w:p>
    <w:p w:rsidR="00E75695" w:rsidRPr="00CF7CAE" w:rsidP="004755CB">
      <w:pPr>
        <w:jc w:val="center"/>
        <w:rPr>
          <w:rFonts w:ascii="Times New Roman" w:hAnsi="Times New Roman" w:cs="Times New Roman"/>
          <w:b/>
        </w:rPr>
      </w:pPr>
      <w:r w:rsidR="00644DA1">
        <w:rPr>
          <w:rFonts w:ascii="Times New Roman" w:hAnsi="Times New Roman" w:cs="Times New Roman"/>
          <w:b/>
        </w:rPr>
        <w:t>7</w:t>
      </w:r>
      <w:r>
        <w:rPr>
          <w:rFonts w:ascii="Times New Roman" w:hAnsi="Times New Roman" w:cs="Times New Roman"/>
          <w:b/>
        </w:rPr>
        <w:t xml:space="preserve">.2. </w:t>
      </w:r>
      <w:r w:rsidRPr="00CF7CAE">
        <w:rPr>
          <w:rFonts w:ascii="Times New Roman" w:hAnsi="Times New Roman" w:cs="Times New Roman"/>
          <w:b/>
        </w:rPr>
        <w:t>Vnútorný audit</w:t>
      </w:r>
      <w:r>
        <w:rPr>
          <w:rFonts w:ascii="Times New Roman" w:hAnsi="Times New Roman" w:cs="Times New Roman"/>
          <w:b/>
        </w:rPr>
        <w:t xml:space="preserve"> verejných prostriedkov</w:t>
      </w:r>
    </w:p>
    <w:p w:rsidR="00E75695" w:rsidRPr="00CF7CAE" w:rsidP="00E75695">
      <w:pPr>
        <w:jc w:val="both"/>
        <w:rPr>
          <w:rFonts w:ascii="Times New Roman" w:hAnsi="Times New Roman" w:cs="Times New Roman"/>
          <w:b/>
          <w:bCs/>
        </w:rPr>
      </w:pPr>
    </w:p>
    <w:p w:rsidR="00E75695" w:rsidP="00E75695">
      <w:pPr>
        <w:spacing w:line="360" w:lineRule="auto"/>
        <w:ind w:firstLine="720"/>
        <w:jc w:val="both"/>
        <w:rPr>
          <w:rFonts w:ascii="Times New Roman" w:hAnsi="Times New Roman" w:cs="Times New Roman"/>
        </w:rPr>
      </w:pPr>
      <w:r w:rsidRPr="00CF7CAE">
        <w:rPr>
          <w:rFonts w:ascii="Times New Roman" w:hAnsi="Times New Roman" w:cs="Times New Roman"/>
        </w:rPr>
        <w:t xml:space="preserve">Podľa </w:t>
      </w:r>
      <w:r>
        <w:rPr>
          <w:rFonts w:ascii="Times New Roman" w:hAnsi="Times New Roman" w:cs="Times New Roman"/>
        </w:rPr>
        <w:t>z</w:t>
      </w:r>
      <w:r w:rsidRPr="00CF7CAE">
        <w:rPr>
          <w:rFonts w:ascii="Times New Roman" w:hAnsi="Times New Roman" w:cs="Times New Roman"/>
        </w:rPr>
        <w:t>ákona</w:t>
      </w:r>
      <w:r w:rsidRPr="004C66C0">
        <w:rPr>
          <w:rFonts w:ascii="Times New Roman" w:hAnsi="Times New Roman" w:cs="Times New Roman"/>
        </w:rPr>
        <w:t xml:space="preserve"> </w:t>
      </w:r>
      <w:r>
        <w:rPr>
          <w:rFonts w:ascii="Times New Roman" w:hAnsi="Times New Roman" w:cs="Times New Roman"/>
        </w:rPr>
        <w:t>o finančnej kontrole a vnútornom audite</w:t>
      </w:r>
      <w:r w:rsidRPr="00CF7CAE">
        <w:rPr>
          <w:rFonts w:ascii="Times New Roman" w:hAnsi="Times New Roman" w:cs="Times New Roman"/>
        </w:rPr>
        <w:t xml:space="preserve"> sú vedúci ústredných orgánov povinní zabezpečiť vykonávanie vnútorného auditu vlastným zamestnancom, alebo organizačnou jednotkou, funkčne a organizačne oddelených od riadiacich a kontrolných štruktúr. O výnimke z</w:t>
      </w:r>
      <w:r>
        <w:rPr>
          <w:rFonts w:ascii="Times New Roman" w:hAnsi="Times New Roman" w:cs="Times New Roman"/>
        </w:rPr>
        <w:t xml:space="preserve"> tejto </w:t>
      </w:r>
      <w:r w:rsidRPr="00CF7CAE">
        <w:rPr>
          <w:rFonts w:ascii="Times New Roman" w:hAnsi="Times New Roman" w:cs="Times New Roman"/>
        </w:rPr>
        <w:t xml:space="preserve">povinnosti (kde by to bolo vzhľadom na počet zamestnancov, objem rozpočtu verejných prostriedkov a organizačnú štruktúru ústredného orgánu zjavne nehospodárne, neefektívne a neúčinné) rozhoduje minister financií SR. </w:t>
      </w:r>
    </w:p>
    <w:p w:rsidR="00E75695" w:rsidRPr="00CF7CAE" w:rsidP="00E75695">
      <w:pPr>
        <w:spacing w:line="360" w:lineRule="auto"/>
        <w:ind w:firstLine="720"/>
        <w:jc w:val="both"/>
        <w:rPr>
          <w:rFonts w:ascii="Times New Roman" w:hAnsi="Times New Roman" w:cs="Times New Roman"/>
        </w:rPr>
      </w:pPr>
      <w:r w:rsidRPr="00CF7CAE">
        <w:rPr>
          <w:rFonts w:ascii="Times New Roman" w:hAnsi="Times New Roman" w:cs="Times New Roman"/>
        </w:rPr>
        <w:t>Vykonávanie vnútorného auditu vlastným zamestnancom bolo k 31.12.200</w:t>
      </w:r>
      <w:r>
        <w:rPr>
          <w:rFonts w:ascii="Times New Roman" w:hAnsi="Times New Roman" w:cs="Times New Roman"/>
        </w:rPr>
        <w:t>6</w:t>
      </w:r>
      <w:r w:rsidRPr="00CF7CAE">
        <w:rPr>
          <w:rFonts w:ascii="Times New Roman" w:hAnsi="Times New Roman" w:cs="Times New Roman"/>
        </w:rPr>
        <w:t xml:space="preserve"> zabezpečené v </w:t>
      </w:r>
      <w:r w:rsidRPr="00A01D9A">
        <w:rPr>
          <w:rFonts w:ascii="Times New Roman" w:hAnsi="Times New Roman" w:cs="Times New Roman"/>
        </w:rPr>
        <w:t>25</w:t>
      </w:r>
      <w:r w:rsidRPr="00CF7CAE">
        <w:rPr>
          <w:rFonts w:ascii="Times New Roman" w:hAnsi="Times New Roman" w:cs="Times New Roman"/>
        </w:rPr>
        <w:t xml:space="preserve"> ústredných orgánoch, </w:t>
      </w:r>
      <w:r>
        <w:rPr>
          <w:rFonts w:ascii="Times New Roman" w:hAnsi="Times New Roman" w:cs="Times New Roman"/>
        </w:rPr>
        <w:t>4</w:t>
      </w:r>
      <w:r w:rsidRPr="00CF7CAE">
        <w:rPr>
          <w:rFonts w:ascii="Times New Roman" w:hAnsi="Times New Roman" w:cs="Times New Roman"/>
        </w:rPr>
        <w:t xml:space="preserve"> ústredn</w:t>
      </w:r>
      <w:r>
        <w:rPr>
          <w:rFonts w:ascii="Times New Roman" w:hAnsi="Times New Roman" w:cs="Times New Roman"/>
        </w:rPr>
        <w:t>é</w:t>
      </w:r>
      <w:r w:rsidRPr="00CF7CAE">
        <w:rPr>
          <w:rFonts w:ascii="Times New Roman" w:hAnsi="Times New Roman" w:cs="Times New Roman"/>
        </w:rPr>
        <w:t xml:space="preserve"> orgán</w:t>
      </w:r>
      <w:r>
        <w:rPr>
          <w:rFonts w:ascii="Times New Roman" w:hAnsi="Times New Roman" w:cs="Times New Roman"/>
        </w:rPr>
        <w:t>y</w:t>
      </w:r>
      <w:r w:rsidRPr="00CF7CAE">
        <w:rPr>
          <w:rFonts w:ascii="Times New Roman" w:hAnsi="Times New Roman" w:cs="Times New Roman"/>
        </w:rPr>
        <w:t xml:space="preserve"> nemal</w:t>
      </w:r>
      <w:r>
        <w:rPr>
          <w:rFonts w:ascii="Times New Roman" w:hAnsi="Times New Roman" w:cs="Times New Roman"/>
        </w:rPr>
        <w:t>i</w:t>
      </w:r>
      <w:r w:rsidRPr="00CF7CAE">
        <w:rPr>
          <w:rFonts w:ascii="Times New Roman" w:hAnsi="Times New Roman" w:cs="Times New Roman"/>
        </w:rPr>
        <w:t xml:space="preserve"> funkciu vnútorného audítora obsadenú a 3 ústredné orgány  mali výnimku z povinnosti zabezpečiť vykonávanie vnútorného auditu vlastným zamestnancom</w:t>
      </w:r>
      <w:r>
        <w:rPr>
          <w:rFonts w:ascii="Times New Roman" w:hAnsi="Times New Roman" w:cs="Times New Roman"/>
        </w:rPr>
        <w:t>.</w:t>
      </w:r>
      <w:r w:rsidRPr="00CF7CAE">
        <w:rPr>
          <w:rFonts w:ascii="Times New Roman" w:hAnsi="Times New Roman" w:cs="Times New Roman"/>
        </w:rPr>
        <w:t xml:space="preserve"> </w:t>
      </w:r>
      <w:r>
        <w:rPr>
          <w:rFonts w:ascii="Times New Roman" w:hAnsi="Times New Roman" w:cs="Times New Roman"/>
        </w:rPr>
        <w:t xml:space="preserve">Spolu bolo k tomuto termínu na ústredných orgánoch (vrátane Slovenskej informačnej služby) vymenovaných </w:t>
      </w:r>
      <w:r w:rsidRPr="00F3714D">
        <w:rPr>
          <w:rFonts w:ascii="Times New Roman" w:hAnsi="Times New Roman" w:cs="Times New Roman"/>
        </w:rPr>
        <w:t>44</w:t>
      </w:r>
      <w:r>
        <w:rPr>
          <w:rFonts w:ascii="Times New Roman" w:hAnsi="Times New Roman" w:cs="Times New Roman"/>
        </w:rPr>
        <w:t xml:space="preserve"> vnútorných audítorov. </w:t>
      </w:r>
    </w:p>
    <w:p w:rsidR="00E75695" w:rsidP="00E75695">
      <w:pPr>
        <w:spacing w:line="360" w:lineRule="auto"/>
        <w:ind w:firstLine="720"/>
        <w:jc w:val="both"/>
        <w:rPr>
          <w:rFonts w:ascii="Times New Roman" w:hAnsi="Times New Roman" w:cs="Times New Roman"/>
          <w:bCs/>
        </w:rPr>
      </w:pPr>
      <w:bookmarkStart w:id="5" w:name="_46cn20ibe0rjn8qbkelhmirrek1m6su90eag6qp"/>
      <w:bookmarkEnd w:id="5"/>
      <w:r w:rsidRPr="00CF7CAE">
        <w:rPr>
          <w:rFonts w:ascii="Times New Roman" w:hAnsi="Times New Roman" w:cs="Times New Roman"/>
          <w:bCs/>
        </w:rPr>
        <w:t>Vnútorní audítori ústredných orgánov plánovali v roku 200</w:t>
      </w:r>
      <w:r>
        <w:rPr>
          <w:rFonts w:ascii="Times New Roman" w:hAnsi="Times New Roman" w:cs="Times New Roman"/>
          <w:bCs/>
        </w:rPr>
        <w:t>6</w:t>
      </w:r>
      <w:r w:rsidRPr="00CF7CAE">
        <w:rPr>
          <w:rFonts w:ascii="Times New Roman" w:hAnsi="Times New Roman" w:cs="Times New Roman"/>
          <w:bCs/>
        </w:rPr>
        <w:t xml:space="preserve"> vykonať spolu </w:t>
      </w:r>
      <w:r>
        <w:rPr>
          <w:rFonts w:ascii="Times New Roman" w:hAnsi="Times New Roman" w:cs="Times New Roman"/>
          <w:bCs/>
        </w:rPr>
        <w:t>164</w:t>
      </w:r>
      <w:r w:rsidRPr="00CF7CAE">
        <w:rPr>
          <w:rFonts w:ascii="Times New Roman" w:hAnsi="Times New Roman" w:cs="Times New Roman"/>
          <w:bCs/>
        </w:rPr>
        <w:t xml:space="preserve"> vnútorných auditov, o </w:t>
      </w:r>
      <w:r>
        <w:rPr>
          <w:rFonts w:ascii="Times New Roman" w:hAnsi="Times New Roman" w:cs="Times New Roman"/>
          <w:bCs/>
        </w:rPr>
        <w:t>22</w:t>
      </w:r>
      <w:r w:rsidRPr="00CF7CAE">
        <w:rPr>
          <w:rFonts w:ascii="Times New Roman" w:hAnsi="Times New Roman" w:cs="Times New Roman"/>
          <w:bCs/>
        </w:rPr>
        <w:t xml:space="preserve"> viac</w:t>
      </w:r>
      <w:r>
        <w:rPr>
          <w:rFonts w:ascii="Times New Roman" w:hAnsi="Times New Roman" w:cs="Times New Roman"/>
          <w:bCs/>
        </w:rPr>
        <w:t xml:space="preserve"> ako v</w:t>
      </w:r>
      <w:r w:rsidRPr="00661F9D">
        <w:rPr>
          <w:rFonts w:ascii="Times New Roman" w:hAnsi="Times New Roman" w:cs="Times New Roman"/>
          <w:bCs/>
        </w:rPr>
        <w:t xml:space="preserve"> </w:t>
      </w:r>
      <w:r w:rsidRPr="00CF7CAE">
        <w:rPr>
          <w:rFonts w:ascii="Times New Roman" w:hAnsi="Times New Roman" w:cs="Times New Roman"/>
          <w:bCs/>
        </w:rPr>
        <w:t>roku 200</w:t>
      </w:r>
      <w:r>
        <w:rPr>
          <w:rFonts w:ascii="Times New Roman" w:hAnsi="Times New Roman" w:cs="Times New Roman"/>
          <w:bCs/>
        </w:rPr>
        <w:t>5</w:t>
      </w:r>
      <w:r w:rsidRPr="00CF7CAE">
        <w:rPr>
          <w:rFonts w:ascii="Times New Roman" w:hAnsi="Times New Roman" w:cs="Times New Roman"/>
          <w:bCs/>
        </w:rPr>
        <w:t>. Vykona</w:t>
      </w:r>
      <w:r>
        <w:rPr>
          <w:rFonts w:ascii="Times New Roman" w:hAnsi="Times New Roman" w:cs="Times New Roman"/>
          <w:bCs/>
        </w:rPr>
        <w:t>ných bolo</w:t>
      </w:r>
      <w:r w:rsidRPr="00CF7CAE">
        <w:rPr>
          <w:rFonts w:ascii="Times New Roman" w:hAnsi="Times New Roman" w:cs="Times New Roman"/>
          <w:bCs/>
        </w:rPr>
        <w:t xml:space="preserve"> celkom </w:t>
      </w:r>
      <w:r>
        <w:rPr>
          <w:rFonts w:ascii="Times New Roman" w:hAnsi="Times New Roman" w:cs="Times New Roman"/>
          <w:bCs/>
        </w:rPr>
        <w:t>147</w:t>
      </w:r>
      <w:r w:rsidRPr="00CF7CAE">
        <w:rPr>
          <w:rFonts w:ascii="Times New Roman" w:hAnsi="Times New Roman" w:cs="Times New Roman"/>
          <w:bCs/>
        </w:rPr>
        <w:t xml:space="preserve"> vnútorných auditov</w:t>
      </w:r>
      <w:r>
        <w:rPr>
          <w:rFonts w:ascii="Times New Roman" w:hAnsi="Times New Roman" w:cs="Times New Roman"/>
          <w:bCs/>
        </w:rPr>
        <w:t xml:space="preserve"> a 16</w:t>
      </w:r>
      <w:r w:rsidRPr="00CF7CAE">
        <w:rPr>
          <w:rFonts w:ascii="Times New Roman" w:hAnsi="Times New Roman" w:cs="Times New Roman"/>
          <w:bCs/>
        </w:rPr>
        <w:t xml:space="preserve"> následných auditov za účelom zistenia stavu implementácie navrhnutých odporúčaní z vykonaných vnútorných auditov auditovanými subjektami.</w:t>
      </w:r>
    </w:p>
    <w:p w:rsidR="00E75695" w:rsidRPr="00661F9D" w:rsidP="00E75695">
      <w:pPr>
        <w:spacing w:line="360" w:lineRule="auto"/>
        <w:ind w:firstLine="720"/>
        <w:jc w:val="both"/>
        <w:rPr>
          <w:rFonts w:ascii="Times New Roman" w:hAnsi="Times New Roman" w:cs="Times New Roman"/>
          <w:bCs/>
        </w:rPr>
      </w:pPr>
      <w:r w:rsidRPr="00661F9D">
        <w:rPr>
          <w:rFonts w:ascii="Times New Roman" w:hAnsi="Times New Roman" w:cs="Times New Roman"/>
          <w:bCs/>
        </w:rPr>
        <w:t xml:space="preserve"> Z celkového počtu bolo 101 vnútorných auditov v oblasti hospodárenia s prostriedkami štátneho rozpočtu SR, 45 vnútorných auditov prostriedkov EÚ a 1 následný vnútorný audit pripravenosti riadenia </w:t>
      </w:r>
      <w:r w:rsidRPr="00661F9D">
        <w:rPr>
          <w:rFonts w:ascii="Times New Roman" w:hAnsi="Times New Roman" w:cs="Times New Roman"/>
        </w:rPr>
        <w:t>implementácie finančného mechanizmu Európskeho hospodárskeho priestoru a Nórskeho finančného mechanizmu</w:t>
      </w:r>
      <w:r w:rsidRPr="00661F9D">
        <w:rPr>
          <w:rFonts w:ascii="Times New Roman" w:hAnsi="Times New Roman" w:cs="Times New Roman"/>
          <w:bCs/>
        </w:rPr>
        <w:t>. Do celkového počtu nie sú za</w:t>
      </w:r>
      <w:r>
        <w:rPr>
          <w:rFonts w:ascii="Times New Roman" w:hAnsi="Times New Roman" w:cs="Times New Roman"/>
          <w:bCs/>
        </w:rPr>
        <w:t>hrnuté</w:t>
      </w:r>
      <w:r w:rsidRPr="00661F9D">
        <w:rPr>
          <w:rFonts w:ascii="Times New Roman" w:hAnsi="Times New Roman" w:cs="Times New Roman"/>
          <w:bCs/>
        </w:rPr>
        <w:t xml:space="preserve"> vnútorné audity vykonané vnútorným audítorom Slovenskej informačnej služby, vzhľadom na osobitný režim ochrany utajovaných skutočností v zmysle zákona č. 215/2004 Z. z. o ochrane utajovaných skutočností a o zmene a doplnení niektorých zákonov. </w:t>
      </w:r>
    </w:p>
    <w:p w:rsidR="00E75695" w:rsidRPr="00661F9D" w:rsidP="00E75695">
      <w:pPr>
        <w:spacing w:line="360" w:lineRule="auto"/>
        <w:ind w:firstLine="720"/>
        <w:jc w:val="both"/>
        <w:rPr>
          <w:rFonts w:ascii="Times New Roman" w:hAnsi="Times New Roman" w:cs="Times New Roman"/>
          <w:bCs/>
        </w:rPr>
      </w:pPr>
      <w:r w:rsidRPr="00661F9D">
        <w:rPr>
          <w:rFonts w:ascii="Times New Roman" w:hAnsi="Times New Roman" w:cs="Times New Roman"/>
          <w:bCs/>
        </w:rPr>
        <w:t>Na nápravu zistených nedostatkov navrhli vnútorní audítori spolu 1</w:t>
      </w:r>
      <w:r>
        <w:rPr>
          <w:rFonts w:ascii="Times New Roman" w:hAnsi="Times New Roman" w:cs="Times New Roman"/>
          <w:bCs/>
        </w:rPr>
        <w:t xml:space="preserve"> </w:t>
      </w:r>
      <w:r w:rsidRPr="00661F9D">
        <w:rPr>
          <w:rFonts w:ascii="Times New Roman" w:hAnsi="Times New Roman" w:cs="Times New Roman"/>
          <w:bCs/>
        </w:rPr>
        <w:t>003 odporúčaní. Auditované subjekty zohľadnili 892 odporúčaní (88,9 %), 14 odporúčaní (1,4 %) bolo zohľadnených</w:t>
      </w:r>
      <w:r>
        <w:rPr>
          <w:rFonts w:ascii="Times New Roman" w:hAnsi="Times New Roman" w:cs="Times New Roman"/>
          <w:bCs/>
        </w:rPr>
        <w:t xml:space="preserve"> </w:t>
      </w:r>
      <w:r w:rsidRPr="00661F9D">
        <w:rPr>
          <w:rFonts w:ascii="Times New Roman" w:hAnsi="Times New Roman" w:cs="Times New Roman"/>
          <w:bCs/>
        </w:rPr>
        <w:t>čiastočne, 49 odporúčaní (4,9 %) nebolo zohľadnených, 46 odporúčaní (4,6 %)  bude postupne zohľadnených v roku 2007 a pri 2 odporúčaniach (0,2</w:t>
      </w:r>
      <w:r>
        <w:rPr>
          <w:rFonts w:ascii="Times New Roman" w:hAnsi="Times New Roman" w:cs="Times New Roman"/>
          <w:bCs/>
        </w:rPr>
        <w:t xml:space="preserve"> </w:t>
      </w:r>
      <w:r w:rsidRPr="00661F9D">
        <w:rPr>
          <w:rFonts w:ascii="Times New Roman" w:hAnsi="Times New Roman" w:cs="Times New Roman"/>
          <w:bCs/>
        </w:rPr>
        <w:t>%) auditované subjekty prijali iné riešenia.</w:t>
      </w:r>
    </w:p>
    <w:p w:rsidR="00E75695" w:rsidRPr="00006CEE" w:rsidP="00E75695">
      <w:pPr>
        <w:spacing w:line="360" w:lineRule="auto"/>
        <w:ind w:firstLine="708"/>
        <w:jc w:val="both"/>
        <w:rPr>
          <w:rFonts w:ascii="Times New Roman" w:hAnsi="Times New Roman" w:cs="Times New Roman"/>
        </w:rPr>
      </w:pPr>
      <w:r w:rsidRPr="00006CEE">
        <w:rPr>
          <w:rFonts w:ascii="Times New Roman" w:hAnsi="Times New Roman" w:cs="Times New Roman"/>
        </w:rPr>
        <w:t>M</w:t>
      </w:r>
      <w:r>
        <w:rPr>
          <w:rFonts w:ascii="Times New Roman" w:hAnsi="Times New Roman" w:cs="Times New Roman"/>
        </w:rPr>
        <w:t xml:space="preserve">inisterstvo financií </w:t>
      </w:r>
      <w:r w:rsidRPr="00006CEE">
        <w:rPr>
          <w:rFonts w:ascii="Times New Roman" w:hAnsi="Times New Roman" w:cs="Times New Roman"/>
        </w:rPr>
        <w:t xml:space="preserve">SR </w:t>
      </w:r>
      <w:r>
        <w:rPr>
          <w:rFonts w:ascii="Times New Roman" w:hAnsi="Times New Roman" w:cs="Times New Roman"/>
        </w:rPr>
        <w:t xml:space="preserve"> koordinovalo </w:t>
      </w:r>
      <w:r w:rsidRPr="00006CEE">
        <w:rPr>
          <w:rFonts w:ascii="Times New Roman" w:hAnsi="Times New Roman" w:cs="Times New Roman"/>
        </w:rPr>
        <w:t xml:space="preserve">v zmysle zákona </w:t>
      </w:r>
      <w:r w:rsidRPr="003262B2">
        <w:rPr>
          <w:rFonts w:ascii="Times New Roman" w:hAnsi="Times New Roman" w:cs="Times New Roman"/>
        </w:rPr>
        <w:t xml:space="preserve">o finančnej kontrole a vnútornom audite </w:t>
      </w:r>
      <w:r w:rsidRPr="00006CEE">
        <w:rPr>
          <w:rFonts w:ascii="Times New Roman" w:hAnsi="Times New Roman" w:cs="Times New Roman"/>
        </w:rPr>
        <w:t>prípravu plánov vnútorných auditov a výkon jednotlivých audítorských akcií s ústrednými orgánmi zainteresovanými na vnútornom audite príslušného programu štrukturálnych fondov a Kohézneho fondu. Pre tieto účely bol z jednotlivých plánov vypracovaný konsolidovaný plán vnútorných auditov prostriedkov EÚ na rok 2006, ktorý zahŕňal spolu 34 auditov na 8 ministerstvách a na 6 organizáciách v rezortoch týchto ministerstiev.</w:t>
      </w:r>
    </w:p>
    <w:p w:rsidR="00E75695" w:rsidRPr="00006CEE" w:rsidP="00E75695">
      <w:pPr>
        <w:spacing w:after="120"/>
        <w:ind w:firstLine="360"/>
        <w:jc w:val="both"/>
        <w:rPr>
          <w:rFonts w:ascii="Times New Roman" w:hAnsi="Times New Roman" w:cs="Times New Roman"/>
          <w:bCs/>
        </w:rPr>
      </w:pPr>
      <w:r w:rsidRPr="00006CEE">
        <w:rPr>
          <w:rFonts w:ascii="Times New Roman" w:hAnsi="Times New Roman" w:cs="Times New Roman"/>
          <w:bCs/>
        </w:rPr>
        <w:t>Najčastejšie zistenia vnútorných audítorov:</w:t>
      </w:r>
    </w:p>
    <w:p w:rsidR="00E75695" w:rsidRPr="00B9650B" w:rsidP="004A64B4">
      <w:pPr>
        <w:numPr>
          <w:ilvl w:val="0"/>
          <w:numId w:val="1"/>
        </w:numPr>
        <w:tabs>
          <w:tab w:val="clear" w:pos="902"/>
        </w:tabs>
        <w:spacing w:line="360" w:lineRule="auto"/>
        <w:ind w:left="357" w:hanging="357"/>
        <w:jc w:val="both"/>
        <w:rPr>
          <w:rFonts w:ascii="Times New Roman" w:hAnsi="Times New Roman" w:cs="Times New Roman"/>
          <w:b/>
          <w:bCs/>
        </w:rPr>
      </w:pPr>
      <w:r>
        <w:rPr>
          <w:rFonts w:ascii="Times New Roman" w:hAnsi="Times New Roman" w:cs="Times New Roman"/>
          <w:bCs/>
        </w:rPr>
        <w:t>porušovanie</w:t>
      </w:r>
      <w:r w:rsidRPr="00B9650B">
        <w:rPr>
          <w:rFonts w:ascii="Times New Roman" w:hAnsi="Times New Roman" w:cs="Times New Roman"/>
          <w:bCs/>
        </w:rPr>
        <w:t xml:space="preserve"> zákona </w:t>
      </w:r>
      <w:r w:rsidRPr="00B9650B">
        <w:rPr>
          <w:rFonts w:ascii="Times New Roman" w:hAnsi="Times New Roman" w:cs="Times New Roman"/>
        </w:rPr>
        <w:t>č. 523/2003 Z.</w:t>
      </w:r>
      <w:r>
        <w:rPr>
          <w:rFonts w:ascii="Times New Roman" w:hAnsi="Times New Roman" w:cs="Times New Roman"/>
        </w:rPr>
        <w:t xml:space="preserve"> </w:t>
      </w:r>
      <w:r w:rsidRPr="00B9650B">
        <w:rPr>
          <w:rFonts w:ascii="Times New Roman" w:hAnsi="Times New Roman" w:cs="Times New Roman"/>
        </w:rPr>
        <w:t xml:space="preserve">z. o verejnom obstarávaní a o zmene zákona </w:t>
      </w:r>
      <w:r>
        <w:rPr>
          <w:rFonts w:ascii="Times New Roman" w:hAnsi="Times New Roman" w:cs="Times New Roman"/>
        </w:rPr>
        <w:t xml:space="preserve">               č</w:t>
      </w:r>
      <w:r w:rsidRPr="00B9650B">
        <w:rPr>
          <w:rFonts w:ascii="Times New Roman" w:hAnsi="Times New Roman" w:cs="Times New Roman"/>
        </w:rPr>
        <w:t>.</w:t>
      </w:r>
      <w:r>
        <w:rPr>
          <w:rFonts w:ascii="Times New Roman" w:hAnsi="Times New Roman" w:cs="Times New Roman"/>
        </w:rPr>
        <w:t xml:space="preserve"> </w:t>
      </w:r>
      <w:r w:rsidRPr="00B9650B">
        <w:rPr>
          <w:rFonts w:ascii="Times New Roman" w:hAnsi="Times New Roman" w:cs="Times New Roman"/>
        </w:rPr>
        <w:t>575/2001 Z.</w:t>
      </w:r>
      <w:r>
        <w:rPr>
          <w:rFonts w:ascii="Times New Roman" w:hAnsi="Times New Roman" w:cs="Times New Roman"/>
        </w:rPr>
        <w:t xml:space="preserve"> </w:t>
      </w:r>
      <w:r w:rsidRPr="00B9650B">
        <w:rPr>
          <w:rFonts w:ascii="Times New Roman" w:hAnsi="Times New Roman" w:cs="Times New Roman"/>
        </w:rPr>
        <w:t>z. o organizácii činnosti vlády a organizácii ústrednej štátnej správy v znení neskorších predpisov</w:t>
      </w:r>
      <w:r>
        <w:rPr>
          <w:rFonts w:ascii="Times New Roman" w:hAnsi="Times New Roman" w:cs="Times New Roman"/>
        </w:rPr>
        <w:t xml:space="preserve"> a</w:t>
      </w:r>
      <w:r>
        <w:rPr>
          <w:rFonts w:ascii="Times New Roman" w:hAnsi="Times New Roman" w:cs="Times New Roman"/>
          <w:bCs/>
        </w:rPr>
        <w:t xml:space="preserve"> zákona č. 25/2006 Z. z.,</w:t>
      </w:r>
    </w:p>
    <w:p w:rsidR="00E75695" w:rsidP="004A64B4">
      <w:pPr>
        <w:numPr>
          <w:ilvl w:val="0"/>
          <w:numId w:val="1"/>
        </w:numPr>
        <w:tabs>
          <w:tab w:val="clear" w:pos="902"/>
        </w:tabs>
        <w:spacing w:line="360" w:lineRule="auto"/>
        <w:ind w:left="357" w:hanging="357"/>
        <w:jc w:val="both"/>
        <w:rPr>
          <w:rFonts w:ascii="Times New Roman" w:hAnsi="Times New Roman" w:cs="Times New Roman"/>
          <w:bCs/>
        </w:rPr>
      </w:pPr>
      <w:r>
        <w:rPr>
          <w:rFonts w:ascii="Times New Roman" w:hAnsi="Times New Roman" w:cs="Times New Roman"/>
          <w:bCs/>
        </w:rPr>
        <w:t xml:space="preserve">porušovanie </w:t>
      </w:r>
      <w:r w:rsidRPr="00984A7D">
        <w:rPr>
          <w:rFonts w:ascii="Times New Roman" w:hAnsi="Times New Roman" w:cs="Times New Roman"/>
          <w:bCs/>
        </w:rPr>
        <w:t xml:space="preserve">zákona </w:t>
      </w:r>
      <w:r w:rsidRPr="00984A7D">
        <w:rPr>
          <w:rFonts w:ascii="Times New Roman" w:hAnsi="Times New Roman" w:cs="Times New Roman"/>
        </w:rPr>
        <w:t>č. 278/1993 Z.</w:t>
      </w:r>
      <w:r>
        <w:rPr>
          <w:rFonts w:ascii="Times New Roman" w:hAnsi="Times New Roman" w:cs="Times New Roman"/>
        </w:rPr>
        <w:t xml:space="preserve"> </w:t>
      </w:r>
      <w:r w:rsidRPr="00984A7D">
        <w:rPr>
          <w:rFonts w:ascii="Times New Roman" w:hAnsi="Times New Roman" w:cs="Times New Roman"/>
        </w:rPr>
        <w:t>z. o správe majetku štátu v znení neskorších predpisov</w:t>
      </w:r>
      <w:r w:rsidRPr="00984A7D">
        <w:rPr>
          <w:rFonts w:ascii="Times New Roman" w:hAnsi="Times New Roman" w:cs="Times New Roman"/>
          <w:bCs/>
        </w:rPr>
        <w:t>,</w:t>
      </w:r>
    </w:p>
    <w:p w:rsidR="00E75695" w:rsidRPr="00BD2388" w:rsidP="004A64B4">
      <w:pPr>
        <w:numPr>
          <w:ilvl w:val="0"/>
          <w:numId w:val="1"/>
        </w:numPr>
        <w:tabs>
          <w:tab w:val="clear" w:pos="902"/>
        </w:tabs>
        <w:spacing w:line="360" w:lineRule="auto"/>
        <w:ind w:left="357" w:hanging="357"/>
        <w:jc w:val="both"/>
        <w:rPr>
          <w:rFonts w:ascii="Times New Roman" w:hAnsi="Times New Roman" w:cs="Times New Roman"/>
          <w:bCs/>
        </w:rPr>
      </w:pPr>
      <w:r>
        <w:rPr>
          <w:rFonts w:ascii="Times New Roman" w:hAnsi="Times New Roman" w:cs="Times New Roman"/>
          <w:bCs/>
        </w:rPr>
        <w:t xml:space="preserve">porušovanie zákona </w:t>
      </w:r>
      <w:r w:rsidRPr="00BD2388">
        <w:rPr>
          <w:rFonts w:ascii="Times New Roman" w:hAnsi="Times New Roman" w:cs="Times New Roman"/>
        </w:rPr>
        <w:t>č. 523/2004 Z.</w:t>
      </w:r>
      <w:r>
        <w:rPr>
          <w:rFonts w:ascii="Times New Roman" w:hAnsi="Times New Roman" w:cs="Times New Roman"/>
        </w:rPr>
        <w:t xml:space="preserve"> </w:t>
      </w:r>
      <w:r w:rsidRPr="00BD2388">
        <w:rPr>
          <w:rFonts w:ascii="Times New Roman" w:hAnsi="Times New Roman" w:cs="Times New Roman"/>
        </w:rPr>
        <w:t>z. o rozpočtových pravidlách verejnej správy a o zmene a doplnení niektorých zákonov v znení neskorších predpisov,</w:t>
      </w:r>
    </w:p>
    <w:p w:rsidR="00E75695" w:rsidRPr="00B60426" w:rsidP="004A64B4">
      <w:pPr>
        <w:numPr>
          <w:ilvl w:val="0"/>
          <w:numId w:val="1"/>
        </w:numPr>
        <w:tabs>
          <w:tab w:val="clear" w:pos="902"/>
        </w:tabs>
        <w:spacing w:line="360" w:lineRule="auto"/>
        <w:ind w:left="357" w:hanging="357"/>
        <w:jc w:val="both"/>
        <w:rPr>
          <w:rFonts w:ascii="Times New Roman" w:hAnsi="Times New Roman" w:cs="Times New Roman"/>
          <w:bCs/>
        </w:rPr>
      </w:pPr>
      <w:r w:rsidRPr="00B60426">
        <w:rPr>
          <w:rFonts w:ascii="Times New Roman" w:hAnsi="Times New Roman" w:cs="Times New Roman"/>
          <w:bCs/>
        </w:rPr>
        <w:t xml:space="preserve">porušovanie zákona </w:t>
      </w:r>
      <w:r w:rsidRPr="00B60426">
        <w:rPr>
          <w:rFonts w:ascii="Times New Roman" w:hAnsi="Times New Roman" w:cs="Times New Roman"/>
        </w:rPr>
        <w:t>č. 431/2002 Z.</w:t>
      </w:r>
      <w:r>
        <w:rPr>
          <w:rFonts w:ascii="Times New Roman" w:hAnsi="Times New Roman" w:cs="Times New Roman"/>
        </w:rPr>
        <w:t xml:space="preserve"> </w:t>
      </w:r>
      <w:r w:rsidRPr="00B60426">
        <w:rPr>
          <w:rFonts w:ascii="Times New Roman" w:hAnsi="Times New Roman" w:cs="Times New Roman"/>
        </w:rPr>
        <w:t>z. o účtovníctve v znení neskorších predpisov</w:t>
      </w:r>
      <w:r w:rsidRPr="00B60426">
        <w:rPr>
          <w:rFonts w:ascii="Times New Roman" w:hAnsi="Times New Roman" w:cs="Times New Roman"/>
          <w:bCs/>
        </w:rPr>
        <w:t>,</w:t>
      </w:r>
    </w:p>
    <w:p w:rsidR="00E75695" w:rsidP="004A64B4">
      <w:pPr>
        <w:numPr>
          <w:ilvl w:val="0"/>
          <w:numId w:val="1"/>
        </w:numPr>
        <w:tabs>
          <w:tab w:val="clear" w:pos="902"/>
        </w:tabs>
        <w:spacing w:line="360" w:lineRule="auto"/>
        <w:ind w:left="357" w:hanging="357"/>
        <w:jc w:val="both"/>
        <w:rPr>
          <w:rFonts w:ascii="Times New Roman" w:hAnsi="Times New Roman" w:cs="Times New Roman"/>
          <w:bCs/>
        </w:rPr>
      </w:pPr>
      <w:r>
        <w:rPr>
          <w:rFonts w:ascii="Times New Roman" w:hAnsi="Times New Roman" w:cs="Times New Roman"/>
        </w:rPr>
        <w:t xml:space="preserve">porušovanie </w:t>
      </w:r>
      <w:r w:rsidRPr="00C01997">
        <w:rPr>
          <w:rFonts w:ascii="Times New Roman" w:hAnsi="Times New Roman" w:cs="Times New Roman"/>
        </w:rPr>
        <w:t>zákon</w:t>
      </w:r>
      <w:r>
        <w:rPr>
          <w:rFonts w:ascii="Times New Roman" w:hAnsi="Times New Roman" w:cs="Times New Roman"/>
        </w:rPr>
        <w:t>a</w:t>
      </w:r>
      <w:r>
        <w:rPr>
          <w:rFonts w:ascii="Arial Narrow" w:hAnsi="Arial Narrow" w:cs="Times New Roman"/>
          <w:sz w:val="22"/>
          <w:szCs w:val="22"/>
        </w:rPr>
        <w:t xml:space="preserve"> </w:t>
      </w:r>
      <w:r w:rsidRPr="00C01997">
        <w:rPr>
          <w:rFonts w:ascii="Times New Roman" w:hAnsi="Times New Roman" w:cs="Times New Roman"/>
        </w:rPr>
        <w:t>č. 502/2001 Z. z. o finančnej kontrole a vnútornom audite v znení zákona č. 618/2004 Z.</w:t>
      </w:r>
      <w:r>
        <w:rPr>
          <w:rFonts w:ascii="Times New Roman" w:hAnsi="Times New Roman" w:cs="Times New Roman"/>
        </w:rPr>
        <w:t xml:space="preserve"> </w:t>
      </w:r>
      <w:r w:rsidRPr="00C01997">
        <w:rPr>
          <w:rFonts w:ascii="Times New Roman" w:hAnsi="Times New Roman" w:cs="Times New Roman"/>
        </w:rPr>
        <w:t>z.</w:t>
      </w:r>
      <w:r>
        <w:rPr>
          <w:rFonts w:ascii="Times New Roman" w:hAnsi="Times New Roman" w:cs="Times New Roman"/>
        </w:rPr>
        <w:t xml:space="preserve"> (</w:t>
      </w:r>
      <w:r w:rsidRPr="00C01997">
        <w:rPr>
          <w:rFonts w:ascii="Times New Roman" w:hAnsi="Times New Roman" w:cs="Times New Roman"/>
          <w:bCs/>
        </w:rPr>
        <w:t>oblas</w:t>
      </w:r>
      <w:r>
        <w:rPr>
          <w:rFonts w:ascii="Times New Roman" w:hAnsi="Times New Roman" w:cs="Times New Roman"/>
          <w:bCs/>
        </w:rPr>
        <w:t>ť</w:t>
      </w:r>
      <w:r w:rsidRPr="00C01997">
        <w:rPr>
          <w:rFonts w:ascii="Times New Roman" w:hAnsi="Times New Roman" w:cs="Times New Roman"/>
          <w:bCs/>
        </w:rPr>
        <w:t xml:space="preserve"> výkonu predbežnej a priebežnej finančnej kontroly</w:t>
      </w:r>
      <w:r>
        <w:rPr>
          <w:rFonts w:ascii="Times New Roman" w:hAnsi="Times New Roman" w:cs="Times New Roman"/>
          <w:bCs/>
        </w:rPr>
        <w:t>)</w:t>
      </w:r>
      <w:r w:rsidRPr="00C01997">
        <w:rPr>
          <w:rFonts w:ascii="Times New Roman" w:hAnsi="Times New Roman" w:cs="Times New Roman"/>
          <w:bCs/>
        </w:rPr>
        <w:t>,</w:t>
      </w:r>
    </w:p>
    <w:p w:rsidR="00E75695" w:rsidP="004A64B4">
      <w:pPr>
        <w:numPr>
          <w:ilvl w:val="0"/>
          <w:numId w:val="1"/>
        </w:numPr>
        <w:tabs>
          <w:tab w:val="clear" w:pos="902"/>
        </w:tabs>
        <w:spacing w:line="360" w:lineRule="auto"/>
        <w:ind w:left="357" w:hanging="357"/>
        <w:jc w:val="both"/>
        <w:rPr>
          <w:rFonts w:ascii="Times New Roman" w:hAnsi="Times New Roman" w:cs="Times New Roman"/>
          <w:bCs/>
        </w:rPr>
      </w:pPr>
      <w:r w:rsidRPr="002455E6">
        <w:rPr>
          <w:rFonts w:ascii="Times New Roman" w:hAnsi="Times New Roman" w:cs="Times New Roman"/>
          <w:bCs/>
        </w:rPr>
        <w:t>ITMS neobsahuje dostatočné</w:t>
      </w:r>
      <w:r>
        <w:rPr>
          <w:rFonts w:ascii="Times New Roman" w:hAnsi="Times New Roman" w:cs="Times New Roman"/>
          <w:bCs/>
        </w:rPr>
        <w:t xml:space="preserve"> </w:t>
      </w:r>
      <w:r w:rsidRPr="002455E6">
        <w:rPr>
          <w:rFonts w:ascii="Times New Roman" w:hAnsi="Times New Roman" w:cs="Times New Roman"/>
          <w:bCs/>
        </w:rPr>
        <w:t>informácie</w:t>
      </w:r>
      <w:r>
        <w:rPr>
          <w:rFonts w:ascii="Times New Roman" w:hAnsi="Times New Roman" w:cs="Times New Roman"/>
          <w:bCs/>
        </w:rPr>
        <w:t xml:space="preserve"> (úplnosť vstupných údajov)</w:t>
      </w:r>
      <w:r w:rsidRPr="002455E6">
        <w:rPr>
          <w:rFonts w:ascii="Times New Roman" w:hAnsi="Times New Roman" w:cs="Times New Roman"/>
          <w:bCs/>
        </w:rPr>
        <w:t>,</w:t>
      </w:r>
    </w:p>
    <w:p w:rsidR="00E75695" w:rsidP="004A64B4">
      <w:pPr>
        <w:numPr>
          <w:ilvl w:val="0"/>
          <w:numId w:val="1"/>
        </w:numPr>
        <w:tabs>
          <w:tab w:val="clear" w:pos="902"/>
        </w:tabs>
        <w:spacing w:line="360" w:lineRule="auto"/>
        <w:ind w:left="357" w:hanging="357"/>
        <w:jc w:val="both"/>
        <w:rPr>
          <w:rFonts w:ascii="Times New Roman" w:hAnsi="Times New Roman" w:cs="Times New Roman"/>
          <w:bCs/>
        </w:rPr>
      </w:pPr>
      <w:r>
        <w:rPr>
          <w:rFonts w:ascii="Times New Roman" w:hAnsi="Times New Roman" w:cs="Times New Roman"/>
          <w:bCs/>
        </w:rPr>
        <w:t>nedostatočne vypracované interné manuály postupov,</w:t>
      </w:r>
    </w:p>
    <w:p w:rsidR="00E75695" w:rsidP="004A64B4">
      <w:pPr>
        <w:numPr>
          <w:ilvl w:val="0"/>
          <w:numId w:val="1"/>
        </w:numPr>
        <w:tabs>
          <w:tab w:val="clear" w:pos="902"/>
        </w:tabs>
        <w:spacing w:line="360" w:lineRule="auto"/>
        <w:ind w:left="357" w:hanging="357"/>
        <w:jc w:val="both"/>
        <w:rPr>
          <w:rFonts w:ascii="Times New Roman" w:hAnsi="Times New Roman" w:cs="Times New Roman"/>
          <w:bCs/>
        </w:rPr>
      </w:pPr>
      <w:r>
        <w:rPr>
          <w:rFonts w:ascii="Times New Roman" w:hAnsi="Times New Roman" w:cs="Times New Roman"/>
          <w:bCs/>
        </w:rPr>
        <w:t>nedostatočne definované oprávnené výdavky,</w:t>
      </w:r>
    </w:p>
    <w:p w:rsidR="00E75695" w:rsidRPr="002455E6" w:rsidP="004A64B4">
      <w:pPr>
        <w:numPr>
          <w:ilvl w:val="0"/>
          <w:numId w:val="1"/>
        </w:numPr>
        <w:tabs>
          <w:tab w:val="clear" w:pos="902"/>
        </w:tabs>
        <w:spacing w:line="360" w:lineRule="auto"/>
        <w:ind w:left="357" w:hanging="357"/>
        <w:jc w:val="both"/>
        <w:rPr>
          <w:rFonts w:ascii="Times New Roman" w:hAnsi="Times New Roman" w:cs="Times New Roman"/>
          <w:bCs/>
        </w:rPr>
      </w:pPr>
      <w:r>
        <w:rPr>
          <w:rFonts w:ascii="Times New Roman" w:hAnsi="Times New Roman" w:cs="Times New Roman"/>
          <w:bCs/>
        </w:rPr>
        <w:t>nedostatky v systéme pri kontrole žiadostí o platbu,</w:t>
      </w:r>
    </w:p>
    <w:p w:rsidR="00E75695" w:rsidRPr="00CF7CAE" w:rsidP="004A64B4">
      <w:pPr>
        <w:numPr>
          <w:ilvl w:val="0"/>
          <w:numId w:val="1"/>
        </w:numPr>
        <w:tabs>
          <w:tab w:val="clear" w:pos="902"/>
        </w:tabs>
        <w:spacing w:line="360" w:lineRule="auto"/>
        <w:ind w:left="357" w:hanging="357"/>
        <w:jc w:val="both"/>
        <w:rPr>
          <w:rFonts w:ascii="Times New Roman" w:hAnsi="Times New Roman" w:cs="Times New Roman"/>
          <w:bCs/>
        </w:rPr>
      </w:pPr>
      <w:r w:rsidRPr="00CF7CAE">
        <w:rPr>
          <w:rFonts w:ascii="Times New Roman" w:hAnsi="Times New Roman" w:cs="Times New Roman"/>
          <w:bCs/>
        </w:rPr>
        <w:t>interné riadiace akty sú v rozpore so všeobecne záväznými právnymi predpismi,</w:t>
      </w:r>
    </w:p>
    <w:p w:rsidR="00E75695" w:rsidRPr="003E2DFB" w:rsidP="004A64B4">
      <w:pPr>
        <w:numPr>
          <w:ilvl w:val="0"/>
          <w:numId w:val="1"/>
        </w:numPr>
        <w:tabs>
          <w:tab w:val="clear" w:pos="902"/>
        </w:tabs>
        <w:spacing w:line="360" w:lineRule="auto"/>
        <w:ind w:left="357" w:hanging="357"/>
        <w:jc w:val="both"/>
        <w:rPr>
          <w:rFonts w:ascii="Times New Roman" w:hAnsi="Times New Roman" w:cs="Times New Roman"/>
          <w:bCs/>
        </w:rPr>
      </w:pPr>
      <w:r w:rsidRPr="003E2DFB">
        <w:rPr>
          <w:rFonts w:ascii="Times New Roman" w:hAnsi="Times New Roman" w:cs="Times New Roman"/>
          <w:bCs/>
        </w:rPr>
        <w:t>nedostatky v uzatvorených zmluvných vzťahoch.</w:t>
      </w:r>
    </w:p>
    <w:p w:rsidR="00E75695" w:rsidRPr="00CF7CAE" w:rsidP="00E75695">
      <w:pPr>
        <w:jc w:val="both"/>
        <w:rPr>
          <w:rFonts w:ascii="Times New Roman" w:hAnsi="Times New Roman" w:cs="Times New Roman"/>
          <w:b/>
          <w:bCs/>
        </w:rPr>
      </w:pPr>
    </w:p>
    <w:p w:rsidR="00E75695" w:rsidP="00E75695">
      <w:pPr>
        <w:jc w:val="center"/>
        <w:rPr>
          <w:rFonts w:ascii="Times New Roman" w:hAnsi="Times New Roman" w:cs="Times New Roman"/>
          <w:b/>
          <w:bCs/>
        </w:rPr>
      </w:pPr>
      <w:r w:rsidR="00644DA1">
        <w:rPr>
          <w:rFonts w:ascii="Times New Roman" w:hAnsi="Times New Roman" w:cs="Times New Roman"/>
          <w:b/>
          <w:bCs/>
        </w:rPr>
        <w:t>7</w:t>
      </w:r>
      <w:r>
        <w:rPr>
          <w:rFonts w:ascii="Times New Roman" w:hAnsi="Times New Roman" w:cs="Times New Roman"/>
          <w:b/>
          <w:bCs/>
        </w:rPr>
        <w:t xml:space="preserve">.2.1. </w:t>
      </w:r>
      <w:r w:rsidRPr="00CF7CAE">
        <w:rPr>
          <w:rFonts w:ascii="Times New Roman" w:hAnsi="Times New Roman" w:cs="Times New Roman"/>
          <w:b/>
          <w:bCs/>
        </w:rPr>
        <w:t>Vnútorný audit Pôdohospodárskej platobnej agentúry</w:t>
      </w:r>
    </w:p>
    <w:p w:rsidR="00E75695" w:rsidRPr="00CF7CAE" w:rsidP="00E75695">
      <w:pPr>
        <w:jc w:val="both"/>
        <w:rPr>
          <w:rFonts w:ascii="Times New Roman" w:hAnsi="Times New Roman" w:cs="Times New Roman"/>
          <w:b/>
          <w:bCs/>
        </w:rPr>
      </w:pPr>
    </w:p>
    <w:p w:rsidR="00E75695" w:rsidRPr="00CF7CAE" w:rsidP="00E75695">
      <w:pPr>
        <w:spacing w:line="360" w:lineRule="auto"/>
        <w:ind w:firstLine="709"/>
        <w:jc w:val="both"/>
        <w:rPr>
          <w:rFonts w:ascii="Times New Roman" w:hAnsi="Times New Roman" w:cs="Times New Roman"/>
          <w:bCs/>
        </w:rPr>
      </w:pPr>
      <w:r w:rsidRPr="00CF7CAE">
        <w:rPr>
          <w:rFonts w:ascii="Times New Roman" w:hAnsi="Times New Roman" w:cs="Times New Roman"/>
          <w:bCs/>
        </w:rPr>
        <w:t>Vnútorný audit v Pôdohospodárskej platobnej agentúre (ďalej len „PPA“) má osobitné postavenie oproti vnútornému auditu ústredných orgánov, čo vyplýva z ustanovenia § 40 zákona</w:t>
      </w:r>
      <w:r>
        <w:rPr>
          <w:rFonts w:ascii="Times New Roman" w:hAnsi="Times New Roman" w:cs="Times New Roman"/>
          <w:bCs/>
        </w:rPr>
        <w:t xml:space="preserve"> </w:t>
      </w:r>
      <w:r w:rsidRPr="003262B2">
        <w:rPr>
          <w:rFonts w:ascii="Times New Roman" w:hAnsi="Times New Roman" w:cs="Times New Roman"/>
        </w:rPr>
        <w:t>o finančnej kontrole a vnútornom audite</w:t>
      </w:r>
      <w:r w:rsidRPr="00CF7CAE">
        <w:rPr>
          <w:rFonts w:ascii="Times New Roman" w:hAnsi="Times New Roman" w:cs="Times New Roman"/>
          <w:bCs/>
        </w:rPr>
        <w:t>. Z uvedeného dôvodu sú výsledky vnútorného auditu PPA uvádzané osobitne, tzn. ani počty vykonaných vnútorných auditov a ani zistenia neboli zahrnuté v predchádzajúcej časti tejto správy.</w:t>
      </w:r>
    </w:p>
    <w:p w:rsidR="00E75695" w:rsidRPr="00313DF9" w:rsidP="00E75695">
      <w:pPr>
        <w:spacing w:line="360" w:lineRule="auto"/>
        <w:ind w:firstLine="708"/>
        <w:jc w:val="both"/>
        <w:rPr>
          <w:rFonts w:ascii="Times New Roman" w:hAnsi="Times New Roman" w:cs="Times New Roman"/>
          <w:bCs/>
        </w:rPr>
      </w:pPr>
      <w:r w:rsidRPr="00313DF9">
        <w:rPr>
          <w:rFonts w:ascii="Times New Roman" w:hAnsi="Times New Roman" w:cs="Times New Roman"/>
          <w:bCs/>
        </w:rPr>
        <w:t>V roku 2006 odbor vnútorného auditu PPA plán</w:t>
      </w:r>
      <w:r>
        <w:rPr>
          <w:rFonts w:ascii="Times New Roman" w:hAnsi="Times New Roman" w:cs="Times New Roman"/>
          <w:bCs/>
        </w:rPr>
        <w:t>oval</w:t>
      </w:r>
      <w:r w:rsidRPr="00313DF9">
        <w:rPr>
          <w:rFonts w:ascii="Times New Roman" w:hAnsi="Times New Roman" w:cs="Times New Roman"/>
          <w:bCs/>
        </w:rPr>
        <w:t xml:space="preserve"> vykonať 15 vnútorných auditov. Vnútorní audítori vykonali celkom 12 vnútorných auditov a 4 vnútorné audity neboli zatiaľ ukončené. Predmetom vnútorných auditov boli projekty schválené v rámci Sektorového operačného programu Poľnohospodárstvo a rozvoj vidieka 2004 – 2006, predvstupového programu SAPARD a regionálne pracoviská PPA. </w:t>
      </w:r>
    </w:p>
    <w:p w:rsidR="00E75695" w:rsidRPr="00313DF9" w:rsidP="00E75695">
      <w:pPr>
        <w:spacing w:line="360" w:lineRule="auto"/>
        <w:ind w:firstLine="708"/>
        <w:jc w:val="both"/>
        <w:rPr>
          <w:rFonts w:ascii="Times New Roman" w:hAnsi="Times New Roman" w:cs="Times New Roman"/>
          <w:bCs/>
        </w:rPr>
      </w:pPr>
      <w:r w:rsidRPr="00313DF9">
        <w:rPr>
          <w:rFonts w:ascii="Times New Roman" w:hAnsi="Times New Roman" w:cs="Times New Roman"/>
        </w:rPr>
        <w:t>Celkom bolo identifikovaných 20 zistení s vysokým rizikom a najčastejšie sa opakujúcich zistení, ktoré boli následne zlúčené podľa ich vecnej príslušnosti. K nesplneným odporúčaniam odbor vnútorného auditu PPA pripraví návrh na vydanie príkazného listu generálneho riaditeľa PPA.</w:t>
      </w:r>
    </w:p>
    <w:p w:rsidR="00E75695" w:rsidP="00E75695">
      <w:pPr>
        <w:ind w:firstLine="360"/>
        <w:jc w:val="both"/>
        <w:rPr>
          <w:rFonts w:ascii="Times New Roman" w:hAnsi="Times New Roman" w:cs="Times New Roman"/>
          <w:bCs/>
        </w:rPr>
      </w:pPr>
      <w:r w:rsidRPr="00313DF9">
        <w:rPr>
          <w:rFonts w:ascii="Times New Roman" w:hAnsi="Times New Roman" w:cs="Times New Roman"/>
          <w:bCs/>
        </w:rPr>
        <w:t>Najvýznamnejšie zistenia z vnútorných auditov PPA:</w:t>
      </w:r>
    </w:p>
    <w:p w:rsidR="00E75695" w:rsidRPr="00313DF9" w:rsidP="00E75695">
      <w:pPr>
        <w:ind w:firstLine="360"/>
        <w:jc w:val="both"/>
        <w:rPr>
          <w:rFonts w:ascii="Times New Roman" w:hAnsi="Times New Roman" w:cs="Times New Roman"/>
          <w:bCs/>
        </w:rPr>
      </w:pPr>
    </w:p>
    <w:p w:rsidR="00E75695" w:rsidRPr="002455E6" w:rsidP="004A64B4">
      <w:pPr>
        <w:numPr>
          <w:ilvl w:val="0"/>
          <w:numId w:val="1"/>
        </w:numPr>
        <w:tabs>
          <w:tab w:val="clear" w:pos="902"/>
        </w:tabs>
        <w:spacing w:line="360" w:lineRule="auto"/>
        <w:ind w:left="357" w:hanging="357"/>
        <w:jc w:val="both"/>
        <w:rPr>
          <w:rFonts w:ascii="Times New Roman" w:hAnsi="Times New Roman" w:cs="Times New Roman"/>
          <w:bCs/>
        </w:rPr>
      </w:pPr>
      <w:r>
        <w:rPr>
          <w:rFonts w:ascii="Times New Roman" w:hAnsi="Times New Roman" w:cs="Times New Roman"/>
        </w:rPr>
        <w:t xml:space="preserve">nedostatky, ktoré sa týkali najmä autorizácie a kontroly stavebných investícií </w:t>
      </w:r>
      <w:r w:rsidRPr="002455E6">
        <w:rPr>
          <w:rFonts w:ascii="Times New Roman" w:hAnsi="Times New Roman" w:cs="Times New Roman"/>
        </w:rPr>
        <w:t xml:space="preserve">v oblasti nesprávneho výpočtu výšky finančnej pomoci </w:t>
      </w:r>
      <w:r>
        <w:rPr>
          <w:rFonts w:ascii="Times New Roman" w:hAnsi="Times New Roman" w:cs="Times New Roman"/>
        </w:rPr>
        <w:t xml:space="preserve">pri </w:t>
      </w:r>
      <w:r w:rsidRPr="002455E6">
        <w:rPr>
          <w:rFonts w:ascii="Times New Roman" w:hAnsi="Times New Roman" w:cs="Times New Roman"/>
          <w:bCs/>
        </w:rPr>
        <w:t>projekto</w:t>
      </w:r>
      <w:r>
        <w:rPr>
          <w:rFonts w:ascii="Times New Roman" w:hAnsi="Times New Roman" w:cs="Times New Roman"/>
          <w:bCs/>
        </w:rPr>
        <w:t>ch</w:t>
      </w:r>
      <w:r w:rsidRPr="002455E6">
        <w:rPr>
          <w:rFonts w:ascii="Times New Roman" w:hAnsi="Times New Roman" w:cs="Times New Roman"/>
          <w:bCs/>
        </w:rPr>
        <w:t xml:space="preserve"> SAPARD</w:t>
      </w:r>
      <w:r w:rsidRPr="002455E6">
        <w:rPr>
          <w:rFonts w:ascii="Times New Roman" w:hAnsi="Times New Roman" w:cs="Times New Roman"/>
        </w:rPr>
        <w:t>,</w:t>
      </w:r>
    </w:p>
    <w:p w:rsidR="00E75695" w:rsidP="004A64B4">
      <w:pPr>
        <w:numPr>
          <w:ilvl w:val="0"/>
          <w:numId w:val="1"/>
        </w:numPr>
        <w:tabs>
          <w:tab w:val="clear" w:pos="902"/>
        </w:tabs>
        <w:spacing w:line="360" w:lineRule="auto"/>
        <w:ind w:left="357" w:hanging="357"/>
        <w:jc w:val="both"/>
        <w:rPr>
          <w:rFonts w:ascii="Times New Roman" w:hAnsi="Times New Roman" w:cs="Times New Roman"/>
          <w:bCs/>
        </w:rPr>
      </w:pPr>
      <w:r w:rsidRPr="002455E6">
        <w:rPr>
          <w:rFonts w:ascii="Times New Roman" w:hAnsi="Times New Roman" w:cs="Times New Roman"/>
        </w:rPr>
        <w:t>nedostatočn</w:t>
      </w:r>
      <w:r>
        <w:rPr>
          <w:rFonts w:ascii="Times New Roman" w:hAnsi="Times New Roman" w:cs="Times New Roman"/>
        </w:rPr>
        <w:t>á</w:t>
      </w:r>
      <w:r w:rsidRPr="002455E6">
        <w:rPr>
          <w:rFonts w:ascii="Times New Roman" w:hAnsi="Times New Roman" w:cs="Times New Roman"/>
        </w:rPr>
        <w:t xml:space="preserve"> kontrol</w:t>
      </w:r>
      <w:r>
        <w:rPr>
          <w:rFonts w:ascii="Times New Roman" w:hAnsi="Times New Roman" w:cs="Times New Roman"/>
        </w:rPr>
        <w:t>a</w:t>
      </w:r>
      <w:r w:rsidRPr="002455E6">
        <w:rPr>
          <w:rFonts w:ascii="Times New Roman" w:hAnsi="Times New Roman" w:cs="Times New Roman"/>
        </w:rPr>
        <w:t xml:space="preserve"> plnenia zmluvnej podmienky preukázania zabezpečenia 50% vstupov od poľnohospodárskych prvovýrobcov </w:t>
      </w:r>
      <w:r>
        <w:rPr>
          <w:rFonts w:ascii="Times New Roman" w:hAnsi="Times New Roman" w:cs="Times New Roman"/>
        </w:rPr>
        <w:t xml:space="preserve">pri </w:t>
      </w:r>
      <w:r w:rsidRPr="002455E6">
        <w:rPr>
          <w:rFonts w:ascii="Times New Roman" w:hAnsi="Times New Roman" w:cs="Times New Roman"/>
          <w:bCs/>
        </w:rPr>
        <w:t>projekto</w:t>
      </w:r>
      <w:r>
        <w:rPr>
          <w:rFonts w:ascii="Times New Roman" w:hAnsi="Times New Roman" w:cs="Times New Roman"/>
          <w:bCs/>
        </w:rPr>
        <w:t>ch</w:t>
      </w:r>
      <w:r w:rsidRPr="002455E6">
        <w:rPr>
          <w:rFonts w:ascii="Times New Roman" w:hAnsi="Times New Roman" w:cs="Times New Roman"/>
          <w:bCs/>
        </w:rPr>
        <w:t xml:space="preserve"> </w:t>
      </w:r>
      <w:r w:rsidRPr="00313DF9">
        <w:rPr>
          <w:rFonts w:ascii="Times New Roman" w:hAnsi="Times New Roman" w:cs="Times New Roman"/>
          <w:bCs/>
        </w:rPr>
        <w:t>Sektorového operačného programu Poľnohospodárstvo a rozvoj vidieka 2004 – 2006</w:t>
      </w:r>
      <w:r w:rsidRPr="002455E6">
        <w:rPr>
          <w:rFonts w:ascii="Times New Roman" w:hAnsi="Times New Roman" w:cs="Times New Roman"/>
          <w:bCs/>
        </w:rPr>
        <w:t>,</w:t>
      </w:r>
    </w:p>
    <w:p w:rsidR="00E75695" w:rsidRPr="003A7B43" w:rsidP="004A64B4">
      <w:pPr>
        <w:numPr>
          <w:ilvl w:val="0"/>
          <w:numId w:val="1"/>
        </w:numPr>
        <w:tabs>
          <w:tab w:val="clear" w:pos="902"/>
        </w:tabs>
        <w:spacing w:line="360" w:lineRule="auto"/>
        <w:ind w:left="357" w:hanging="357"/>
        <w:jc w:val="both"/>
        <w:rPr>
          <w:rFonts w:ascii="Times New Roman" w:hAnsi="Times New Roman" w:cs="Times New Roman"/>
          <w:bCs/>
        </w:rPr>
      </w:pPr>
      <w:r>
        <w:rPr>
          <w:rFonts w:ascii="Times New Roman" w:hAnsi="Times New Roman" w:cs="Times New Roman"/>
        </w:rPr>
        <w:t xml:space="preserve">riziko neobjektívneho výkonu kontroly na mieste v prípade </w:t>
      </w:r>
      <w:r w:rsidRPr="008015E0">
        <w:rPr>
          <w:rFonts w:ascii="Times New Roman" w:hAnsi="Times New Roman" w:cs="Times New Roman"/>
        </w:rPr>
        <w:t>veľkého počtu kontrolovateľných nákladov</w:t>
      </w:r>
      <w:r>
        <w:rPr>
          <w:rFonts w:ascii="Times New Roman" w:hAnsi="Times New Roman" w:cs="Times New Roman"/>
        </w:rPr>
        <w:t xml:space="preserve"> (</w:t>
      </w:r>
      <w:r w:rsidRPr="008015E0">
        <w:rPr>
          <w:rFonts w:ascii="Times New Roman" w:hAnsi="Times New Roman" w:cs="Times New Roman"/>
        </w:rPr>
        <w:t>kontrolóri fyzicky kontrolovali iba vybrané náklady bez stanov</w:t>
      </w:r>
      <w:r w:rsidRPr="008015E0">
        <w:rPr>
          <w:rFonts w:ascii="Times New Roman" w:hAnsi="Times New Roman" w:cs="Times New Roman"/>
        </w:rPr>
        <w:t>e</w:t>
      </w:r>
      <w:r w:rsidRPr="008015E0">
        <w:rPr>
          <w:rFonts w:ascii="Times New Roman" w:hAnsi="Times New Roman" w:cs="Times New Roman"/>
        </w:rPr>
        <w:t>nej metodiky výberu kontroly jednotlivých položiek</w:t>
      </w:r>
      <w:r>
        <w:rPr>
          <w:rFonts w:ascii="Times New Roman" w:hAnsi="Times New Roman" w:cs="Times New Roman"/>
        </w:rPr>
        <w:t>),</w:t>
      </w:r>
    </w:p>
    <w:p w:rsidR="00E75695" w:rsidRPr="009C0B01" w:rsidP="004A64B4">
      <w:pPr>
        <w:numPr>
          <w:ilvl w:val="0"/>
          <w:numId w:val="1"/>
        </w:numPr>
        <w:tabs>
          <w:tab w:val="clear" w:pos="902"/>
        </w:tabs>
        <w:spacing w:line="360" w:lineRule="auto"/>
        <w:ind w:left="357" w:hanging="357"/>
        <w:jc w:val="both"/>
        <w:rPr>
          <w:rFonts w:ascii="Times New Roman" w:hAnsi="Times New Roman" w:cs="Times New Roman"/>
          <w:bCs/>
        </w:rPr>
      </w:pPr>
      <w:r>
        <w:rPr>
          <w:rFonts w:ascii="Times New Roman" w:hAnsi="Times New Roman" w:cs="Times New Roman"/>
        </w:rPr>
        <w:t>nedostatky v oblasti dokladovej kontroly zaradenia majetku beneficientom pri kontrole na mieste a tiež v rámci autorizácie platby,</w:t>
      </w:r>
    </w:p>
    <w:p w:rsidR="00E75695" w:rsidRPr="009D3EA6" w:rsidP="004A64B4">
      <w:pPr>
        <w:numPr>
          <w:ilvl w:val="0"/>
          <w:numId w:val="1"/>
        </w:numPr>
        <w:tabs>
          <w:tab w:val="clear" w:pos="902"/>
        </w:tabs>
        <w:spacing w:line="360" w:lineRule="auto"/>
        <w:ind w:left="357" w:hanging="357"/>
        <w:jc w:val="both"/>
        <w:rPr>
          <w:rFonts w:ascii="Times New Roman" w:hAnsi="Times New Roman" w:cs="Times New Roman"/>
          <w:bCs/>
        </w:rPr>
      </w:pPr>
      <w:r>
        <w:rPr>
          <w:rFonts w:ascii="Times New Roman" w:hAnsi="Times New Roman" w:cs="Times New Roman"/>
        </w:rPr>
        <w:t>nedostatky v zabezpečení niektorých regionálnych pracovísk z hľadiska fyzickej bezpečnosti a bezpečnosti informačných systémov a pracovných postupov v spôsobe administrácie a autorizácie domácich podpôr,</w:t>
      </w:r>
    </w:p>
    <w:p w:rsidR="00E75695" w:rsidRPr="00EE21BD" w:rsidP="004A64B4">
      <w:pPr>
        <w:numPr>
          <w:ilvl w:val="0"/>
          <w:numId w:val="1"/>
        </w:numPr>
        <w:tabs>
          <w:tab w:val="clear" w:pos="902"/>
        </w:tabs>
        <w:spacing w:line="360" w:lineRule="auto"/>
        <w:ind w:left="357" w:hanging="357"/>
        <w:jc w:val="both"/>
        <w:rPr>
          <w:rFonts w:ascii="Times New Roman" w:hAnsi="Times New Roman" w:cs="Times New Roman"/>
          <w:bCs/>
        </w:rPr>
      </w:pPr>
      <w:r w:rsidRPr="002455E6">
        <w:rPr>
          <w:rFonts w:ascii="Times New Roman" w:hAnsi="Times New Roman" w:cs="Times New Roman"/>
        </w:rPr>
        <w:t>auditované subjekty nevenujú dostatočnú pozornosť odstraňovaniu nedostatkov identifikovaných nielen vnútornými audítormi PPA, ale aj ostatnými kontrolnými orgánmi, čo môže mať za následok vznik opakovaných zistení a v mnohých prípadoch môže viesť až k neskoršiemu nesúladu s akreditačnými kritériami.</w:t>
      </w:r>
    </w:p>
    <w:p w:rsidR="00E75695" w:rsidP="00E75695">
      <w:pPr>
        <w:jc w:val="both"/>
        <w:rPr>
          <w:rFonts w:ascii="Times New Roman" w:hAnsi="Times New Roman" w:cs="Times New Roman"/>
        </w:rPr>
      </w:pPr>
    </w:p>
    <w:p w:rsidR="00E75695" w:rsidRPr="00714EA1" w:rsidP="00E75695">
      <w:pPr>
        <w:spacing w:line="360" w:lineRule="auto"/>
        <w:ind w:firstLine="360"/>
        <w:jc w:val="both"/>
        <w:rPr>
          <w:rFonts w:ascii="Times New Roman" w:hAnsi="Times New Roman" w:cs="Times New Roman"/>
          <w:bCs/>
        </w:rPr>
      </w:pPr>
      <w:r w:rsidRPr="00714EA1">
        <w:rPr>
          <w:rFonts w:ascii="Times New Roman" w:hAnsi="Times New Roman" w:cs="Times New Roman"/>
        </w:rPr>
        <w:t>Podrobný prehľad o počte plánovaných a vykonaných vnútorných auditov podľa jednotlivých orgánov verejnej správy</w:t>
      </w:r>
      <w:r>
        <w:rPr>
          <w:rFonts w:ascii="Times New Roman" w:hAnsi="Times New Roman" w:cs="Times New Roman"/>
        </w:rPr>
        <w:t xml:space="preserve"> poskytujú údaje tabuľky na nasledujúcej strane.</w:t>
      </w:r>
    </w:p>
    <w:p w:rsidR="00E75695" w:rsidP="00E75695">
      <w:pPr>
        <w:jc w:val="both"/>
        <w:rPr>
          <w:rFonts w:ascii="Times New Roman" w:hAnsi="Times New Roman" w:cs="Times New Roman"/>
          <w:b/>
          <w:u w:val="single"/>
        </w:rPr>
      </w:pPr>
    </w:p>
    <w:p w:rsidR="00E75695" w:rsidP="00E75695">
      <w:pPr>
        <w:jc w:val="both"/>
        <w:rPr>
          <w:rFonts w:ascii="Times New Roman" w:hAnsi="Times New Roman" w:cs="Times New Roman"/>
          <w:b/>
          <w:u w:val="single"/>
        </w:rPr>
      </w:pPr>
    </w:p>
    <w:p w:rsidR="00E75695" w:rsidP="00E75695">
      <w:pPr>
        <w:jc w:val="both"/>
        <w:rPr>
          <w:rFonts w:ascii="Times New Roman" w:hAnsi="Times New Roman" w:cs="Times New Roman"/>
          <w:b/>
          <w:u w:val="single"/>
        </w:rPr>
      </w:pPr>
    </w:p>
    <w:p w:rsidR="00E75695" w:rsidP="00E75695">
      <w:pPr>
        <w:jc w:val="both"/>
        <w:rPr>
          <w:rFonts w:ascii="Times New Roman" w:hAnsi="Times New Roman" w:cs="Times New Roman"/>
          <w:b/>
          <w:u w:val="single"/>
        </w:rPr>
      </w:pPr>
    </w:p>
    <w:p w:rsidR="00E75695" w:rsidP="00E75695">
      <w:pPr>
        <w:jc w:val="both"/>
        <w:rPr>
          <w:rFonts w:ascii="Times New Roman" w:hAnsi="Times New Roman" w:cs="Times New Roman"/>
          <w:b/>
          <w:u w:val="single"/>
        </w:rPr>
      </w:pPr>
    </w:p>
    <w:p w:rsidR="00E75695" w:rsidP="00E75695">
      <w:pPr>
        <w:jc w:val="both"/>
        <w:rPr>
          <w:rFonts w:ascii="Times New Roman" w:hAnsi="Times New Roman" w:cs="Times New Roman"/>
          <w:b/>
          <w:u w:val="single"/>
        </w:rPr>
      </w:pPr>
    </w:p>
    <w:p w:rsidR="00E75695" w:rsidP="00E75695">
      <w:pPr>
        <w:jc w:val="both"/>
        <w:rPr>
          <w:rFonts w:ascii="Times New Roman" w:hAnsi="Times New Roman" w:cs="Times New Roman"/>
          <w:b/>
          <w:u w:val="single"/>
        </w:rPr>
      </w:pPr>
    </w:p>
    <w:p w:rsidR="00E75695" w:rsidP="00E75695">
      <w:pPr>
        <w:jc w:val="both"/>
        <w:rPr>
          <w:rFonts w:ascii="Times New Roman" w:hAnsi="Times New Roman" w:cs="Times New Roman"/>
          <w:b/>
          <w:u w:val="single"/>
        </w:rPr>
      </w:pPr>
    </w:p>
    <w:p w:rsidR="00E75695" w:rsidP="00E75695">
      <w:pPr>
        <w:jc w:val="both"/>
        <w:rPr>
          <w:rFonts w:ascii="Times New Roman" w:hAnsi="Times New Roman" w:cs="Times New Roman"/>
          <w:b/>
          <w:u w:val="single"/>
        </w:rPr>
      </w:pPr>
    </w:p>
    <w:p w:rsidR="00E75695" w:rsidP="00E75695">
      <w:pPr>
        <w:jc w:val="both"/>
        <w:rPr>
          <w:rFonts w:ascii="Times New Roman" w:hAnsi="Times New Roman" w:cs="Times New Roman"/>
          <w:b/>
          <w:u w:val="single"/>
        </w:rPr>
      </w:pPr>
    </w:p>
    <w:p w:rsidR="00E75695" w:rsidP="00E75695">
      <w:pPr>
        <w:jc w:val="both"/>
        <w:rPr>
          <w:rFonts w:ascii="Times New Roman" w:hAnsi="Times New Roman" w:cs="Times New Roman"/>
          <w:b/>
          <w:u w:val="single"/>
        </w:rPr>
      </w:pPr>
    </w:p>
    <w:p w:rsidR="00E75695" w:rsidP="00E75695">
      <w:pPr>
        <w:jc w:val="both"/>
        <w:rPr>
          <w:rFonts w:ascii="Times New Roman" w:hAnsi="Times New Roman" w:cs="Times New Roman"/>
          <w:b/>
          <w:u w:val="single"/>
        </w:rPr>
      </w:pPr>
    </w:p>
    <w:p w:rsidR="00E75695" w:rsidP="00E75695">
      <w:pPr>
        <w:jc w:val="both"/>
        <w:rPr>
          <w:rFonts w:ascii="Times New Roman" w:hAnsi="Times New Roman" w:cs="Times New Roman"/>
          <w:b/>
          <w:u w:val="single"/>
        </w:rPr>
      </w:pPr>
    </w:p>
    <w:p w:rsidR="00E75695" w:rsidP="00E75695">
      <w:pPr>
        <w:jc w:val="both"/>
        <w:rPr>
          <w:rFonts w:ascii="Times New Roman" w:hAnsi="Times New Roman" w:cs="Times New Roman"/>
          <w:b/>
          <w:u w:val="single"/>
        </w:rPr>
      </w:pPr>
    </w:p>
    <w:p w:rsidR="00E75695" w:rsidP="00E75695">
      <w:pPr>
        <w:jc w:val="both"/>
        <w:rPr>
          <w:rFonts w:ascii="Times New Roman" w:hAnsi="Times New Roman" w:cs="Times New Roman"/>
          <w:b/>
          <w:u w:val="single"/>
        </w:rPr>
      </w:pPr>
    </w:p>
    <w:p w:rsidR="00E75695" w:rsidP="00E75695">
      <w:pPr>
        <w:jc w:val="both"/>
        <w:rPr>
          <w:rFonts w:ascii="Times New Roman" w:hAnsi="Times New Roman" w:cs="Times New Roman"/>
          <w:b/>
          <w:u w:val="single"/>
        </w:rPr>
      </w:pPr>
    </w:p>
    <w:p w:rsidR="00E75695" w:rsidP="004A64B4">
      <w:pPr>
        <w:rPr>
          <w:rFonts w:ascii="Times New Roman" w:hAnsi="Times New Roman" w:cs="Times New Roman"/>
          <w:b/>
          <w:u w:val="single"/>
        </w:rPr>
        <w:sectPr>
          <w:footerReference w:type="even" r:id="rId9"/>
          <w:footerReference w:type="default" r:id="rId10"/>
          <w:pgSz w:w="11906" w:h="16838"/>
          <w:pgMar w:top="1417" w:right="1417" w:bottom="1417" w:left="1417" w:header="720" w:footer="720" w:gutter="0"/>
          <w:cols w:space="720"/>
          <w:titlePg/>
          <w:bidi w:val="0"/>
          <w:docGrid w:linePitch="360"/>
        </w:sectPr>
      </w:pPr>
    </w:p>
    <w:p w:rsidR="00E75695" w:rsidP="004A64B4">
      <w:pPr>
        <w:jc w:val="both"/>
        <w:rPr>
          <w:rFonts w:ascii="Times New Roman" w:hAnsi="Times New Roman" w:cs="Times New Roman"/>
          <w:b/>
          <w:bCs/>
          <w:u w:val="single"/>
        </w:rPr>
      </w:pPr>
    </w:p>
    <w:tbl>
      <w:tblPr>
        <w:tblW w:w="15607" w:type="dxa"/>
        <w:jc w:val="center"/>
      </w:tblPr>
      <w:tblGrid>
        <w:gridCol w:w="554"/>
        <w:gridCol w:w="3432"/>
        <w:gridCol w:w="1133"/>
        <w:gridCol w:w="1233"/>
        <w:gridCol w:w="820"/>
        <w:gridCol w:w="1216"/>
        <w:gridCol w:w="1216"/>
        <w:gridCol w:w="1208"/>
        <w:gridCol w:w="8"/>
        <w:gridCol w:w="924"/>
        <w:gridCol w:w="1221"/>
        <w:gridCol w:w="1221"/>
        <w:gridCol w:w="1421"/>
      </w:tblGrid>
      <w:tr>
        <w:tblPrEx>
          <w:tblW w:w="15607" w:type="dxa"/>
          <w:jc w:val="center"/>
        </w:tblPrEx>
        <w:trPr>
          <w:trHeight w:hRule="auto" w:val="0"/>
          <w:jc w:val="center"/>
        </w:trPr>
        <w:tc>
          <w:tcPr>
            <w:tcW w:w="554" w:type="dxa"/>
            <w:vMerge w:val="restart"/>
            <w:tcBorders>
              <w:top w:val="nil"/>
              <w:left w:val="nil"/>
              <w:bottom w:val="nil"/>
              <w:right w:val="nil"/>
              <w:tl2br w:val="nil"/>
              <w:tr2bl w:val="nil"/>
            </w:tcBorders>
            <w:textDirection w:val="lrTb"/>
            <w:vAlign w:val="center"/>
          </w:tcPr>
          <w:p w:rsidR="00E75695" w:rsidRPr="00C311BA" w:rsidP="00E75695">
            <w:pPr>
              <w:ind w:left="-61" w:right="-91" w:hanging="14"/>
              <w:jc w:val="center"/>
              <w:rPr>
                <w:rFonts w:ascii="Times New Roman" w:hAnsi="Times New Roman" w:cs="Times New Roman"/>
                <w:b/>
                <w:sz w:val="20"/>
                <w:szCs w:val="20"/>
              </w:rPr>
            </w:pPr>
            <w:r>
              <w:rPr>
                <w:rFonts w:ascii="Times New Roman" w:hAnsi="Times New Roman" w:cs="Times New Roman"/>
                <w:b/>
                <w:sz w:val="20"/>
                <w:szCs w:val="20"/>
              </w:rPr>
              <w:t>P</w:t>
            </w:r>
            <w:r w:rsidRPr="00C311BA">
              <w:rPr>
                <w:rFonts w:ascii="Times New Roman" w:hAnsi="Times New Roman" w:cs="Times New Roman"/>
                <w:b/>
                <w:sz w:val="20"/>
                <w:szCs w:val="20"/>
              </w:rPr>
              <w:t>.</w:t>
            </w:r>
            <w:r>
              <w:rPr>
                <w:rFonts w:ascii="Times New Roman" w:hAnsi="Times New Roman" w:cs="Times New Roman"/>
                <w:b/>
                <w:sz w:val="20"/>
                <w:szCs w:val="20"/>
              </w:rPr>
              <w:t xml:space="preserve"> </w:t>
            </w:r>
            <w:r w:rsidRPr="00C311BA">
              <w:rPr>
                <w:rFonts w:ascii="Times New Roman" w:hAnsi="Times New Roman" w:cs="Times New Roman"/>
                <w:b/>
                <w:sz w:val="20"/>
                <w:szCs w:val="20"/>
              </w:rPr>
              <w:t>č.</w:t>
            </w:r>
          </w:p>
        </w:tc>
        <w:tc>
          <w:tcPr>
            <w:tcW w:w="3432" w:type="dxa"/>
            <w:vMerge w:val="restart"/>
            <w:tcBorders>
              <w:top w:val="nil"/>
              <w:left w:val="nil"/>
              <w:bottom w:val="nil"/>
              <w:right w:val="nil"/>
              <w:tl2br w:val="nil"/>
              <w:tr2bl w:val="nil"/>
            </w:tcBorders>
            <w:textDirection w:val="lrTb"/>
            <w:vAlign w:val="center"/>
          </w:tcPr>
          <w:p w:rsidR="00E75695" w:rsidRPr="00C311BA" w:rsidP="00E75695">
            <w:pPr>
              <w:rPr>
                <w:rFonts w:ascii="Times New Roman" w:hAnsi="Times New Roman" w:cs="Times New Roman"/>
                <w:b/>
                <w:sz w:val="20"/>
                <w:szCs w:val="20"/>
              </w:rPr>
            </w:pPr>
            <w:r w:rsidRPr="00C311BA">
              <w:rPr>
                <w:rFonts w:ascii="Times New Roman" w:hAnsi="Times New Roman" w:cs="Times New Roman"/>
                <w:b/>
                <w:sz w:val="20"/>
                <w:szCs w:val="20"/>
              </w:rPr>
              <w:t xml:space="preserve">Ústredný orgán </w:t>
            </w:r>
          </w:p>
        </w:tc>
        <w:tc>
          <w:tcPr>
            <w:tcW w:w="1133" w:type="dxa"/>
            <w:vMerge w:val="restart"/>
            <w:tcBorders>
              <w:top w:val="nil"/>
              <w:left w:val="nil"/>
              <w:bottom w:val="nil"/>
              <w:right w:val="nil"/>
              <w:tl2br w:val="nil"/>
              <w:tr2bl w:val="nil"/>
            </w:tcBorders>
            <w:textDirection w:val="lrTb"/>
            <w:vAlign w:val="center"/>
          </w:tcPr>
          <w:p w:rsidR="00E75695" w:rsidRPr="00C311BA" w:rsidP="00E75695">
            <w:pPr>
              <w:ind w:left="-73" w:right="-73" w:firstLine="3"/>
              <w:jc w:val="center"/>
              <w:rPr>
                <w:rFonts w:ascii="Times New Roman" w:hAnsi="Times New Roman" w:cs="Times New Roman"/>
                <w:b/>
                <w:sz w:val="20"/>
                <w:szCs w:val="20"/>
              </w:rPr>
            </w:pPr>
            <w:r w:rsidRPr="00C311BA">
              <w:rPr>
                <w:rFonts w:ascii="Times New Roman" w:hAnsi="Times New Roman" w:cs="Times New Roman"/>
                <w:b/>
                <w:sz w:val="20"/>
                <w:szCs w:val="20"/>
              </w:rPr>
              <w:t>Počet vnútorných audítorov</w:t>
            </w:r>
          </w:p>
        </w:tc>
        <w:tc>
          <w:tcPr>
            <w:tcW w:w="1233" w:type="dxa"/>
            <w:vMerge w:val="restart"/>
            <w:tcBorders>
              <w:top w:val="nil"/>
              <w:left w:val="nil"/>
              <w:bottom w:val="nil"/>
              <w:right w:val="nil"/>
              <w:tl2br w:val="nil"/>
              <w:tr2bl w:val="nil"/>
            </w:tcBorders>
            <w:textDirection w:val="lrTb"/>
            <w:vAlign w:val="center"/>
          </w:tcPr>
          <w:p w:rsidR="00E75695" w:rsidRPr="00C311BA" w:rsidP="00E75695">
            <w:pPr>
              <w:ind w:left="-75" w:right="-73" w:hanging="14"/>
              <w:jc w:val="center"/>
              <w:rPr>
                <w:rFonts w:ascii="Times New Roman" w:hAnsi="Times New Roman" w:cs="Times New Roman"/>
                <w:b/>
                <w:sz w:val="20"/>
                <w:szCs w:val="20"/>
              </w:rPr>
            </w:pPr>
            <w:r w:rsidRPr="00C311BA">
              <w:rPr>
                <w:rFonts w:ascii="Times New Roman" w:hAnsi="Times New Roman" w:cs="Times New Roman"/>
                <w:b/>
                <w:sz w:val="20"/>
                <w:szCs w:val="20"/>
              </w:rPr>
              <w:t>Počet plán</w:t>
            </w:r>
            <w:r>
              <w:rPr>
                <w:rFonts w:ascii="Times New Roman" w:hAnsi="Times New Roman" w:cs="Times New Roman"/>
                <w:b/>
                <w:sz w:val="20"/>
                <w:szCs w:val="20"/>
              </w:rPr>
              <w:t>ovaných</w:t>
            </w:r>
            <w:r w:rsidRPr="00C311BA">
              <w:rPr>
                <w:rFonts w:ascii="Times New Roman" w:hAnsi="Times New Roman" w:cs="Times New Roman"/>
                <w:b/>
                <w:sz w:val="20"/>
                <w:szCs w:val="20"/>
              </w:rPr>
              <w:t xml:space="preserve">  </w:t>
            </w:r>
            <w:r>
              <w:rPr>
                <w:rFonts w:ascii="Times New Roman" w:hAnsi="Times New Roman" w:cs="Times New Roman"/>
                <w:b/>
                <w:sz w:val="20"/>
                <w:szCs w:val="20"/>
              </w:rPr>
              <w:t xml:space="preserve">vnútorných auditov </w:t>
            </w:r>
          </w:p>
        </w:tc>
        <w:tc>
          <w:tcPr>
            <w:tcW w:w="4468" w:type="dxa"/>
            <w:gridSpan w:val="5"/>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b/>
                <w:sz w:val="20"/>
                <w:szCs w:val="20"/>
              </w:rPr>
            </w:pPr>
            <w:r w:rsidRPr="00C311BA">
              <w:rPr>
                <w:rFonts w:ascii="Times New Roman" w:hAnsi="Times New Roman" w:cs="Times New Roman"/>
                <w:b/>
                <w:sz w:val="20"/>
                <w:szCs w:val="20"/>
              </w:rPr>
              <w:t xml:space="preserve">Počet vykonaných </w:t>
            </w:r>
            <w:r>
              <w:rPr>
                <w:rFonts w:ascii="Times New Roman" w:hAnsi="Times New Roman" w:cs="Times New Roman"/>
                <w:b/>
                <w:sz w:val="20"/>
                <w:szCs w:val="20"/>
              </w:rPr>
              <w:t>vnútorných auditov</w:t>
            </w:r>
          </w:p>
        </w:tc>
        <w:tc>
          <w:tcPr>
            <w:tcW w:w="4787" w:type="dxa"/>
            <w:gridSpan w:val="4"/>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b/>
                <w:sz w:val="20"/>
                <w:szCs w:val="20"/>
              </w:rPr>
            </w:pPr>
            <w:r w:rsidRPr="00C311BA">
              <w:rPr>
                <w:rFonts w:ascii="Times New Roman" w:hAnsi="Times New Roman" w:cs="Times New Roman"/>
                <w:b/>
                <w:sz w:val="20"/>
                <w:szCs w:val="20"/>
              </w:rPr>
              <w:t>Počet odporúčaní</w:t>
            </w:r>
          </w:p>
        </w:tc>
      </w:tr>
      <w:tr>
        <w:tblPrEx>
          <w:tblW w:w="15607" w:type="dxa"/>
          <w:jc w:val="center"/>
        </w:tblPrEx>
        <w:trPr>
          <w:trHeight w:hRule="auto" w:val="0"/>
          <w:jc w:val="center"/>
        </w:trPr>
        <w:tc>
          <w:tcPr>
            <w:tcW w:w="554" w:type="dxa"/>
            <w:vMerge/>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b/>
                <w:sz w:val="20"/>
                <w:szCs w:val="20"/>
              </w:rPr>
            </w:pPr>
          </w:p>
        </w:tc>
        <w:tc>
          <w:tcPr>
            <w:tcW w:w="3432" w:type="dxa"/>
            <w:vMerge/>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b/>
                <w:sz w:val="20"/>
                <w:szCs w:val="20"/>
              </w:rPr>
            </w:pPr>
          </w:p>
        </w:tc>
        <w:tc>
          <w:tcPr>
            <w:tcW w:w="1133" w:type="dxa"/>
            <w:vMerge/>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b/>
                <w:sz w:val="20"/>
                <w:szCs w:val="20"/>
              </w:rPr>
            </w:pPr>
          </w:p>
        </w:tc>
        <w:tc>
          <w:tcPr>
            <w:tcW w:w="1233" w:type="dxa"/>
            <w:vMerge/>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b/>
                <w:sz w:val="20"/>
                <w:szCs w:val="20"/>
              </w:rPr>
            </w:pPr>
          </w:p>
        </w:tc>
        <w:tc>
          <w:tcPr>
            <w:tcW w:w="820" w:type="dxa"/>
            <w:tcBorders>
              <w:top w:val="nil"/>
              <w:left w:val="nil"/>
              <w:bottom w:val="nil"/>
              <w:right w:val="nil"/>
              <w:tl2br w:val="nil"/>
              <w:tr2bl w:val="nil"/>
            </w:tcBorders>
            <w:textDirection w:val="lrTb"/>
            <w:vAlign w:val="center"/>
          </w:tcPr>
          <w:p w:rsidR="00E75695" w:rsidRPr="00C311BA" w:rsidP="00E75695">
            <w:pPr>
              <w:ind w:right="-63"/>
              <w:jc w:val="center"/>
              <w:rPr>
                <w:rFonts w:ascii="Times New Roman" w:hAnsi="Times New Roman" w:cs="Times New Roman"/>
                <w:b/>
                <w:sz w:val="20"/>
                <w:szCs w:val="20"/>
              </w:rPr>
            </w:pPr>
            <w:r w:rsidRPr="00C311BA">
              <w:rPr>
                <w:rFonts w:ascii="Times New Roman" w:hAnsi="Times New Roman" w:cs="Times New Roman"/>
                <w:b/>
                <w:sz w:val="20"/>
                <w:szCs w:val="20"/>
              </w:rPr>
              <w:t>Celkom</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b/>
                <w:sz w:val="20"/>
                <w:szCs w:val="20"/>
              </w:rPr>
            </w:pPr>
            <w:r w:rsidRPr="00C311BA">
              <w:rPr>
                <w:rFonts w:ascii="Times New Roman" w:hAnsi="Times New Roman" w:cs="Times New Roman"/>
                <w:b/>
                <w:sz w:val="20"/>
                <w:szCs w:val="20"/>
              </w:rPr>
              <w:t>prostr</w:t>
            </w:r>
            <w:r>
              <w:rPr>
                <w:rFonts w:ascii="Times New Roman" w:hAnsi="Times New Roman" w:cs="Times New Roman"/>
                <w:b/>
                <w:sz w:val="20"/>
                <w:szCs w:val="20"/>
              </w:rPr>
              <w:t>iedky</w:t>
            </w:r>
          </w:p>
          <w:p w:rsidR="00E75695" w:rsidRPr="00C311BA" w:rsidP="00E75695">
            <w:pPr>
              <w:jc w:val="center"/>
              <w:rPr>
                <w:rFonts w:ascii="Times New Roman" w:hAnsi="Times New Roman" w:cs="Times New Roman"/>
                <w:b/>
                <w:sz w:val="20"/>
                <w:szCs w:val="20"/>
              </w:rPr>
            </w:pPr>
            <w:r w:rsidRPr="00C311BA">
              <w:rPr>
                <w:rFonts w:ascii="Times New Roman" w:hAnsi="Times New Roman" w:cs="Times New Roman"/>
                <w:b/>
                <w:sz w:val="20"/>
                <w:szCs w:val="20"/>
              </w:rPr>
              <w:t>ŠR</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b/>
                <w:sz w:val="20"/>
                <w:szCs w:val="20"/>
              </w:rPr>
            </w:pPr>
            <w:r w:rsidRPr="00C311BA">
              <w:rPr>
                <w:rFonts w:ascii="Times New Roman" w:hAnsi="Times New Roman" w:cs="Times New Roman"/>
                <w:b/>
                <w:sz w:val="20"/>
                <w:szCs w:val="20"/>
              </w:rPr>
              <w:t>prostr</w:t>
            </w:r>
            <w:r>
              <w:rPr>
                <w:rFonts w:ascii="Times New Roman" w:hAnsi="Times New Roman" w:cs="Times New Roman"/>
                <w:b/>
                <w:sz w:val="20"/>
                <w:szCs w:val="20"/>
              </w:rPr>
              <w:t>iedky</w:t>
            </w:r>
            <w:r w:rsidRPr="00C311BA">
              <w:rPr>
                <w:rFonts w:ascii="Times New Roman" w:hAnsi="Times New Roman" w:cs="Times New Roman"/>
                <w:b/>
                <w:sz w:val="20"/>
                <w:szCs w:val="20"/>
              </w:rPr>
              <w:t xml:space="preserve"> EÚ</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b/>
                <w:sz w:val="20"/>
                <w:szCs w:val="20"/>
              </w:rPr>
            </w:pPr>
            <w:r>
              <w:rPr>
                <w:rFonts w:ascii="Times New Roman" w:hAnsi="Times New Roman" w:cs="Times New Roman"/>
                <w:b/>
                <w:sz w:val="20"/>
                <w:szCs w:val="20"/>
              </w:rPr>
              <w:t>iné zdroje zo zahraničia</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b/>
                <w:sz w:val="20"/>
                <w:szCs w:val="20"/>
              </w:rPr>
            </w:pPr>
            <w:r w:rsidRPr="00C311BA">
              <w:rPr>
                <w:rFonts w:ascii="Times New Roman" w:hAnsi="Times New Roman" w:cs="Times New Roman"/>
                <w:b/>
                <w:sz w:val="20"/>
                <w:szCs w:val="20"/>
              </w:rPr>
              <w:t>Celkom</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b/>
                <w:sz w:val="20"/>
                <w:szCs w:val="20"/>
              </w:rPr>
            </w:pPr>
            <w:r w:rsidRPr="00C311BA">
              <w:rPr>
                <w:rFonts w:ascii="Times New Roman" w:hAnsi="Times New Roman" w:cs="Times New Roman"/>
                <w:b/>
                <w:sz w:val="20"/>
                <w:szCs w:val="20"/>
              </w:rPr>
              <w:t>zohľadnené</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b/>
                <w:sz w:val="20"/>
                <w:szCs w:val="20"/>
              </w:rPr>
            </w:pPr>
            <w:r w:rsidRPr="00C311BA">
              <w:rPr>
                <w:rFonts w:ascii="Times New Roman" w:hAnsi="Times New Roman" w:cs="Times New Roman"/>
                <w:b/>
                <w:sz w:val="20"/>
                <w:szCs w:val="20"/>
              </w:rPr>
              <w:t>čiastočne zohľadnené</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b/>
                <w:sz w:val="20"/>
                <w:szCs w:val="20"/>
              </w:rPr>
            </w:pPr>
            <w:r w:rsidRPr="00C311BA">
              <w:rPr>
                <w:rFonts w:ascii="Times New Roman" w:hAnsi="Times New Roman" w:cs="Times New Roman"/>
                <w:b/>
                <w:sz w:val="20"/>
                <w:szCs w:val="20"/>
              </w:rPr>
              <w:t>nezohľadnené</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3432" w:type="dxa"/>
            <w:tcBorders>
              <w:top w:val="nil"/>
              <w:left w:val="nil"/>
              <w:bottom w:val="nil"/>
              <w:right w:val="nil"/>
              <w:tl2br w:val="nil"/>
              <w:tr2bl w:val="nil"/>
            </w:tcBorders>
            <w:textDirection w:val="lrTb"/>
            <w:vAlign w:val="center"/>
          </w:tcPr>
          <w:p w:rsidR="00E75695" w:rsidRPr="00C311BA" w:rsidP="00E75695">
            <w:pPr>
              <w:rPr>
                <w:rFonts w:ascii="Times New Roman" w:hAnsi="Times New Roman" w:cs="Times New Roman"/>
                <w:sz w:val="20"/>
                <w:szCs w:val="20"/>
              </w:rPr>
            </w:pPr>
            <w:r w:rsidRPr="00C311BA">
              <w:rPr>
                <w:rFonts w:ascii="Times New Roman" w:hAnsi="Times New Roman" w:cs="Times New Roman"/>
                <w:sz w:val="20"/>
                <w:szCs w:val="20"/>
              </w:rPr>
              <w:t xml:space="preserve">Ministerstvo dopravy, pôšt a telekomunikácií SR </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8</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6</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118</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91</w:t>
            </w:r>
          </w:p>
        </w:tc>
        <w:tc>
          <w:tcPr>
            <w:tcW w:w="1221" w:type="dxa"/>
            <w:tcBorders>
              <w:top w:val="nil"/>
              <w:left w:val="nil"/>
              <w:bottom w:val="nil"/>
              <w:right w:val="nil"/>
              <w:tl2br w:val="nil"/>
              <w:tr2bl w:val="nil"/>
            </w:tcBorders>
            <w:textDirection w:val="lrTb"/>
            <w:vAlign w:val="center"/>
          </w:tcPr>
          <w:p w:rsidR="00E75695" w:rsidRPr="00C311BA" w:rsidP="00E75695">
            <w:pPr>
              <w:rPr>
                <w:rFonts w:ascii="Times New Roman" w:hAnsi="Times New Roman" w:cs="Times New Roman"/>
                <w:sz w:val="20"/>
                <w:szCs w:val="20"/>
              </w:rPr>
            </w:pPr>
            <w:r>
              <w:rPr>
                <w:rFonts w:ascii="Times New Roman" w:hAnsi="Times New Roman" w:cs="Times New Roman"/>
                <w:sz w:val="20"/>
                <w:szCs w:val="20"/>
              </w:rPr>
              <w:t xml:space="preserve">       </w:t>
            </w:r>
            <w:r w:rsidRPr="00C311BA">
              <w:rPr>
                <w:rFonts w:ascii="Times New Roman" w:hAnsi="Times New Roman" w:cs="Times New Roman"/>
                <w:sz w:val="20"/>
                <w:szCs w:val="20"/>
              </w:rPr>
              <w:t>13</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14</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w:t>
            </w:r>
          </w:p>
        </w:tc>
        <w:tc>
          <w:tcPr>
            <w:tcW w:w="3432" w:type="dxa"/>
            <w:tcBorders>
              <w:top w:val="nil"/>
              <w:left w:val="nil"/>
              <w:bottom w:val="nil"/>
              <w:right w:val="nil"/>
              <w:tl2br w:val="nil"/>
              <w:tr2bl w:val="nil"/>
            </w:tcBorders>
            <w:textDirection w:val="lrTb"/>
            <w:vAlign w:val="center"/>
          </w:tcPr>
          <w:p w:rsidR="00E75695" w:rsidRPr="00C311BA" w:rsidP="00E75695">
            <w:pPr>
              <w:jc w:val="both"/>
              <w:rPr>
                <w:rFonts w:ascii="Times New Roman" w:hAnsi="Times New Roman" w:cs="Times New Roman"/>
                <w:sz w:val="20"/>
                <w:szCs w:val="20"/>
              </w:rPr>
            </w:pPr>
            <w:r w:rsidRPr="00C311BA">
              <w:rPr>
                <w:rFonts w:ascii="Times New Roman" w:hAnsi="Times New Roman" w:cs="Times New Roman"/>
                <w:sz w:val="20"/>
                <w:szCs w:val="20"/>
              </w:rPr>
              <w:t xml:space="preserve">Ministerstvo financií SR </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8</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25</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19</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6</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13</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169</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143</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16*</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 xml:space="preserve">10 </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w:t>
            </w:r>
          </w:p>
        </w:tc>
        <w:tc>
          <w:tcPr>
            <w:tcW w:w="3432" w:type="dxa"/>
            <w:tcBorders>
              <w:top w:val="nil"/>
              <w:left w:val="nil"/>
              <w:bottom w:val="nil"/>
              <w:right w:val="nil"/>
              <w:tl2br w:val="nil"/>
              <w:tr2bl w:val="nil"/>
            </w:tcBorders>
            <w:textDirection w:val="lrTb"/>
            <w:vAlign w:val="center"/>
          </w:tcPr>
          <w:p w:rsidR="00E75695" w:rsidRPr="00C311BA" w:rsidP="00E75695">
            <w:pPr>
              <w:jc w:val="both"/>
              <w:rPr>
                <w:rFonts w:ascii="Times New Roman" w:hAnsi="Times New Roman" w:cs="Times New Roman"/>
                <w:sz w:val="20"/>
                <w:szCs w:val="20"/>
              </w:rPr>
            </w:pPr>
            <w:r w:rsidRPr="00C311BA">
              <w:rPr>
                <w:rFonts w:ascii="Times New Roman" w:hAnsi="Times New Roman" w:cs="Times New Roman"/>
                <w:sz w:val="20"/>
                <w:szCs w:val="20"/>
              </w:rPr>
              <w:t xml:space="preserve">Ministerstvo hospodárstva SR </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12</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11</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5</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6</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103</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103</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3432" w:type="dxa"/>
            <w:tcBorders>
              <w:top w:val="nil"/>
              <w:left w:val="nil"/>
              <w:bottom w:val="nil"/>
              <w:right w:val="nil"/>
              <w:tl2br w:val="nil"/>
              <w:tr2bl w:val="nil"/>
            </w:tcBorders>
            <w:textDirection w:val="lrTb"/>
            <w:vAlign w:val="center"/>
          </w:tcPr>
          <w:p w:rsidR="00E75695" w:rsidRPr="00C311BA" w:rsidP="00E75695">
            <w:pPr>
              <w:jc w:val="both"/>
              <w:rPr>
                <w:rFonts w:ascii="Times New Roman" w:hAnsi="Times New Roman" w:cs="Times New Roman"/>
                <w:sz w:val="20"/>
                <w:szCs w:val="20"/>
              </w:rPr>
            </w:pPr>
            <w:r w:rsidRPr="00C311BA">
              <w:rPr>
                <w:rFonts w:ascii="Times New Roman" w:hAnsi="Times New Roman" w:cs="Times New Roman"/>
                <w:sz w:val="20"/>
                <w:szCs w:val="20"/>
              </w:rPr>
              <w:t xml:space="preserve">Ministerstvo kultúry SR </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5</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6</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5.</w:t>
            </w:r>
          </w:p>
        </w:tc>
        <w:tc>
          <w:tcPr>
            <w:tcW w:w="3432" w:type="dxa"/>
            <w:tcBorders>
              <w:top w:val="nil"/>
              <w:left w:val="nil"/>
              <w:bottom w:val="nil"/>
              <w:right w:val="nil"/>
              <w:tl2br w:val="nil"/>
              <w:tr2bl w:val="nil"/>
            </w:tcBorders>
            <w:textDirection w:val="lrTb"/>
            <w:vAlign w:val="center"/>
          </w:tcPr>
          <w:p w:rsidR="00E75695" w:rsidRPr="00C311BA" w:rsidP="00E75695">
            <w:pPr>
              <w:jc w:val="both"/>
              <w:rPr>
                <w:rFonts w:ascii="Times New Roman" w:hAnsi="Times New Roman" w:cs="Times New Roman"/>
                <w:sz w:val="20"/>
                <w:szCs w:val="20"/>
              </w:rPr>
            </w:pPr>
            <w:r w:rsidRPr="00C311BA">
              <w:rPr>
                <w:rFonts w:ascii="Times New Roman" w:hAnsi="Times New Roman" w:cs="Times New Roman"/>
                <w:sz w:val="20"/>
                <w:szCs w:val="20"/>
              </w:rPr>
              <w:t xml:space="preserve">Ministerstvo obrany SR </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8</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7</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6</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54</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53</w:t>
            </w:r>
          </w:p>
        </w:tc>
        <w:tc>
          <w:tcPr>
            <w:tcW w:w="1221" w:type="dxa"/>
            <w:tcBorders>
              <w:top w:val="nil"/>
              <w:left w:val="nil"/>
              <w:bottom w:val="nil"/>
              <w:right w:val="nil"/>
              <w:tl2br w:val="nil"/>
              <w:tr2bl w:val="nil"/>
            </w:tcBorders>
            <w:textDirection w:val="lrTb"/>
            <w:vAlign w:val="center"/>
          </w:tcPr>
          <w:p w:rsidR="00E75695" w:rsidRPr="00C311BA" w:rsidP="00E75695">
            <w:pPr>
              <w:rPr>
                <w:rFonts w:ascii="Times New Roman" w:hAnsi="Times New Roman" w:cs="Times New Roman"/>
                <w:sz w:val="20"/>
                <w:szCs w:val="20"/>
              </w:rPr>
            </w:pPr>
            <w:r>
              <w:rPr>
                <w:rFonts w:ascii="Times New Roman" w:hAnsi="Times New Roman" w:cs="Times New Roman"/>
                <w:sz w:val="20"/>
                <w:szCs w:val="20"/>
              </w:rPr>
              <w:t xml:space="preserve">        </w:t>
            </w:r>
            <w:r w:rsidRPr="00C311BA">
              <w:rPr>
                <w:rFonts w:ascii="Times New Roman" w:hAnsi="Times New Roman" w:cs="Times New Roman"/>
                <w:sz w:val="20"/>
                <w:szCs w:val="20"/>
              </w:rPr>
              <w:t>1</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6.</w:t>
            </w:r>
          </w:p>
        </w:tc>
        <w:tc>
          <w:tcPr>
            <w:tcW w:w="3432" w:type="dxa"/>
            <w:tcBorders>
              <w:top w:val="nil"/>
              <w:left w:val="nil"/>
              <w:bottom w:val="nil"/>
              <w:right w:val="nil"/>
              <w:tl2br w:val="nil"/>
              <w:tr2bl w:val="nil"/>
            </w:tcBorders>
            <w:textDirection w:val="lrTb"/>
            <w:vAlign w:val="center"/>
          </w:tcPr>
          <w:p w:rsidR="00E75695" w:rsidRPr="00C311BA" w:rsidP="00E75695">
            <w:pPr>
              <w:rPr>
                <w:rFonts w:ascii="Times New Roman" w:hAnsi="Times New Roman" w:cs="Times New Roman"/>
                <w:sz w:val="20"/>
                <w:szCs w:val="20"/>
              </w:rPr>
            </w:pPr>
            <w:r w:rsidRPr="00C311BA">
              <w:rPr>
                <w:rFonts w:ascii="Times New Roman" w:hAnsi="Times New Roman" w:cs="Times New Roman"/>
                <w:sz w:val="20"/>
                <w:szCs w:val="20"/>
              </w:rPr>
              <w:t xml:space="preserve">Ministerstvo práce, sociálnych vecí a rodiny SR </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7</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7</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94</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94</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7.</w:t>
            </w:r>
          </w:p>
        </w:tc>
        <w:tc>
          <w:tcPr>
            <w:tcW w:w="3432" w:type="dxa"/>
            <w:tcBorders>
              <w:top w:val="nil"/>
              <w:left w:val="nil"/>
              <w:bottom w:val="nil"/>
              <w:right w:val="nil"/>
              <w:tl2br w:val="nil"/>
              <w:tr2bl w:val="nil"/>
            </w:tcBorders>
            <w:textDirection w:val="lrTb"/>
            <w:vAlign w:val="center"/>
          </w:tcPr>
          <w:p w:rsidR="00E75695" w:rsidRPr="00C311BA" w:rsidP="00E75695">
            <w:pPr>
              <w:ind w:right="-151"/>
              <w:rPr>
                <w:rFonts w:ascii="Times New Roman" w:hAnsi="Times New Roman" w:cs="Times New Roman"/>
                <w:sz w:val="20"/>
                <w:szCs w:val="20"/>
              </w:rPr>
            </w:pPr>
            <w:r w:rsidRPr="00C311BA">
              <w:rPr>
                <w:rFonts w:ascii="Times New Roman" w:hAnsi="Times New Roman" w:cs="Times New Roman"/>
                <w:sz w:val="20"/>
                <w:szCs w:val="20"/>
              </w:rPr>
              <w:t xml:space="preserve">Ministerstvo pôdohospodárstva SR </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5</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31</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31</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8.</w:t>
            </w:r>
          </w:p>
        </w:tc>
        <w:tc>
          <w:tcPr>
            <w:tcW w:w="3432" w:type="dxa"/>
            <w:tcBorders>
              <w:top w:val="nil"/>
              <w:left w:val="nil"/>
              <w:bottom w:val="nil"/>
              <w:right w:val="nil"/>
              <w:tl2br w:val="nil"/>
              <w:tr2bl w:val="nil"/>
            </w:tcBorders>
            <w:textDirection w:val="lrTb"/>
            <w:vAlign w:val="center"/>
          </w:tcPr>
          <w:p w:rsidR="00E75695" w:rsidRPr="00C311BA" w:rsidP="00E75695">
            <w:pPr>
              <w:jc w:val="both"/>
              <w:rPr>
                <w:rFonts w:ascii="Times New Roman" w:hAnsi="Times New Roman" w:cs="Times New Roman"/>
                <w:sz w:val="20"/>
                <w:szCs w:val="20"/>
              </w:rPr>
            </w:pPr>
            <w:r w:rsidRPr="00C311BA">
              <w:rPr>
                <w:rFonts w:ascii="Times New Roman" w:hAnsi="Times New Roman" w:cs="Times New Roman"/>
                <w:sz w:val="20"/>
                <w:szCs w:val="20"/>
              </w:rPr>
              <w:t>Ministerstvo spravodlivosti SR</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10</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10</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9</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52</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36</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13</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9.</w:t>
            </w:r>
          </w:p>
        </w:tc>
        <w:tc>
          <w:tcPr>
            <w:tcW w:w="3432" w:type="dxa"/>
            <w:tcBorders>
              <w:top w:val="nil"/>
              <w:left w:val="nil"/>
              <w:bottom w:val="nil"/>
              <w:right w:val="nil"/>
              <w:tl2br w:val="nil"/>
              <w:tr2bl w:val="nil"/>
            </w:tcBorders>
            <w:textDirection w:val="lrTb"/>
            <w:vAlign w:val="center"/>
          </w:tcPr>
          <w:p w:rsidR="00E75695" w:rsidRPr="00C311BA" w:rsidP="00E75695">
            <w:pPr>
              <w:jc w:val="both"/>
              <w:rPr>
                <w:rFonts w:ascii="Times New Roman" w:hAnsi="Times New Roman" w:cs="Times New Roman"/>
                <w:sz w:val="20"/>
                <w:szCs w:val="20"/>
              </w:rPr>
            </w:pPr>
            <w:r w:rsidRPr="00C311BA">
              <w:rPr>
                <w:rFonts w:ascii="Times New Roman" w:hAnsi="Times New Roman" w:cs="Times New Roman"/>
                <w:sz w:val="20"/>
                <w:szCs w:val="20"/>
              </w:rPr>
              <w:t>Ministerstvo školstva SR</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8</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7</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6</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26</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26</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10.</w:t>
            </w:r>
          </w:p>
        </w:tc>
        <w:tc>
          <w:tcPr>
            <w:tcW w:w="3432" w:type="dxa"/>
            <w:tcBorders>
              <w:top w:val="nil"/>
              <w:left w:val="nil"/>
              <w:bottom w:val="nil"/>
              <w:right w:val="nil"/>
              <w:tl2br w:val="nil"/>
              <w:tr2bl w:val="nil"/>
            </w:tcBorders>
            <w:textDirection w:val="lrTb"/>
            <w:vAlign w:val="center"/>
          </w:tcPr>
          <w:p w:rsidR="00E75695" w:rsidRPr="00C311BA" w:rsidP="00E75695">
            <w:pPr>
              <w:jc w:val="both"/>
              <w:rPr>
                <w:rFonts w:ascii="Times New Roman" w:hAnsi="Times New Roman" w:cs="Times New Roman"/>
                <w:sz w:val="20"/>
                <w:szCs w:val="20"/>
              </w:rPr>
            </w:pPr>
            <w:r w:rsidRPr="00C311BA">
              <w:rPr>
                <w:rFonts w:ascii="Times New Roman" w:hAnsi="Times New Roman" w:cs="Times New Roman"/>
                <w:sz w:val="20"/>
                <w:szCs w:val="20"/>
              </w:rPr>
              <w:t>Ministerstvo vnútra SR</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5</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5</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35</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35</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11.</w:t>
            </w:r>
          </w:p>
        </w:tc>
        <w:tc>
          <w:tcPr>
            <w:tcW w:w="3432" w:type="dxa"/>
            <w:tcBorders>
              <w:top w:val="nil"/>
              <w:left w:val="nil"/>
              <w:bottom w:val="nil"/>
              <w:right w:val="nil"/>
              <w:tl2br w:val="nil"/>
              <w:tr2bl w:val="nil"/>
            </w:tcBorders>
            <w:textDirection w:val="lrTb"/>
            <w:vAlign w:val="center"/>
          </w:tcPr>
          <w:p w:rsidR="00E75695" w:rsidRPr="00C311BA" w:rsidP="00E75695">
            <w:pPr>
              <w:rPr>
                <w:rFonts w:ascii="Times New Roman" w:hAnsi="Times New Roman" w:cs="Times New Roman"/>
                <w:sz w:val="20"/>
                <w:szCs w:val="20"/>
              </w:rPr>
            </w:pPr>
            <w:r w:rsidRPr="00C311BA">
              <w:rPr>
                <w:rFonts w:ascii="Times New Roman" w:hAnsi="Times New Roman" w:cs="Times New Roman"/>
                <w:sz w:val="20"/>
                <w:szCs w:val="20"/>
              </w:rPr>
              <w:t>Ministerstvo výstavby a regionálneho rozvoja SR</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8</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8</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5</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48</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47</w:t>
            </w:r>
          </w:p>
        </w:tc>
        <w:tc>
          <w:tcPr>
            <w:tcW w:w="1221" w:type="dxa"/>
            <w:tcBorders>
              <w:top w:val="nil"/>
              <w:left w:val="nil"/>
              <w:bottom w:val="nil"/>
              <w:right w:val="nil"/>
              <w:tl2br w:val="nil"/>
              <w:tr2bl w:val="nil"/>
            </w:tcBorders>
            <w:textDirection w:val="lrTb"/>
            <w:vAlign w:val="center"/>
          </w:tcPr>
          <w:p w:rsidR="00E75695" w:rsidRPr="00C311BA" w:rsidP="00E75695">
            <w:pPr>
              <w:ind w:left="-332" w:firstLine="332"/>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12.</w:t>
            </w:r>
          </w:p>
        </w:tc>
        <w:tc>
          <w:tcPr>
            <w:tcW w:w="3432" w:type="dxa"/>
            <w:tcBorders>
              <w:top w:val="nil"/>
              <w:left w:val="nil"/>
              <w:bottom w:val="nil"/>
              <w:right w:val="nil"/>
              <w:tl2br w:val="nil"/>
              <w:tr2bl w:val="nil"/>
            </w:tcBorders>
            <w:textDirection w:val="lrTb"/>
            <w:vAlign w:val="center"/>
          </w:tcPr>
          <w:p w:rsidR="00E75695" w:rsidRPr="00C311BA" w:rsidP="00E75695">
            <w:pPr>
              <w:ind w:right="-28"/>
              <w:jc w:val="both"/>
              <w:rPr>
                <w:rFonts w:ascii="Times New Roman" w:hAnsi="Times New Roman" w:cs="Times New Roman"/>
                <w:sz w:val="20"/>
                <w:szCs w:val="20"/>
              </w:rPr>
            </w:pPr>
            <w:r w:rsidRPr="00C311BA">
              <w:rPr>
                <w:rFonts w:ascii="Times New Roman" w:hAnsi="Times New Roman" w:cs="Times New Roman"/>
                <w:sz w:val="20"/>
                <w:szCs w:val="20"/>
              </w:rPr>
              <w:t>Ministerstvo zahraničných vecí SR</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5</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29</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7</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22*</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13.</w:t>
            </w:r>
          </w:p>
        </w:tc>
        <w:tc>
          <w:tcPr>
            <w:tcW w:w="3432" w:type="dxa"/>
            <w:tcBorders>
              <w:top w:val="nil"/>
              <w:left w:val="nil"/>
              <w:bottom w:val="nil"/>
              <w:right w:val="nil"/>
              <w:tl2br w:val="nil"/>
              <w:tr2bl w:val="nil"/>
            </w:tcBorders>
            <w:textDirection w:val="lrTb"/>
            <w:vAlign w:val="center"/>
          </w:tcPr>
          <w:p w:rsidR="00E75695" w:rsidRPr="00C311BA" w:rsidP="00E75695">
            <w:pPr>
              <w:jc w:val="both"/>
              <w:rPr>
                <w:rFonts w:ascii="Times New Roman" w:hAnsi="Times New Roman" w:cs="Times New Roman"/>
                <w:sz w:val="20"/>
                <w:szCs w:val="20"/>
              </w:rPr>
            </w:pPr>
            <w:r w:rsidRPr="00C311BA">
              <w:rPr>
                <w:rFonts w:ascii="Times New Roman" w:hAnsi="Times New Roman" w:cs="Times New Roman"/>
                <w:sz w:val="20"/>
                <w:szCs w:val="20"/>
              </w:rPr>
              <w:t xml:space="preserve">Ministerstvo zdravotníctva SR </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7</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9</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7</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15</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15</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14.</w:t>
            </w:r>
          </w:p>
        </w:tc>
        <w:tc>
          <w:tcPr>
            <w:tcW w:w="3432" w:type="dxa"/>
            <w:tcBorders>
              <w:top w:val="nil"/>
              <w:left w:val="nil"/>
              <w:bottom w:val="nil"/>
              <w:right w:val="nil"/>
              <w:tl2br w:val="nil"/>
              <w:tr2bl w:val="nil"/>
            </w:tcBorders>
            <w:textDirection w:val="lrTb"/>
            <w:vAlign w:val="center"/>
          </w:tcPr>
          <w:p w:rsidR="00E75695" w:rsidRPr="00C311BA" w:rsidP="00E75695">
            <w:pPr>
              <w:rPr>
                <w:rFonts w:ascii="Times New Roman" w:hAnsi="Times New Roman" w:cs="Times New Roman"/>
                <w:sz w:val="20"/>
                <w:szCs w:val="20"/>
              </w:rPr>
            </w:pPr>
            <w:r w:rsidRPr="00C311BA">
              <w:rPr>
                <w:rFonts w:ascii="Times New Roman" w:hAnsi="Times New Roman" w:cs="Times New Roman"/>
                <w:sz w:val="20"/>
                <w:szCs w:val="20"/>
              </w:rPr>
              <w:t>Ministerstvo životného prostredia SR</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6</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11</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11</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15.</w:t>
            </w:r>
          </w:p>
        </w:tc>
        <w:tc>
          <w:tcPr>
            <w:tcW w:w="3432" w:type="dxa"/>
            <w:tcBorders>
              <w:top w:val="nil"/>
              <w:left w:val="nil"/>
              <w:bottom w:val="nil"/>
              <w:right w:val="nil"/>
              <w:tl2br w:val="nil"/>
              <w:tr2bl w:val="nil"/>
            </w:tcBorders>
            <w:textDirection w:val="lrTb"/>
            <w:vAlign w:val="center"/>
          </w:tcPr>
          <w:p w:rsidR="00E75695" w:rsidRPr="00C311BA" w:rsidP="00E75695">
            <w:pPr>
              <w:jc w:val="both"/>
              <w:rPr>
                <w:rFonts w:ascii="Times New Roman" w:hAnsi="Times New Roman" w:cs="Times New Roman"/>
                <w:sz w:val="20"/>
                <w:szCs w:val="20"/>
              </w:rPr>
            </w:pPr>
            <w:r w:rsidRPr="00C311BA">
              <w:rPr>
                <w:rFonts w:ascii="Times New Roman" w:hAnsi="Times New Roman" w:cs="Times New Roman"/>
                <w:sz w:val="20"/>
                <w:szCs w:val="20"/>
              </w:rPr>
              <w:t xml:space="preserve">Generálna prokuratúra SR </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79</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75</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16.</w:t>
            </w:r>
          </w:p>
        </w:tc>
        <w:tc>
          <w:tcPr>
            <w:tcW w:w="3432" w:type="dxa"/>
            <w:tcBorders>
              <w:top w:val="nil"/>
              <w:left w:val="nil"/>
              <w:bottom w:val="nil"/>
              <w:right w:val="nil"/>
              <w:tl2br w:val="nil"/>
              <w:tr2bl w:val="nil"/>
            </w:tcBorders>
            <w:textDirection w:val="lrTb"/>
            <w:vAlign w:val="center"/>
          </w:tcPr>
          <w:p w:rsidR="00E75695" w:rsidRPr="00C311BA" w:rsidP="00E75695">
            <w:pPr>
              <w:jc w:val="both"/>
              <w:rPr>
                <w:rFonts w:ascii="Times New Roman" w:hAnsi="Times New Roman" w:cs="Times New Roman"/>
                <w:sz w:val="20"/>
                <w:szCs w:val="20"/>
              </w:rPr>
            </w:pPr>
            <w:r w:rsidRPr="00C311BA">
              <w:rPr>
                <w:rFonts w:ascii="Times New Roman" w:hAnsi="Times New Roman" w:cs="Times New Roman"/>
                <w:sz w:val="20"/>
                <w:szCs w:val="20"/>
              </w:rPr>
              <w:t xml:space="preserve">Najvyšší kontrolný úrad SR  </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5</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10</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10</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17.</w:t>
            </w:r>
          </w:p>
        </w:tc>
        <w:tc>
          <w:tcPr>
            <w:tcW w:w="3432" w:type="dxa"/>
            <w:tcBorders>
              <w:top w:val="nil"/>
              <w:left w:val="nil"/>
              <w:bottom w:val="nil"/>
              <w:right w:val="nil"/>
              <w:tl2br w:val="nil"/>
              <w:tr2bl w:val="nil"/>
            </w:tcBorders>
            <w:textDirection w:val="lrTb"/>
            <w:vAlign w:val="center"/>
          </w:tcPr>
          <w:p w:rsidR="00E75695" w:rsidRPr="00C311BA" w:rsidP="00E75695">
            <w:pPr>
              <w:rPr>
                <w:rFonts w:ascii="Times New Roman" w:hAnsi="Times New Roman" w:cs="Times New Roman"/>
                <w:sz w:val="20"/>
                <w:szCs w:val="20"/>
              </w:rPr>
            </w:pPr>
            <w:r w:rsidRPr="00C311BA">
              <w:rPr>
                <w:rFonts w:ascii="Times New Roman" w:hAnsi="Times New Roman" w:cs="Times New Roman"/>
                <w:sz w:val="20"/>
                <w:szCs w:val="20"/>
              </w:rPr>
              <w:t>Národný bezpečnostný úrad SR</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12</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12</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18.</w:t>
            </w:r>
          </w:p>
        </w:tc>
        <w:tc>
          <w:tcPr>
            <w:tcW w:w="3432" w:type="dxa"/>
            <w:tcBorders>
              <w:top w:val="nil"/>
              <w:left w:val="nil"/>
              <w:bottom w:val="nil"/>
              <w:right w:val="nil"/>
              <w:tl2br w:val="nil"/>
              <w:tr2bl w:val="nil"/>
            </w:tcBorders>
            <w:textDirection w:val="lrTb"/>
            <w:vAlign w:val="center"/>
          </w:tcPr>
          <w:p w:rsidR="00E75695" w:rsidRPr="00C311BA" w:rsidP="00E75695">
            <w:pPr>
              <w:ind w:right="-28"/>
              <w:rPr>
                <w:rFonts w:ascii="Times New Roman" w:hAnsi="Times New Roman" w:cs="Times New Roman"/>
                <w:sz w:val="20"/>
                <w:szCs w:val="20"/>
              </w:rPr>
            </w:pPr>
            <w:r w:rsidRPr="00C311BA">
              <w:rPr>
                <w:rFonts w:ascii="Times New Roman" w:hAnsi="Times New Roman" w:cs="Times New Roman"/>
                <w:sz w:val="20"/>
                <w:szCs w:val="20"/>
              </w:rPr>
              <w:t>Správa štátnych hmotných rezerv SR</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5</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5</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20</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20</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19.</w:t>
            </w:r>
          </w:p>
        </w:tc>
        <w:tc>
          <w:tcPr>
            <w:tcW w:w="3432" w:type="dxa"/>
            <w:tcBorders>
              <w:top w:val="nil"/>
              <w:left w:val="nil"/>
              <w:bottom w:val="nil"/>
              <w:right w:val="nil"/>
              <w:tl2br w:val="nil"/>
              <w:tr2bl w:val="nil"/>
            </w:tcBorders>
            <w:textDirection w:val="lrTb"/>
            <w:vAlign w:val="center"/>
          </w:tcPr>
          <w:p w:rsidR="00E75695" w:rsidRPr="00C311BA" w:rsidP="00E75695">
            <w:pPr>
              <w:jc w:val="both"/>
              <w:rPr>
                <w:rFonts w:ascii="Times New Roman" w:hAnsi="Times New Roman" w:cs="Times New Roman"/>
                <w:sz w:val="20"/>
                <w:szCs w:val="20"/>
              </w:rPr>
            </w:pPr>
            <w:r w:rsidRPr="00C311BA">
              <w:rPr>
                <w:rFonts w:ascii="Times New Roman" w:hAnsi="Times New Roman" w:cs="Times New Roman"/>
                <w:sz w:val="20"/>
                <w:szCs w:val="20"/>
              </w:rPr>
              <w:t>Slovenská akadémia vied</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5</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5</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5</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35</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35</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20.</w:t>
            </w:r>
          </w:p>
        </w:tc>
        <w:tc>
          <w:tcPr>
            <w:tcW w:w="3432" w:type="dxa"/>
            <w:tcBorders>
              <w:top w:val="nil"/>
              <w:left w:val="nil"/>
              <w:bottom w:val="nil"/>
              <w:right w:val="nil"/>
              <w:tl2br w:val="nil"/>
              <w:tr2bl w:val="nil"/>
            </w:tcBorders>
            <w:textDirection w:val="lrTb"/>
            <w:vAlign w:val="center"/>
          </w:tcPr>
          <w:p w:rsidR="00E75695" w:rsidRPr="00C311BA" w:rsidP="00E75695">
            <w:pPr>
              <w:jc w:val="both"/>
              <w:rPr>
                <w:rFonts w:ascii="Times New Roman" w:hAnsi="Times New Roman" w:cs="Times New Roman"/>
                <w:sz w:val="20"/>
                <w:szCs w:val="20"/>
              </w:rPr>
            </w:pPr>
            <w:r w:rsidRPr="00C311BA">
              <w:rPr>
                <w:rFonts w:ascii="Times New Roman" w:hAnsi="Times New Roman" w:cs="Times New Roman"/>
                <w:sz w:val="20"/>
                <w:szCs w:val="20"/>
              </w:rPr>
              <w:t>Štatistický úrad SR</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1</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7</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7</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21.</w:t>
            </w:r>
          </w:p>
        </w:tc>
        <w:tc>
          <w:tcPr>
            <w:tcW w:w="3432" w:type="dxa"/>
            <w:tcBorders>
              <w:top w:val="nil"/>
              <w:left w:val="nil"/>
              <w:bottom w:val="nil"/>
              <w:right w:val="nil"/>
              <w:tl2br w:val="nil"/>
              <w:tr2bl w:val="nil"/>
            </w:tcBorders>
            <w:textDirection w:val="lrTb"/>
            <w:vAlign w:val="center"/>
          </w:tcPr>
          <w:p w:rsidR="00E75695" w:rsidRPr="00C311BA" w:rsidP="00E75695">
            <w:pPr>
              <w:ind w:right="-163"/>
              <w:rPr>
                <w:rFonts w:ascii="Times New Roman" w:hAnsi="Times New Roman" w:cs="Times New Roman"/>
                <w:sz w:val="20"/>
                <w:szCs w:val="20"/>
              </w:rPr>
            </w:pPr>
            <w:r w:rsidRPr="00C311BA">
              <w:rPr>
                <w:rFonts w:ascii="Times New Roman" w:hAnsi="Times New Roman" w:cs="Times New Roman"/>
                <w:sz w:val="20"/>
                <w:szCs w:val="20"/>
              </w:rPr>
              <w:t>Úrad geodézie, kartografie a katastra SR</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7</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6*</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22.</w:t>
            </w:r>
          </w:p>
        </w:tc>
        <w:tc>
          <w:tcPr>
            <w:tcW w:w="3432" w:type="dxa"/>
            <w:tcBorders>
              <w:top w:val="nil"/>
              <w:left w:val="nil"/>
              <w:bottom w:val="nil"/>
              <w:right w:val="nil"/>
              <w:tl2br w:val="nil"/>
              <w:tr2bl w:val="nil"/>
            </w:tcBorders>
            <w:textDirection w:val="lrTb"/>
            <w:vAlign w:val="center"/>
          </w:tcPr>
          <w:p w:rsidR="00E75695" w:rsidRPr="00C311BA" w:rsidP="00E75695">
            <w:pPr>
              <w:rPr>
                <w:rFonts w:ascii="Times New Roman" w:hAnsi="Times New Roman" w:cs="Times New Roman"/>
                <w:sz w:val="20"/>
                <w:szCs w:val="20"/>
              </w:rPr>
            </w:pPr>
            <w:r w:rsidRPr="00C311BA">
              <w:rPr>
                <w:rFonts w:ascii="Times New Roman" w:hAnsi="Times New Roman" w:cs="Times New Roman"/>
                <w:sz w:val="20"/>
                <w:szCs w:val="20"/>
              </w:rPr>
              <w:t>Úrad pre normalizáciu, metrológiu a</w:t>
            </w:r>
            <w:r w:rsidR="00437FA0">
              <w:rPr>
                <w:rFonts w:ascii="Times New Roman" w:hAnsi="Times New Roman" w:cs="Times New Roman"/>
                <w:sz w:val="20"/>
                <w:szCs w:val="20"/>
              </w:rPr>
              <w:t> </w:t>
            </w:r>
            <w:r w:rsidRPr="00C311BA">
              <w:rPr>
                <w:rFonts w:ascii="Times New Roman" w:hAnsi="Times New Roman" w:cs="Times New Roman"/>
                <w:sz w:val="20"/>
                <w:szCs w:val="20"/>
              </w:rPr>
              <w:t>skúšobníctvo SR</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9</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7</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7</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27</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23</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23.</w:t>
            </w:r>
          </w:p>
        </w:tc>
        <w:tc>
          <w:tcPr>
            <w:tcW w:w="3432" w:type="dxa"/>
            <w:tcBorders>
              <w:top w:val="nil"/>
              <w:left w:val="nil"/>
              <w:bottom w:val="nil"/>
              <w:right w:val="nil"/>
              <w:tl2br w:val="nil"/>
              <w:tr2bl w:val="nil"/>
            </w:tcBorders>
            <w:textDirection w:val="lrTb"/>
            <w:vAlign w:val="center"/>
          </w:tcPr>
          <w:p w:rsidR="00E75695" w:rsidRPr="00C311BA" w:rsidP="00E75695">
            <w:pPr>
              <w:rPr>
                <w:rFonts w:ascii="Times New Roman" w:hAnsi="Times New Roman" w:cs="Times New Roman"/>
                <w:sz w:val="20"/>
                <w:szCs w:val="20"/>
              </w:rPr>
            </w:pPr>
            <w:r w:rsidRPr="00C311BA">
              <w:rPr>
                <w:rFonts w:ascii="Times New Roman" w:hAnsi="Times New Roman" w:cs="Times New Roman"/>
                <w:sz w:val="20"/>
                <w:szCs w:val="20"/>
              </w:rPr>
              <w:t>Úrad priemyselného vlastníctva SR</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11</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11</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24.</w:t>
            </w:r>
          </w:p>
        </w:tc>
        <w:tc>
          <w:tcPr>
            <w:tcW w:w="3432" w:type="dxa"/>
            <w:tcBorders>
              <w:top w:val="nil"/>
              <w:left w:val="nil"/>
              <w:bottom w:val="nil"/>
              <w:right w:val="nil"/>
              <w:tl2br w:val="nil"/>
              <w:tr2bl w:val="nil"/>
            </w:tcBorders>
            <w:textDirection w:val="lrTb"/>
            <w:vAlign w:val="center"/>
          </w:tcPr>
          <w:p w:rsidR="00E75695" w:rsidRPr="00C311BA" w:rsidP="00E75695">
            <w:pPr>
              <w:jc w:val="both"/>
              <w:rPr>
                <w:rFonts w:ascii="Times New Roman" w:hAnsi="Times New Roman" w:cs="Times New Roman"/>
                <w:sz w:val="20"/>
                <w:szCs w:val="20"/>
              </w:rPr>
            </w:pPr>
            <w:r w:rsidRPr="00C311BA">
              <w:rPr>
                <w:rFonts w:ascii="Times New Roman" w:hAnsi="Times New Roman" w:cs="Times New Roman"/>
                <w:sz w:val="20"/>
                <w:szCs w:val="20"/>
              </w:rPr>
              <w:t>Úrad vlády SR</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1</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3</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2</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1</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4</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sidRPr="00C311BA">
              <w:rPr>
                <w:rFonts w:ascii="Times New Roman" w:hAnsi="Times New Roman" w:cs="Times New Roman"/>
                <w:sz w:val="20"/>
                <w:szCs w:val="20"/>
              </w:rPr>
              <w:t>-</w:t>
            </w:r>
          </w:p>
        </w:tc>
      </w:tr>
      <w:tr>
        <w:tblPrEx>
          <w:tblW w:w="15607" w:type="dxa"/>
          <w:jc w:val="center"/>
        </w:tblPrEx>
        <w:trPr>
          <w:trHeight w:hRule="auto" w:val="0"/>
          <w:jc w:val="center"/>
        </w:trPr>
        <w:tc>
          <w:tcPr>
            <w:tcW w:w="55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25.</w:t>
            </w:r>
          </w:p>
        </w:tc>
        <w:tc>
          <w:tcPr>
            <w:tcW w:w="3432" w:type="dxa"/>
            <w:tcBorders>
              <w:top w:val="nil"/>
              <w:left w:val="nil"/>
              <w:bottom w:val="nil"/>
              <w:right w:val="nil"/>
              <w:tl2br w:val="nil"/>
              <w:tr2bl w:val="nil"/>
            </w:tcBorders>
            <w:textDirection w:val="lrTb"/>
            <w:vAlign w:val="center"/>
          </w:tcPr>
          <w:p w:rsidR="00E75695" w:rsidRPr="00C311BA" w:rsidP="00E75695">
            <w:pPr>
              <w:jc w:val="both"/>
              <w:rPr>
                <w:rFonts w:ascii="Times New Roman" w:hAnsi="Times New Roman" w:cs="Times New Roman"/>
                <w:sz w:val="20"/>
                <w:szCs w:val="20"/>
              </w:rPr>
            </w:pPr>
            <w:r>
              <w:rPr>
                <w:rFonts w:ascii="Times New Roman" w:hAnsi="Times New Roman" w:cs="Times New Roman"/>
                <w:sz w:val="20"/>
                <w:szCs w:val="20"/>
              </w:rPr>
              <w:t>Slovenská informačná služba</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1</w:t>
            </w:r>
          </w:p>
        </w:tc>
        <w:tc>
          <w:tcPr>
            <w:tcW w:w="12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1216"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924"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sz w:val="20"/>
                <w:szCs w:val="20"/>
              </w:rPr>
            </w:pPr>
            <w:r>
              <w:rPr>
                <w:rFonts w:ascii="Times New Roman" w:hAnsi="Times New Roman" w:cs="Times New Roman"/>
                <w:sz w:val="20"/>
                <w:szCs w:val="20"/>
              </w:rPr>
              <w:t>-</w:t>
            </w:r>
          </w:p>
        </w:tc>
      </w:tr>
      <w:tr>
        <w:tblPrEx>
          <w:tblW w:w="15607" w:type="dxa"/>
          <w:jc w:val="center"/>
        </w:tblPrEx>
        <w:trPr>
          <w:trHeight w:hRule="auto" w:val="0"/>
          <w:jc w:val="center"/>
        </w:trPr>
        <w:tc>
          <w:tcPr>
            <w:tcW w:w="3986" w:type="dxa"/>
            <w:gridSpan w:val="2"/>
            <w:tcBorders>
              <w:top w:val="nil"/>
              <w:left w:val="nil"/>
              <w:bottom w:val="nil"/>
              <w:right w:val="nil"/>
              <w:tl2br w:val="nil"/>
              <w:tr2bl w:val="nil"/>
            </w:tcBorders>
            <w:textDirection w:val="lrTb"/>
            <w:vAlign w:val="center"/>
          </w:tcPr>
          <w:p w:rsidR="00E75695" w:rsidRPr="00C311BA" w:rsidP="00E75695">
            <w:pPr>
              <w:rPr>
                <w:rFonts w:ascii="Times New Roman" w:hAnsi="Times New Roman" w:cs="Times New Roman"/>
                <w:b/>
                <w:sz w:val="20"/>
                <w:szCs w:val="20"/>
              </w:rPr>
            </w:pPr>
            <w:r w:rsidRPr="00C311BA">
              <w:rPr>
                <w:rFonts w:ascii="Times New Roman" w:hAnsi="Times New Roman" w:cs="Times New Roman"/>
                <w:b/>
                <w:sz w:val="20"/>
                <w:szCs w:val="20"/>
              </w:rPr>
              <w:t>Spolu</w:t>
            </w:r>
          </w:p>
        </w:tc>
        <w:tc>
          <w:tcPr>
            <w:tcW w:w="1133"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b/>
                <w:sz w:val="20"/>
                <w:szCs w:val="20"/>
              </w:rPr>
            </w:pPr>
            <w:r w:rsidRPr="00C311BA">
              <w:rPr>
                <w:rFonts w:ascii="Times New Roman" w:hAnsi="Times New Roman" w:cs="Times New Roman"/>
                <w:b/>
                <w:sz w:val="20"/>
                <w:szCs w:val="20"/>
              </w:rPr>
              <w:t>44</w:t>
            </w:r>
          </w:p>
        </w:tc>
        <w:tc>
          <w:tcPr>
            <w:tcW w:w="1233" w:type="dxa"/>
            <w:tcBorders>
              <w:top w:val="nil"/>
              <w:left w:val="nil"/>
              <w:bottom w:val="nil"/>
              <w:right w:val="nil"/>
              <w:tl2br w:val="nil"/>
              <w:tr2bl w:val="nil"/>
            </w:tcBorders>
            <w:textDirection w:val="lrTb"/>
            <w:vAlign w:val="top"/>
          </w:tcPr>
          <w:p w:rsidR="00E75695" w:rsidRPr="00C311BA" w:rsidP="00E75695">
            <w:pPr>
              <w:ind w:left="346" w:hanging="346"/>
              <w:jc w:val="center"/>
              <w:rPr>
                <w:rFonts w:ascii="Times New Roman" w:hAnsi="Times New Roman" w:cs="Times New Roman"/>
                <w:b/>
                <w:sz w:val="20"/>
                <w:szCs w:val="20"/>
              </w:rPr>
            </w:pPr>
            <w:r w:rsidRPr="00C311BA">
              <w:rPr>
                <w:rFonts w:ascii="Times New Roman" w:hAnsi="Times New Roman" w:cs="Times New Roman"/>
                <w:b/>
                <w:sz w:val="20"/>
                <w:szCs w:val="20"/>
              </w:rPr>
              <w:t>164</w:t>
            </w:r>
          </w:p>
        </w:tc>
        <w:tc>
          <w:tcPr>
            <w:tcW w:w="820"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b/>
                <w:sz w:val="20"/>
                <w:szCs w:val="20"/>
              </w:rPr>
            </w:pPr>
            <w:r w:rsidRPr="00C311BA">
              <w:rPr>
                <w:rFonts w:ascii="Times New Roman" w:hAnsi="Times New Roman" w:cs="Times New Roman"/>
                <w:b/>
                <w:sz w:val="20"/>
                <w:szCs w:val="20"/>
              </w:rPr>
              <w:t>147</w:t>
            </w:r>
          </w:p>
        </w:tc>
        <w:tc>
          <w:tcPr>
            <w:tcW w:w="1216"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b/>
                <w:sz w:val="20"/>
                <w:szCs w:val="20"/>
              </w:rPr>
            </w:pPr>
            <w:r w:rsidRPr="00C311BA">
              <w:rPr>
                <w:rFonts w:ascii="Times New Roman" w:hAnsi="Times New Roman" w:cs="Times New Roman"/>
                <w:b/>
                <w:sz w:val="20"/>
                <w:szCs w:val="20"/>
              </w:rPr>
              <w:t>101</w:t>
            </w:r>
          </w:p>
        </w:tc>
        <w:tc>
          <w:tcPr>
            <w:tcW w:w="1216" w:type="dxa"/>
            <w:tcBorders>
              <w:top w:val="nil"/>
              <w:left w:val="nil"/>
              <w:bottom w:val="nil"/>
              <w:right w:val="nil"/>
              <w:tl2br w:val="nil"/>
              <w:tr2bl w:val="nil"/>
            </w:tcBorders>
            <w:textDirection w:val="lrTb"/>
            <w:vAlign w:val="top"/>
          </w:tcPr>
          <w:p w:rsidR="00E75695" w:rsidRPr="00C311BA" w:rsidP="00E75695">
            <w:pPr>
              <w:ind w:left="-152" w:right="-105"/>
              <w:jc w:val="center"/>
              <w:rPr>
                <w:rFonts w:ascii="Times New Roman" w:hAnsi="Times New Roman" w:cs="Times New Roman"/>
                <w:b/>
                <w:sz w:val="20"/>
                <w:szCs w:val="20"/>
              </w:rPr>
            </w:pPr>
            <w:r w:rsidRPr="006A789B">
              <w:rPr>
                <w:rFonts w:ascii="Times New Roman" w:hAnsi="Times New Roman" w:cs="Times New Roman"/>
                <w:b/>
                <w:sz w:val="20"/>
                <w:szCs w:val="20"/>
              </w:rPr>
              <w:t>45</w:t>
            </w:r>
          </w:p>
        </w:tc>
        <w:tc>
          <w:tcPr>
            <w:tcW w:w="1208" w:type="dxa"/>
            <w:tcBorders>
              <w:top w:val="nil"/>
              <w:left w:val="nil"/>
              <w:bottom w:val="nil"/>
              <w:right w:val="nil"/>
              <w:tl2br w:val="nil"/>
              <w:tr2bl w:val="nil"/>
            </w:tcBorders>
            <w:textDirection w:val="lrTb"/>
            <w:vAlign w:val="center"/>
          </w:tcPr>
          <w:p w:rsidR="00E75695" w:rsidRPr="00C311BA" w:rsidP="00E75695">
            <w:pPr>
              <w:ind w:left="-152" w:right="-105"/>
              <w:jc w:val="center"/>
              <w:rPr>
                <w:rFonts w:ascii="Times New Roman" w:hAnsi="Times New Roman" w:cs="Times New Roman"/>
                <w:b/>
                <w:sz w:val="20"/>
                <w:szCs w:val="20"/>
              </w:rPr>
            </w:pPr>
            <w:r>
              <w:rPr>
                <w:rFonts w:ascii="Times New Roman" w:hAnsi="Times New Roman" w:cs="Times New Roman"/>
                <w:b/>
                <w:sz w:val="20"/>
                <w:szCs w:val="20"/>
              </w:rPr>
              <w:t>1</w:t>
            </w:r>
          </w:p>
        </w:tc>
        <w:tc>
          <w:tcPr>
            <w:tcW w:w="932" w:type="dxa"/>
            <w:gridSpan w:val="2"/>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b/>
                <w:sz w:val="20"/>
                <w:szCs w:val="20"/>
              </w:rPr>
            </w:pPr>
            <w:r w:rsidRPr="00C311BA">
              <w:rPr>
                <w:rFonts w:ascii="Times New Roman" w:hAnsi="Times New Roman" w:cs="Times New Roman"/>
                <w:b/>
                <w:sz w:val="20"/>
                <w:szCs w:val="20"/>
              </w:rPr>
              <w:t>1003</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b/>
                <w:sz w:val="20"/>
                <w:szCs w:val="20"/>
              </w:rPr>
            </w:pPr>
            <w:r w:rsidRPr="00C311BA">
              <w:rPr>
                <w:rFonts w:ascii="Times New Roman" w:hAnsi="Times New Roman" w:cs="Times New Roman"/>
                <w:b/>
                <w:sz w:val="20"/>
                <w:szCs w:val="20"/>
              </w:rPr>
              <w:t>892</w:t>
            </w:r>
          </w:p>
        </w:tc>
        <w:tc>
          <w:tcPr>
            <w:tcW w:w="12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b/>
                <w:sz w:val="20"/>
                <w:szCs w:val="20"/>
              </w:rPr>
            </w:pPr>
            <w:r w:rsidRPr="00C311BA">
              <w:rPr>
                <w:rFonts w:ascii="Times New Roman" w:hAnsi="Times New Roman" w:cs="Times New Roman"/>
                <w:b/>
                <w:sz w:val="20"/>
                <w:szCs w:val="20"/>
              </w:rPr>
              <w:t>62</w:t>
            </w:r>
          </w:p>
        </w:tc>
        <w:tc>
          <w:tcPr>
            <w:tcW w:w="1421" w:type="dxa"/>
            <w:tcBorders>
              <w:top w:val="nil"/>
              <w:left w:val="nil"/>
              <w:bottom w:val="nil"/>
              <w:right w:val="nil"/>
              <w:tl2br w:val="nil"/>
              <w:tr2bl w:val="nil"/>
            </w:tcBorders>
            <w:textDirection w:val="lrTb"/>
            <w:vAlign w:val="center"/>
          </w:tcPr>
          <w:p w:rsidR="00E75695" w:rsidRPr="00C311BA" w:rsidP="00E75695">
            <w:pPr>
              <w:jc w:val="center"/>
              <w:rPr>
                <w:rFonts w:ascii="Times New Roman" w:hAnsi="Times New Roman" w:cs="Times New Roman"/>
                <w:b/>
                <w:sz w:val="20"/>
                <w:szCs w:val="20"/>
              </w:rPr>
            </w:pPr>
            <w:r w:rsidRPr="00C311BA">
              <w:rPr>
                <w:rFonts w:ascii="Times New Roman" w:hAnsi="Times New Roman" w:cs="Times New Roman"/>
                <w:b/>
                <w:sz w:val="20"/>
                <w:szCs w:val="20"/>
              </w:rPr>
              <w:t>49</w:t>
            </w:r>
          </w:p>
        </w:tc>
      </w:tr>
    </w:tbl>
    <w:p w:rsidR="00E75695" w:rsidP="00E75695">
      <w:pPr>
        <w:ind w:left="-540" w:hanging="784"/>
        <w:jc w:val="both"/>
        <w:rPr>
          <w:rFonts w:ascii="Times New Roman" w:hAnsi="Times New Roman" w:cs="Times New Roman"/>
        </w:rPr>
      </w:pPr>
      <w:r>
        <w:rPr>
          <w:rFonts w:ascii="Times New Roman" w:hAnsi="Times New Roman" w:cs="Times New Roman"/>
          <w:sz w:val="20"/>
          <w:szCs w:val="20"/>
        </w:rPr>
        <w:t xml:space="preserve">            </w:t>
      </w:r>
      <w:r w:rsidRPr="00F01695">
        <w:rPr>
          <w:rFonts w:ascii="Times New Roman" w:hAnsi="Times New Roman" w:cs="Times New Roman"/>
          <w:sz w:val="20"/>
          <w:szCs w:val="20"/>
        </w:rPr>
        <w:t>* vrátane odporúčaní, ktoré budú postupne zohľadňované v nasledujúcich obdobiach, alebo kde auditovaný subjekt prijal</w:t>
      </w:r>
      <w:r>
        <w:rPr>
          <w:rFonts w:ascii="Times New Roman" w:hAnsi="Times New Roman" w:cs="Times New Roman"/>
          <w:sz w:val="20"/>
          <w:szCs w:val="20"/>
        </w:rPr>
        <w:t xml:space="preserve"> </w:t>
      </w:r>
      <w:r w:rsidRPr="00F01695">
        <w:rPr>
          <w:rFonts w:ascii="Times New Roman" w:hAnsi="Times New Roman" w:cs="Times New Roman"/>
          <w:sz w:val="20"/>
          <w:szCs w:val="20"/>
        </w:rPr>
        <w:t>iné riešenie</w:t>
      </w:r>
      <w:r w:rsidRPr="00C311BA">
        <w:rPr>
          <w:rFonts w:ascii="Times New Roman" w:hAnsi="Times New Roman" w:cs="Times New Roman"/>
          <w:sz w:val="20"/>
          <w:szCs w:val="20"/>
        </w:rPr>
        <w:t xml:space="preserve"> </w:t>
      </w:r>
    </w:p>
    <w:p w:rsidR="00706E9E">
      <w:pPr>
        <w:rPr>
          <w:rFonts w:ascii="Times New Roman" w:hAnsi="Times New Roman" w:cs="Times New Roman"/>
        </w:rPr>
      </w:pPr>
    </w:p>
    <w:sectPr>
      <w:pgSz w:w="16838" w:h="11906" w:orient="landscape" w:code="9"/>
      <w:pgMar w:top="1418" w:right="1418" w:bottom="1418" w:left="1418" w:header="624" w:footer="720" w:gutter="0"/>
      <w:cols w:space="72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Dutch801 SWC">
    <w:altName w:val="Times New Roman"/>
    <w:panose1 w:val="00000000000000000000"/>
    <w:charset w:val="00"/>
    <w:family w:val="roman"/>
    <w:pitch w:val="variable"/>
    <w:sig w:usb0="00000000" w:usb1="00000000" w:usb2="00000000" w:usb3="00000000" w:csb0="00000001" w:csb1="00000000"/>
  </w:font>
  <w:font w:name="AT* Times New Roman">
    <w:altName w:val="Times New Roman"/>
    <w:panose1 w:val="00000000000000000000"/>
    <w:charset w:val="00"/>
    <w:family w:val="roma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8E">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84778E">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8E">
    <w:pPr>
      <w:pStyle w:val="Footer"/>
      <w:framePr w:vAnchor="text" w:hAnchor="margin" w:xAlign="center" w:y="1"/>
      <w:jc w:val="center"/>
      <w:rPr>
        <w:rStyle w:val="PageNumber"/>
        <w:rFonts w:ascii="Times New Roman" w:hAnsi="Times New Roman" w:cs="Times New Roman"/>
      </w:rPr>
    </w:pPr>
  </w:p>
  <w:p w:rsidR="0084778E" w:rsidRPr="00885980">
    <w:pPr>
      <w:pStyle w:val="Footer"/>
      <w:framePr w:vAnchor="text" w:hAnchor="margin" w:xAlign="center" w:y="1"/>
      <w:jc w:val="center"/>
      <w:rPr>
        <w:rStyle w:val="PageNumber"/>
        <w:rFonts w:ascii="Times New Roman" w:hAnsi="Times New Roman" w:cs="Times New Roman"/>
      </w:rPr>
    </w:pPr>
    <w:r w:rsidRPr="00885980">
      <w:rPr>
        <w:rStyle w:val="PageNumber"/>
        <w:rFonts w:ascii="Times New Roman" w:hAnsi="Times New Roman" w:cs="Times New Roman"/>
      </w:rPr>
      <w:fldChar w:fldCharType="begin"/>
    </w:r>
    <w:r w:rsidRPr="00885980">
      <w:rPr>
        <w:rStyle w:val="PageNumber"/>
        <w:rFonts w:ascii="Times New Roman" w:hAnsi="Times New Roman" w:cs="Times New Roman"/>
      </w:rPr>
      <w:instrText xml:space="preserve">PAGE  </w:instrText>
    </w:r>
    <w:r w:rsidRPr="00885980">
      <w:rPr>
        <w:rStyle w:val="PageNumber"/>
        <w:rFonts w:ascii="Times New Roman" w:hAnsi="Times New Roman" w:cs="Times New Roman"/>
      </w:rPr>
      <w:fldChar w:fldCharType="separate"/>
    </w:r>
    <w:r w:rsidR="003943A2">
      <w:rPr>
        <w:rStyle w:val="PageNumber"/>
        <w:rFonts w:ascii="Times New Roman" w:hAnsi="Times New Roman" w:cs="Times New Roman"/>
        <w:noProof/>
      </w:rPr>
      <w:t>96</w:t>
    </w:r>
    <w:r w:rsidRPr="00885980">
      <w:rPr>
        <w:rStyle w:val="PageNumber"/>
        <w:rFonts w:ascii="Times New Roman" w:hAnsi="Times New Roman" w:cs="Times New Roman"/>
      </w:rPr>
      <w:fldChar w:fldCharType="end"/>
    </w:r>
  </w:p>
  <w:p w:rsidR="0084778E">
    <w:pPr>
      <w:pStyle w:val="Footer"/>
      <w:framePr w:vAnchor="text" w:hAnchor="margin" w:xAlign="center" w:y="1"/>
      <w:rPr>
        <w:rStyle w:val="PageNumber"/>
        <w:rFonts w:ascii="Times New Roman" w:hAnsi="Times New Roman" w:cs="Times New Roman"/>
      </w:rPr>
    </w:pPr>
  </w:p>
  <w:p w:rsidR="0084778E">
    <w:pPr>
      <w:pStyle w:val="Footer"/>
      <w:framePr w:vAnchor="text" w:hAnchor="margin" w:xAlign="center" w:y="1"/>
      <w:rPr>
        <w:rStyle w:val="PageNumber"/>
        <w:rFonts w:ascii="Times New Roman" w:hAnsi="Times New Roman" w:cs="Times New Roman"/>
      </w:rPr>
    </w:pPr>
  </w:p>
  <w:p w:rsidR="0084778E" w:rsidRPr="00005E68">
    <w:pPr>
      <w:pStyle w:val="Footer"/>
      <w:ind w:right="360"/>
      <w:rPr>
        <w:rFonts w:ascii="Arial Narrow" w:hAnsi="Arial Narrow"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8E" w:rsidP="005645FB">
    <w:pPr>
      <w:pStyle w:val="Footer"/>
      <w:jc w:val="center"/>
      <w:rPr>
        <w:rStyle w:val="PageNumber"/>
        <w:rFonts w:ascii="Times New Roman" w:hAnsi="Times New Roman" w:cs="Times New Roman"/>
      </w:rPr>
    </w:pPr>
  </w:p>
  <w:p w:rsidR="0084778E" w:rsidP="005645FB">
    <w:pPr>
      <w:pStyle w:val="Footer"/>
      <w:jc w:val="center"/>
      <w:rPr>
        <w:rStyle w:val="PageNumber"/>
        <w:rFonts w:ascii="Times New Roman" w:hAnsi="Times New Roman" w:cs="Times New Roman"/>
      </w:rPr>
    </w:pPr>
  </w:p>
  <w:p w:rsidR="0084778E" w:rsidP="005645FB">
    <w:pPr>
      <w:pStyle w:val="Footer"/>
      <w:jc w:val="center"/>
      <w:rP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Pr>
        <w:rStyle w:val="PageNumber"/>
        <w:rFonts w:ascii="Times New Roman" w:hAnsi="Times New Roman" w:cs="Times New Roman"/>
        <w:noProof/>
      </w:rPr>
      <w:t>153</w:t>
    </w:r>
    <w:r>
      <w:rPr>
        <w:rStyle w:val="PageNumber"/>
        <w:rFonts w:ascii="Times New Roman" w:hAnsi="Times New Roman" w:cs="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8E">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84778E">
    <w:pPr>
      <w:pStyle w:val="Footer"/>
      <w:ind w:right="360"/>
      <w:rPr>
        <w:rFonts w:ascii="Times New Roman" w:hAnsi="Times New Roman"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8E">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E20306">
      <w:rPr>
        <w:rStyle w:val="PageNumber"/>
        <w:rFonts w:ascii="Times New Roman" w:hAnsi="Times New Roman" w:cs="Times New Roman"/>
        <w:noProof/>
      </w:rPr>
      <w:t>141</w:t>
    </w:r>
    <w:r>
      <w:rPr>
        <w:rStyle w:val="PageNumber"/>
        <w:rFonts w:ascii="Times New Roman" w:hAnsi="Times New Roman" w:cs="Times New Roman"/>
      </w:rPr>
      <w:fldChar w:fldCharType="end"/>
    </w:r>
  </w:p>
  <w:p w:rsidR="0084778E">
    <w:pPr>
      <w:pStyle w:val="Footer"/>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rsidP="00DD799E">
      <w:pPr>
        <w:pStyle w:val="FootnoteText"/>
        <w:jc w:val="both"/>
        <w:rPr>
          <w:rFonts w:ascii="Times New Roman" w:hAnsi="Times New Roman" w:cs="Times New Roman"/>
        </w:rPr>
      </w:pPr>
      <w:r w:rsidRPr="00EB3526" w:rsidR="0084778E">
        <w:rPr>
          <w:rStyle w:val="FootnoteReference"/>
          <w:rFonts w:ascii="Times New Roman" w:hAnsi="Times New Roman" w:cs="Times New Roman"/>
        </w:rPr>
        <w:footnoteRef/>
      </w:r>
      <w:r w:rsidRPr="009C7C06" w:rsidR="0084778E">
        <w:rPr>
          <w:rFonts w:ascii="Times New Roman" w:hAnsi="Times New Roman" w:cs="Times New Roman"/>
          <w:vertAlign w:val="superscript"/>
        </w:rPr>
        <w:t>)</w:t>
      </w:r>
      <w:r w:rsidRPr="00EB3526" w:rsidR="0084778E">
        <w:rPr>
          <w:rFonts w:ascii="Times New Roman" w:hAnsi="Times New Roman" w:cs="Times New Roman"/>
        </w:rPr>
        <w:t xml:space="preserve"> „Správa o makroekonomickom vývoji a vývoji verejných financií za ........ a predikcia vývoja do konca roka“ sa pripravuje po ukončení prvého polroka (júl) a po ukončení troch štvrťrokov kalendárneho roka (október).</w:t>
      </w:r>
    </w:p>
  </w:footnote>
  <w:footnote w:id="1">
    <w:p w:rsidR="0084778E" w:rsidP="00DE3128">
      <w:pPr>
        <w:pStyle w:val="FootnoteText"/>
        <w:jc w:val="both"/>
        <w:rPr>
          <w:rFonts w:ascii="Times New Roman" w:hAnsi="Times New Roman" w:cs="Times New Roman"/>
        </w:rPr>
      </w:pPr>
      <w:r>
        <w:rPr>
          <w:rStyle w:val="FootnoteReference"/>
          <w:rFonts w:ascii="Times New Roman" w:hAnsi="Times New Roman" w:cs="Times New Roman"/>
        </w:rPr>
        <w:footnoteRef/>
      </w:r>
      <w:r w:rsidRPr="009C7C06">
        <w:rPr>
          <w:rFonts w:ascii="Times New Roman" w:hAnsi="Times New Roman" w:cs="Times New Roman"/>
          <w:vertAlign w:val="superscript"/>
        </w:rPr>
        <w:t>)</w:t>
      </w:r>
      <w:r>
        <w:rPr>
          <w:rFonts w:ascii="Times New Roman" w:hAnsi="Times New Roman" w:cs="Times New Roman"/>
        </w:rPr>
        <w:t xml:space="preserve"> Súhrnný prehľad o majetkových účastiach štátu zabezpečovaných prostredníctvom príslušných ministerstiev je uvedený v časti o štátnych finančných aktívach a pasívach</w:t>
      </w:r>
    </w:p>
    <w:p w:rsidP="00DE3128">
      <w:pPr>
        <w:pStyle w:val="FootnoteText"/>
        <w:rPr>
          <w:rFonts w:ascii="Times New Roman" w:hAnsi="Times New Roman" w:cs="Times New Roman"/>
        </w:rPr>
      </w:pPr>
    </w:p>
  </w:footnote>
  <w:footnote w:id="2">
    <w:p w:rsidP="00FB6644">
      <w:pPr>
        <w:pStyle w:val="FootnoteText"/>
        <w:rPr>
          <w:rFonts w:ascii="Times New Roman" w:hAnsi="Times New Roman" w:cs="Times New Roman"/>
        </w:rPr>
      </w:pPr>
      <w:r w:rsidRPr="0096069D" w:rsidR="0084778E">
        <w:rPr>
          <w:rStyle w:val="FootnoteReference"/>
          <w:rFonts w:ascii="Times New Roman" w:hAnsi="Times New Roman" w:cs="Times New Roman"/>
          <w:sz w:val="18"/>
          <w:szCs w:val="18"/>
        </w:rPr>
        <w:footnoteRef/>
      </w:r>
      <w:r w:rsidRPr="0096069D" w:rsidR="0084778E">
        <w:rPr>
          <w:rFonts w:ascii="Times New Roman" w:hAnsi="Times New Roman" w:cs="Times New Roman"/>
          <w:sz w:val="18"/>
          <w:szCs w:val="18"/>
          <w:vertAlign w:val="superscript"/>
        </w:rPr>
        <w:t>)</w:t>
      </w:r>
      <w:r w:rsidRPr="0096069D" w:rsidR="0084778E">
        <w:rPr>
          <w:rFonts w:ascii="Times New Roman" w:hAnsi="Times New Roman" w:cs="Times New Roman"/>
          <w:sz w:val="18"/>
          <w:szCs w:val="18"/>
        </w:rPr>
        <w:t xml:space="preserve"> Vrátane prostriedkov poskytnutých priamo MF ČR.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EAC708"/>
    <w:lvl w:ilvl="0">
      <w:start w:val="1"/>
      <w:numFmt w:val="decimal"/>
      <w:lvlText w:val="%1."/>
      <w:lvlJc w:val="left"/>
      <w:pPr>
        <w:tabs>
          <w:tab w:val="num" w:pos="1492"/>
        </w:tabs>
        <w:ind w:left="1492" w:hanging="360"/>
      </w:pPr>
    </w:lvl>
  </w:abstractNum>
  <w:abstractNum w:abstractNumId="1">
    <w:nsid w:val="FFFFFF7D"/>
    <w:multiLevelType w:val="singleLevel"/>
    <w:tmpl w:val="76A8A4FC"/>
    <w:lvl w:ilvl="0">
      <w:start w:val="1"/>
      <w:numFmt w:val="decimal"/>
      <w:lvlText w:val="%1."/>
      <w:lvlJc w:val="left"/>
      <w:pPr>
        <w:tabs>
          <w:tab w:val="num" w:pos="1209"/>
        </w:tabs>
        <w:ind w:left="1209" w:hanging="360"/>
      </w:pPr>
    </w:lvl>
  </w:abstractNum>
  <w:abstractNum w:abstractNumId="2">
    <w:nsid w:val="FFFFFF7E"/>
    <w:multiLevelType w:val="singleLevel"/>
    <w:tmpl w:val="3D8E017E"/>
    <w:lvl w:ilvl="0">
      <w:start w:val="1"/>
      <w:numFmt w:val="decimal"/>
      <w:lvlText w:val="%1."/>
      <w:lvlJc w:val="left"/>
      <w:pPr>
        <w:tabs>
          <w:tab w:val="num" w:pos="926"/>
        </w:tabs>
        <w:ind w:left="926" w:hanging="360"/>
      </w:pPr>
    </w:lvl>
  </w:abstractNum>
  <w:abstractNum w:abstractNumId="3">
    <w:nsid w:val="FFFFFF7F"/>
    <w:multiLevelType w:val="singleLevel"/>
    <w:tmpl w:val="60BA3132"/>
    <w:lvl w:ilvl="0">
      <w:start w:val="1"/>
      <w:numFmt w:val="decimal"/>
      <w:lvlText w:val="%1."/>
      <w:lvlJc w:val="left"/>
      <w:pPr>
        <w:tabs>
          <w:tab w:val="num" w:pos="643"/>
        </w:tabs>
        <w:ind w:left="643" w:hanging="360"/>
      </w:pPr>
    </w:lvl>
  </w:abstractNum>
  <w:abstractNum w:abstractNumId="4">
    <w:nsid w:val="FFFFFF80"/>
    <w:multiLevelType w:val="singleLevel"/>
    <w:tmpl w:val="3502DA56"/>
    <w:lvl w:ilvl="0">
      <w:start w:val="1"/>
      <w:numFmt w:val="bullet"/>
      <w:lvlText w:val=""/>
      <w:lvlJc w:val="left"/>
      <w:pPr>
        <w:tabs>
          <w:tab w:val="num" w:pos="1492"/>
        </w:tabs>
        <w:ind w:left="1492" w:hanging="360"/>
      </w:pPr>
      <w:rPr>
        <w:rFonts w:ascii="Symbol" w:hAnsi="Symbol"/>
        <w:rtl w:val="0"/>
      </w:rPr>
    </w:lvl>
  </w:abstractNum>
  <w:abstractNum w:abstractNumId="5">
    <w:nsid w:val="FFFFFF81"/>
    <w:multiLevelType w:val="singleLevel"/>
    <w:tmpl w:val="8B88698C"/>
    <w:lvl w:ilvl="0">
      <w:start w:val="1"/>
      <w:numFmt w:val="bullet"/>
      <w:lvlText w:val=""/>
      <w:lvlJc w:val="left"/>
      <w:pPr>
        <w:tabs>
          <w:tab w:val="num" w:pos="1209"/>
        </w:tabs>
        <w:ind w:left="1209" w:hanging="360"/>
      </w:pPr>
      <w:rPr>
        <w:rFonts w:ascii="Symbol" w:hAnsi="Symbol"/>
        <w:rtl w:val="0"/>
      </w:rPr>
    </w:lvl>
  </w:abstractNum>
  <w:abstractNum w:abstractNumId="6">
    <w:nsid w:val="FFFFFF82"/>
    <w:multiLevelType w:val="singleLevel"/>
    <w:tmpl w:val="5EDEC5A4"/>
    <w:lvl w:ilvl="0">
      <w:start w:val="1"/>
      <w:numFmt w:val="bullet"/>
      <w:lvlText w:val=""/>
      <w:lvlJc w:val="left"/>
      <w:pPr>
        <w:tabs>
          <w:tab w:val="num" w:pos="926"/>
        </w:tabs>
        <w:ind w:left="926" w:hanging="360"/>
      </w:pPr>
      <w:rPr>
        <w:rFonts w:ascii="Symbol" w:hAnsi="Symbol"/>
        <w:rtl w:val="0"/>
      </w:rPr>
    </w:lvl>
  </w:abstractNum>
  <w:abstractNum w:abstractNumId="7">
    <w:nsid w:val="FFFFFF83"/>
    <w:multiLevelType w:val="singleLevel"/>
    <w:tmpl w:val="5428D8B4"/>
    <w:lvl w:ilvl="0">
      <w:start w:val="1"/>
      <w:numFmt w:val="bullet"/>
      <w:lvlText w:val=""/>
      <w:lvlJc w:val="left"/>
      <w:pPr>
        <w:tabs>
          <w:tab w:val="num" w:pos="643"/>
        </w:tabs>
        <w:ind w:left="643" w:hanging="360"/>
      </w:pPr>
      <w:rPr>
        <w:rFonts w:ascii="Symbol" w:hAnsi="Symbol"/>
        <w:rtl w:val="0"/>
      </w:rPr>
    </w:lvl>
  </w:abstractNum>
  <w:abstractNum w:abstractNumId="8">
    <w:nsid w:val="FFFFFF88"/>
    <w:multiLevelType w:val="singleLevel"/>
    <w:tmpl w:val="4A761F6C"/>
    <w:lvl w:ilvl="0">
      <w:start w:val="1"/>
      <w:numFmt w:val="decimal"/>
      <w:lvlText w:val="%1."/>
      <w:lvlJc w:val="left"/>
      <w:pPr>
        <w:tabs>
          <w:tab w:val="num" w:pos="360"/>
        </w:tabs>
        <w:ind w:left="360" w:hanging="360"/>
      </w:pPr>
    </w:lvl>
  </w:abstractNum>
  <w:abstractNum w:abstractNumId="9">
    <w:nsid w:val="FFFFFF89"/>
    <w:multiLevelType w:val="singleLevel"/>
    <w:tmpl w:val="BBEE4398"/>
    <w:lvl w:ilvl="0">
      <w:start w:val="1"/>
      <w:numFmt w:val="bullet"/>
      <w:lvlText w:val=""/>
      <w:lvlJc w:val="left"/>
      <w:pPr>
        <w:tabs>
          <w:tab w:val="num" w:pos="360"/>
        </w:tabs>
        <w:ind w:left="360" w:hanging="360"/>
      </w:pPr>
      <w:rPr>
        <w:rFonts w:ascii="Symbol" w:hAnsi="Symbol"/>
        <w:rtl w:val="0"/>
      </w:rPr>
    </w:lvl>
  </w:abstractNum>
  <w:abstractNum w:abstractNumId="10">
    <w:nsid w:val="FFFFFFFE"/>
    <w:multiLevelType w:val="singleLevel"/>
    <w:tmpl w:val="FFFFFFFF"/>
    <w:lvl w:ilvl="0">
      <w:start w:val="0"/>
      <w:numFmt w:val="decimal"/>
      <w:lvlText w:val="*"/>
      <w:lvlJc w:val="left"/>
      <w:pPr>
        <w:ind w:left="0"/>
      </w:pPr>
    </w:lvl>
  </w:abstractNum>
  <w:abstractNum w:abstractNumId="11">
    <w:nsid w:val="011C378B"/>
    <w:multiLevelType w:val="hybridMultilevel"/>
    <w:tmpl w:val="0B7856B6"/>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2">
    <w:nsid w:val="023302F0"/>
    <w:multiLevelType w:val="hybridMultilevel"/>
    <w:tmpl w:val="363AA994"/>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3">
    <w:nsid w:val="03CC597F"/>
    <w:multiLevelType w:val="multilevel"/>
    <w:tmpl w:val="90A0EFA0"/>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
    <w:nsid w:val="042F2CC6"/>
    <w:multiLevelType w:val="hybridMultilevel"/>
    <w:tmpl w:val="D8688F2E"/>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5">
    <w:nsid w:val="04BE2007"/>
    <w:multiLevelType w:val="singleLevel"/>
    <w:tmpl w:val="B9183CBA"/>
    <w:lvl w:ilvl="0">
      <w:start w:val="1"/>
      <w:numFmt w:val="lowerLetter"/>
      <w:lvlJc w:val="left"/>
      <w:pPr>
        <w:tabs>
          <w:tab w:val="num" w:pos="627"/>
        </w:tabs>
        <w:ind w:left="627" w:hanging="360"/>
      </w:pPr>
      <w:rPr>
        <w:b/>
        <w:rtl w:val="0"/>
      </w:rPr>
    </w:lvl>
  </w:abstractNum>
  <w:abstractNum w:abstractNumId="16">
    <w:nsid w:val="05B63F0E"/>
    <w:multiLevelType w:val="hybridMultilevel"/>
    <w:tmpl w:val="8C46D79E"/>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7">
    <w:nsid w:val="06615E17"/>
    <w:multiLevelType w:val="multilevel"/>
    <w:tmpl w:val="C624CBBA"/>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67C678A"/>
    <w:multiLevelType w:val="hybridMultilevel"/>
    <w:tmpl w:val="DD9E9F26"/>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9">
    <w:nsid w:val="07AC6F75"/>
    <w:multiLevelType w:val="hybridMultilevel"/>
    <w:tmpl w:val="7CB4A48A"/>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0">
    <w:nsid w:val="08247810"/>
    <w:multiLevelType w:val="multilevel"/>
    <w:tmpl w:val="9852F03A"/>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nsid w:val="09400127"/>
    <w:multiLevelType w:val="multilevel"/>
    <w:tmpl w:val="E604C3A4"/>
    <w:lvl w:ilvl="0">
      <w:start w:val="1"/>
      <w:numFmt w:val="bullet"/>
      <w:lvlText w:val=""/>
      <w:lvlJc w:val="left"/>
      <w:pPr>
        <w:tabs>
          <w:tab w:val="num" w:pos="1440"/>
        </w:tabs>
        <w:ind w:left="1440" w:hanging="360"/>
      </w:pPr>
      <w:rPr>
        <w:rFonts w:ascii="Wingdings" w:hAnsi="Wingdings"/>
        <w:rtl w:val="0"/>
      </w:rPr>
    </w:lvl>
    <w:lvl w:ilvl="1">
      <w:start w:val="1"/>
      <w:numFmt w:val="bullet"/>
      <w:lvlText w:val="o"/>
      <w:lvlJc w:val="left"/>
      <w:pPr>
        <w:tabs>
          <w:tab w:val="num" w:pos="2160"/>
        </w:tabs>
        <w:ind w:left="2160" w:hanging="360"/>
      </w:pPr>
      <w:rPr>
        <w:rFonts w:ascii="Courier New" w:hAnsi="Courier New" w:cs="Courier New"/>
        <w:rtl w:val="0"/>
      </w:rPr>
    </w:lvl>
    <w:lvl w:ilvl="2">
      <w:start w:val="1"/>
      <w:numFmt w:val="bullet"/>
      <w:lvlText w:val=""/>
      <w:lvlJc w:val="left"/>
      <w:pPr>
        <w:tabs>
          <w:tab w:val="num" w:pos="2880"/>
        </w:tabs>
        <w:ind w:left="2880" w:hanging="360"/>
      </w:pPr>
      <w:rPr>
        <w:rFonts w:ascii="Wingdings" w:hAnsi="Wingdings"/>
        <w:rtl w:val="0"/>
      </w:rPr>
    </w:lvl>
    <w:lvl w:ilvl="3">
      <w:start w:val="1"/>
      <w:numFmt w:val="bullet"/>
      <w:lvlText w:val=""/>
      <w:lvlJc w:val="left"/>
      <w:pPr>
        <w:tabs>
          <w:tab w:val="num" w:pos="3600"/>
        </w:tabs>
        <w:ind w:left="3600" w:hanging="360"/>
      </w:pPr>
      <w:rPr>
        <w:rFonts w:ascii="Symbol" w:hAnsi="Symbol"/>
        <w:rtl w:val="0"/>
      </w:rPr>
    </w:lvl>
    <w:lvl w:ilvl="4">
      <w:start w:val="1"/>
      <w:numFmt w:val="bullet"/>
      <w:lvlText w:val="o"/>
      <w:lvlJc w:val="left"/>
      <w:pPr>
        <w:tabs>
          <w:tab w:val="num" w:pos="4320"/>
        </w:tabs>
        <w:ind w:left="4320" w:hanging="360"/>
      </w:pPr>
      <w:rPr>
        <w:rFonts w:ascii="Courier New" w:hAnsi="Courier New" w:cs="Courier New"/>
        <w:rtl w:val="0"/>
      </w:rPr>
    </w:lvl>
    <w:lvl w:ilvl="5">
      <w:start w:val="1"/>
      <w:numFmt w:val="bullet"/>
      <w:lvlText w:val=""/>
      <w:lvlJc w:val="left"/>
      <w:pPr>
        <w:tabs>
          <w:tab w:val="num" w:pos="5040"/>
        </w:tabs>
        <w:ind w:left="5040" w:hanging="360"/>
      </w:pPr>
      <w:rPr>
        <w:rFonts w:ascii="Wingdings" w:hAnsi="Wingdings"/>
        <w:rtl w:val="0"/>
      </w:rPr>
    </w:lvl>
    <w:lvl w:ilvl="6">
      <w:start w:val="1"/>
      <w:numFmt w:val="bullet"/>
      <w:lvlText w:val=""/>
      <w:lvlJc w:val="left"/>
      <w:pPr>
        <w:tabs>
          <w:tab w:val="num" w:pos="5760"/>
        </w:tabs>
        <w:ind w:left="5760" w:hanging="360"/>
      </w:pPr>
      <w:rPr>
        <w:rFonts w:ascii="Symbol" w:hAnsi="Symbol"/>
        <w:rtl w:val="0"/>
      </w:rPr>
    </w:lvl>
    <w:lvl w:ilvl="7">
      <w:start w:val="1"/>
      <w:numFmt w:val="bullet"/>
      <w:lvlText w:val="o"/>
      <w:lvlJc w:val="left"/>
      <w:pPr>
        <w:tabs>
          <w:tab w:val="num" w:pos="6480"/>
        </w:tabs>
        <w:ind w:left="6480" w:hanging="360"/>
      </w:pPr>
      <w:rPr>
        <w:rFonts w:ascii="Courier New" w:hAnsi="Courier New" w:cs="Courier New"/>
        <w:rtl w:val="0"/>
      </w:rPr>
    </w:lvl>
    <w:lvl w:ilvl="8">
      <w:start w:val="1"/>
      <w:numFmt w:val="bullet"/>
      <w:lvlText w:val=""/>
      <w:lvlJc w:val="left"/>
      <w:pPr>
        <w:tabs>
          <w:tab w:val="num" w:pos="7200"/>
        </w:tabs>
        <w:ind w:left="7200" w:hanging="360"/>
      </w:pPr>
      <w:rPr>
        <w:rFonts w:ascii="Wingdings" w:hAnsi="Wingdings"/>
        <w:rtl w:val="0"/>
      </w:rPr>
    </w:lvl>
  </w:abstractNum>
  <w:abstractNum w:abstractNumId="22">
    <w:nsid w:val="09A07658"/>
    <w:multiLevelType w:val="multilevel"/>
    <w:tmpl w:val="9312898C"/>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3">
    <w:nsid w:val="0C7F1E88"/>
    <w:multiLevelType w:val="hybridMultilevel"/>
    <w:tmpl w:val="F230B7CA"/>
    <w:lvl w:ilvl="0">
      <w:start w:val="1"/>
      <w:numFmt w:val="bullet"/>
      <w:lvlText w:val=""/>
      <w:lvlJc w:val="left"/>
      <w:pPr>
        <w:tabs>
          <w:tab w:val="num" w:pos="360"/>
        </w:tabs>
        <w:ind w:left="36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4">
    <w:nsid w:val="0CBD6775"/>
    <w:multiLevelType w:val="hybridMultilevel"/>
    <w:tmpl w:val="9312898C"/>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5">
    <w:nsid w:val="0DA64B64"/>
    <w:multiLevelType w:val="singleLevel"/>
    <w:tmpl w:val="E41CC638"/>
    <w:lvl w:ilvl="0">
      <w:start w:val="2"/>
      <w:numFmt w:val="decimal"/>
      <w:lvlText w:val="(%1) "/>
      <w:legacy w:legacy="1" w:legacySpace="0" w:legacyIndent="283"/>
      <w:lvlJc w:val="left"/>
      <w:pPr>
        <w:ind w:left="853" w:hanging="283"/>
      </w:pPr>
      <w:rPr>
        <w:rFonts w:ascii="Times New Roman" w:hAnsi="Times New Roman"/>
        <w:b w:val="0"/>
        <w:i w:val="0"/>
        <w:sz w:val="18"/>
        <w:rtl w:val="0"/>
      </w:rPr>
    </w:lvl>
  </w:abstractNum>
  <w:abstractNum w:abstractNumId="26">
    <w:nsid w:val="0E7424F7"/>
    <w:multiLevelType w:val="hybridMultilevel"/>
    <w:tmpl w:val="A0D21B30"/>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7">
    <w:nsid w:val="0EF90B75"/>
    <w:multiLevelType w:val="singleLevel"/>
    <w:tmpl w:val="7F24239E"/>
    <w:lvl w:ilvl="0">
      <w:start w:val="0"/>
      <w:numFmt w:val="bullet"/>
      <w:lvlText w:val="-"/>
      <w:lvlJc w:val="left"/>
      <w:pPr>
        <w:tabs>
          <w:tab w:val="num" w:pos="1068"/>
        </w:tabs>
        <w:ind w:left="1068" w:hanging="360"/>
      </w:pPr>
    </w:lvl>
  </w:abstractNum>
  <w:abstractNum w:abstractNumId="28">
    <w:nsid w:val="106C3B60"/>
    <w:multiLevelType w:val="singleLevel"/>
    <w:tmpl w:val="041B0015"/>
    <w:lvl w:ilvl="0">
      <w:start w:val="1"/>
      <w:numFmt w:val="upperLetter"/>
      <w:lvlText w:val="%1."/>
      <w:lvlJc w:val="left"/>
      <w:pPr>
        <w:tabs>
          <w:tab w:val="num" w:pos="360"/>
        </w:tabs>
        <w:ind w:left="360" w:hanging="360"/>
      </w:pPr>
    </w:lvl>
  </w:abstractNum>
  <w:abstractNum w:abstractNumId="29">
    <w:nsid w:val="11ED5F73"/>
    <w:multiLevelType w:val="hybridMultilevel"/>
    <w:tmpl w:val="0534E5FA"/>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0">
    <w:nsid w:val="14547DA4"/>
    <w:multiLevelType w:val="hybridMultilevel"/>
    <w:tmpl w:val="C63ED4F6"/>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1">
    <w:nsid w:val="148A3788"/>
    <w:multiLevelType w:val="multilevel"/>
    <w:tmpl w:val="1F101990"/>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14B92681"/>
    <w:multiLevelType w:val="hybridMultilevel"/>
    <w:tmpl w:val="9E58FC82"/>
    <w:lvl w:ilvl="0">
      <w:start w:val="1"/>
      <w:numFmt w:val="bullet"/>
      <w:lvlText w:val=""/>
      <w:lvlJc w:val="left"/>
      <w:pPr>
        <w:tabs>
          <w:tab w:val="num" w:pos="1080"/>
        </w:tabs>
        <w:ind w:left="1080" w:hanging="360"/>
      </w:pPr>
      <w:rPr>
        <w:rFonts w:ascii="Wingdings" w:hAnsi="Wingdings"/>
        <w:rtl w:val="0"/>
      </w:rPr>
    </w:lvl>
    <w:lvl w:ilvl="1">
      <w:start w:val="1"/>
      <w:numFmt w:val="bullet"/>
      <w:lvlText w:val="o"/>
      <w:lvlJc w:val="left"/>
      <w:pPr>
        <w:tabs>
          <w:tab w:val="num" w:pos="1800"/>
        </w:tabs>
        <w:ind w:left="1800" w:hanging="360"/>
      </w:pPr>
      <w:rPr>
        <w:rFonts w:ascii="Courier New" w:hAnsi="Courier New" w:cs="Courier New"/>
        <w:rtl w:val="0"/>
      </w:rPr>
    </w:lvl>
    <w:lvl w:ilvl="2">
      <w:start w:val="1"/>
      <w:numFmt w:val="bullet"/>
      <w:lvlText w:val=""/>
      <w:lvlJc w:val="left"/>
      <w:pPr>
        <w:tabs>
          <w:tab w:val="num" w:pos="2520"/>
        </w:tabs>
        <w:ind w:left="2520" w:hanging="360"/>
      </w:pPr>
      <w:rPr>
        <w:rFonts w:ascii="Wingdings" w:hAnsi="Wingdings"/>
        <w:rtl w:val="0"/>
      </w:rPr>
    </w:lvl>
    <w:lvl w:ilvl="3">
      <w:start w:val="1"/>
      <w:numFmt w:val="bullet"/>
      <w:lvlText w:val=""/>
      <w:lvlJc w:val="left"/>
      <w:pPr>
        <w:tabs>
          <w:tab w:val="num" w:pos="3240"/>
        </w:tabs>
        <w:ind w:left="3240" w:hanging="360"/>
      </w:pPr>
      <w:rPr>
        <w:rFonts w:ascii="Symbol" w:hAnsi="Symbol"/>
        <w:rtl w:val="0"/>
      </w:rPr>
    </w:lvl>
    <w:lvl w:ilvl="4">
      <w:start w:val="1"/>
      <w:numFmt w:val="bullet"/>
      <w:lvlText w:val="o"/>
      <w:lvlJc w:val="left"/>
      <w:pPr>
        <w:tabs>
          <w:tab w:val="num" w:pos="3960"/>
        </w:tabs>
        <w:ind w:left="3960" w:hanging="360"/>
      </w:pPr>
      <w:rPr>
        <w:rFonts w:ascii="Courier New" w:hAnsi="Courier New" w:cs="Courier New"/>
        <w:rtl w:val="0"/>
      </w:rPr>
    </w:lvl>
    <w:lvl w:ilvl="5">
      <w:start w:val="1"/>
      <w:numFmt w:val="bullet"/>
      <w:lvlText w:val=""/>
      <w:lvlJc w:val="left"/>
      <w:pPr>
        <w:tabs>
          <w:tab w:val="num" w:pos="4680"/>
        </w:tabs>
        <w:ind w:left="4680" w:hanging="360"/>
      </w:pPr>
      <w:rPr>
        <w:rFonts w:ascii="Wingdings" w:hAnsi="Wingdings"/>
        <w:rtl w:val="0"/>
      </w:rPr>
    </w:lvl>
    <w:lvl w:ilvl="6">
      <w:start w:val="1"/>
      <w:numFmt w:val="bullet"/>
      <w:lvlText w:val=""/>
      <w:lvlJc w:val="left"/>
      <w:pPr>
        <w:tabs>
          <w:tab w:val="num" w:pos="5400"/>
        </w:tabs>
        <w:ind w:left="5400" w:hanging="360"/>
      </w:pPr>
      <w:rPr>
        <w:rFonts w:ascii="Symbol" w:hAnsi="Symbol"/>
        <w:rtl w:val="0"/>
      </w:rPr>
    </w:lvl>
    <w:lvl w:ilvl="7">
      <w:start w:val="1"/>
      <w:numFmt w:val="bullet"/>
      <w:lvlText w:val="o"/>
      <w:lvlJc w:val="left"/>
      <w:pPr>
        <w:tabs>
          <w:tab w:val="num" w:pos="6120"/>
        </w:tabs>
        <w:ind w:left="6120" w:hanging="360"/>
      </w:pPr>
      <w:rPr>
        <w:rFonts w:ascii="Courier New" w:hAnsi="Courier New" w:cs="Courier New"/>
        <w:rtl w:val="0"/>
      </w:rPr>
    </w:lvl>
    <w:lvl w:ilvl="8">
      <w:start w:val="1"/>
      <w:numFmt w:val="bullet"/>
      <w:lvlText w:val=""/>
      <w:lvlJc w:val="left"/>
      <w:pPr>
        <w:tabs>
          <w:tab w:val="num" w:pos="6840"/>
        </w:tabs>
        <w:ind w:left="6840" w:hanging="360"/>
      </w:pPr>
      <w:rPr>
        <w:rFonts w:ascii="Wingdings" w:hAnsi="Wingdings"/>
        <w:rtl w:val="0"/>
      </w:rPr>
    </w:lvl>
  </w:abstractNum>
  <w:abstractNum w:abstractNumId="33">
    <w:nsid w:val="153D6F86"/>
    <w:multiLevelType w:val="hybridMultilevel"/>
    <w:tmpl w:val="7D2205A2"/>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4">
    <w:nsid w:val="15A45CC3"/>
    <w:multiLevelType w:val="multilevel"/>
    <w:tmpl w:val="EAAC6AE8"/>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15FF0FF9"/>
    <w:multiLevelType w:val="multilevel"/>
    <w:tmpl w:val="89AC274A"/>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6">
    <w:nsid w:val="16B435B4"/>
    <w:multiLevelType w:val="hybridMultilevel"/>
    <w:tmpl w:val="ED66F2D0"/>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7">
    <w:nsid w:val="16C233E9"/>
    <w:multiLevelType w:val="hybridMultilevel"/>
    <w:tmpl w:val="2AD0CC96"/>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8">
    <w:nsid w:val="17A55B27"/>
    <w:multiLevelType w:val="hybridMultilevel"/>
    <w:tmpl w:val="628E7588"/>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3"/>
      <w:numFmt w:val="bullet"/>
      <w:lvlText w:val="–"/>
      <w:lvlJc w:val="left"/>
      <w:pPr>
        <w:tabs>
          <w:tab w:val="num" w:pos="2160"/>
        </w:tabs>
        <w:ind w:left="2160" w:hanging="360"/>
      </w:pPr>
      <w:rPr>
        <w:rFonts w:ascii="Times New Roman" w:hAnsi="Times New Roman" w:cs="Times New Roman"/>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9">
    <w:nsid w:val="17EA0FEC"/>
    <w:multiLevelType w:val="multilevel"/>
    <w:tmpl w:val="1020EA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18A40439"/>
    <w:multiLevelType w:val="multilevel"/>
    <w:tmpl w:val="F5A431DC"/>
    <w:lvl w:ilvl="0">
      <w:start w:val="1"/>
      <w:numFmt w:val="bullet"/>
      <w:lvlText w:val=""/>
      <w:lvlJc w:val="left"/>
      <w:pPr>
        <w:tabs>
          <w:tab w:val="num" w:pos="1428"/>
        </w:tabs>
        <w:ind w:left="1428" w:hanging="360"/>
      </w:pPr>
      <w:rPr>
        <w:rFonts w:ascii="Wingdings" w:hAnsi="Wingdings"/>
        <w:rtl w:val="0"/>
      </w:rPr>
    </w:lvl>
    <w:lvl w:ilvl="1">
      <w:start w:val="1"/>
      <w:numFmt w:val="bullet"/>
      <w:lvlText w:val="o"/>
      <w:lvlJc w:val="left"/>
      <w:pPr>
        <w:tabs>
          <w:tab w:val="num" w:pos="2148"/>
        </w:tabs>
        <w:ind w:left="2148" w:hanging="360"/>
      </w:pPr>
      <w:rPr>
        <w:rFonts w:ascii="Courier New" w:hAnsi="Courier New" w:cs="Courier New"/>
        <w:rtl w:val="0"/>
      </w:rPr>
    </w:lvl>
    <w:lvl w:ilvl="2">
      <w:start w:val="1"/>
      <w:numFmt w:val="bullet"/>
      <w:lvlText w:val=""/>
      <w:lvlJc w:val="left"/>
      <w:pPr>
        <w:tabs>
          <w:tab w:val="num" w:pos="2868"/>
        </w:tabs>
        <w:ind w:left="2868" w:hanging="360"/>
      </w:pPr>
      <w:rPr>
        <w:rFonts w:ascii="Wingdings" w:hAnsi="Wingdings"/>
        <w:rtl w:val="0"/>
      </w:rPr>
    </w:lvl>
    <w:lvl w:ilvl="3">
      <w:start w:val="1"/>
      <w:numFmt w:val="bullet"/>
      <w:lvlText w:val=""/>
      <w:lvlJc w:val="left"/>
      <w:pPr>
        <w:tabs>
          <w:tab w:val="num" w:pos="3588"/>
        </w:tabs>
        <w:ind w:left="3588" w:hanging="360"/>
      </w:pPr>
      <w:rPr>
        <w:rFonts w:ascii="Symbol" w:hAnsi="Symbol"/>
        <w:rtl w:val="0"/>
      </w:rPr>
    </w:lvl>
    <w:lvl w:ilvl="4">
      <w:start w:val="1"/>
      <w:numFmt w:val="bullet"/>
      <w:lvlText w:val="o"/>
      <w:lvlJc w:val="left"/>
      <w:pPr>
        <w:tabs>
          <w:tab w:val="num" w:pos="4308"/>
        </w:tabs>
        <w:ind w:left="4308" w:hanging="360"/>
      </w:pPr>
      <w:rPr>
        <w:rFonts w:ascii="Courier New" w:hAnsi="Courier New" w:cs="Courier New"/>
        <w:rtl w:val="0"/>
      </w:rPr>
    </w:lvl>
    <w:lvl w:ilvl="5">
      <w:start w:val="1"/>
      <w:numFmt w:val="bullet"/>
      <w:lvlText w:val=""/>
      <w:lvlJc w:val="left"/>
      <w:pPr>
        <w:tabs>
          <w:tab w:val="num" w:pos="5028"/>
        </w:tabs>
        <w:ind w:left="5028" w:hanging="360"/>
      </w:pPr>
      <w:rPr>
        <w:rFonts w:ascii="Wingdings" w:hAnsi="Wingdings"/>
        <w:rtl w:val="0"/>
      </w:rPr>
    </w:lvl>
    <w:lvl w:ilvl="6">
      <w:start w:val="1"/>
      <w:numFmt w:val="bullet"/>
      <w:lvlText w:val=""/>
      <w:lvlJc w:val="left"/>
      <w:pPr>
        <w:tabs>
          <w:tab w:val="num" w:pos="5748"/>
        </w:tabs>
        <w:ind w:left="5748" w:hanging="360"/>
      </w:pPr>
      <w:rPr>
        <w:rFonts w:ascii="Symbol" w:hAnsi="Symbol"/>
        <w:rtl w:val="0"/>
      </w:rPr>
    </w:lvl>
    <w:lvl w:ilvl="7">
      <w:start w:val="1"/>
      <w:numFmt w:val="bullet"/>
      <w:lvlText w:val="o"/>
      <w:lvlJc w:val="left"/>
      <w:pPr>
        <w:tabs>
          <w:tab w:val="num" w:pos="6468"/>
        </w:tabs>
        <w:ind w:left="6468" w:hanging="360"/>
      </w:pPr>
      <w:rPr>
        <w:rFonts w:ascii="Courier New" w:hAnsi="Courier New" w:cs="Courier New"/>
        <w:rtl w:val="0"/>
      </w:rPr>
    </w:lvl>
    <w:lvl w:ilvl="8">
      <w:start w:val="1"/>
      <w:numFmt w:val="bullet"/>
      <w:lvlText w:val=""/>
      <w:lvlJc w:val="left"/>
      <w:pPr>
        <w:tabs>
          <w:tab w:val="num" w:pos="7188"/>
        </w:tabs>
        <w:ind w:left="7188" w:hanging="360"/>
      </w:pPr>
      <w:rPr>
        <w:rFonts w:ascii="Wingdings" w:hAnsi="Wingdings"/>
        <w:rtl w:val="0"/>
      </w:rPr>
    </w:lvl>
  </w:abstractNum>
  <w:abstractNum w:abstractNumId="41">
    <w:nsid w:val="18C5707B"/>
    <w:multiLevelType w:val="singleLevel"/>
    <w:tmpl w:val="041B0015"/>
    <w:lvl w:ilvl="0">
      <w:start w:val="1"/>
      <w:numFmt w:val="upperLetter"/>
      <w:lvlText w:val="%1."/>
      <w:lvlJc w:val="left"/>
      <w:pPr>
        <w:tabs>
          <w:tab w:val="num" w:pos="360"/>
        </w:tabs>
        <w:ind w:left="360" w:hanging="360"/>
      </w:pPr>
    </w:lvl>
  </w:abstractNum>
  <w:abstractNum w:abstractNumId="42">
    <w:nsid w:val="1AFE2D0B"/>
    <w:multiLevelType w:val="hybridMultilevel"/>
    <w:tmpl w:val="9B5CB8BE"/>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43">
    <w:nsid w:val="1C6A33B8"/>
    <w:multiLevelType w:val="hybridMultilevel"/>
    <w:tmpl w:val="FA64565E"/>
    <w:lvl w:ilvl="0">
      <w:start w:val="1"/>
      <w:numFmt w:val="bullet"/>
      <w:lvlText w:val=""/>
      <w:lvlJc w:val="left"/>
      <w:pPr>
        <w:tabs>
          <w:tab w:val="num" w:pos="1287"/>
        </w:tabs>
        <w:ind w:left="1287" w:hanging="360"/>
      </w:pPr>
      <w:rPr>
        <w:rFonts w:ascii="Symbol" w:hAnsi="Symbol"/>
        <w:rtl w:val="0"/>
      </w:rPr>
    </w:lvl>
    <w:lvl w:ilvl="1">
      <w:start w:val="1"/>
      <w:numFmt w:val="bullet"/>
      <w:lvlText w:val="o"/>
      <w:lvlJc w:val="left"/>
      <w:pPr>
        <w:tabs>
          <w:tab w:val="num" w:pos="2007"/>
        </w:tabs>
        <w:ind w:left="2007" w:hanging="360"/>
      </w:pPr>
      <w:rPr>
        <w:rFonts w:ascii="Courier New" w:hAnsi="Courier New" w:cs="Courier New"/>
        <w:rtl w:val="0"/>
      </w:rPr>
    </w:lvl>
    <w:lvl w:ilvl="2">
      <w:start w:val="1"/>
      <w:numFmt w:val="bullet"/>
      <w:lvlText w:val=""/>
      <w:lvlJc w:val="left"/>
      <w:pPr>
        <w:tabs>
          <w:tab w:val="num" w:pos="2727"/>
        </w:tabs>
        <w:ind w:left="2727" w:hanging="360"/>
      </w:pPr>
      <w:rPr>
        <w:rFonts w:ascii="Wingdings" w:hAnsi="Wingdings"/>
        <w:rtl w:val="0"/>
      </w:rPr>
    </w:lvl>
    <w:lvl w:ilvl="3">
      <w:start w:val="1"/>
      <w:numFmt w:val="bullet"/>
      <w:lvlText w:val=""/>
      <w:lvlJc w:val="left"/>
      <w:pPr>
        <w:tabs>
          <w:tab w:val="num" w:pos="3447"/>
        </w:tabs>
        <w:ind w:left="3447" w:hanging="360"/>
      </w:pPr>
      <w:rPr>
        <w:rFonts w:ascii="Symbol" w:hAnsi="Symbol"/>
        <w:rtl w:val="0"/>
      </w:rPr>
    </w:lvl>
    <w:lvl w:ilvl="4">
      <w:start w:val="1"/>
      <w:numFmt w:val="bullet"/>
      <w:lvlText w:val="o"/>
      <w:lvlJc w:val="left"/>
      <w:pPr>
        <w:tabs>
          <w:tab w:val="num" w:pos="4167"/>
        </w:tabs>
        <w:ind w:left="4167" w:hanging="360"/>
      </w:pPr>
      <w:rPr>
        <w:rFonts w:ascii="Courier New" w:hAnsi="Courier New" w:cs="Courier New"/>
        <w:rtl w:val="0"/>
      </w:rPr>
    </w:lvl>
    <w:lvl w:ilvl="5">
      <w:start w:val="1"/>
      <w:numFmt w:val="bullet"/>
      <w:lvlText w:val=""/>
      <w:lvlJc w:val="left"/>
      <w:pPr>
        <w:tabs>
          <w:tab w:val="num" w:pos="4887"/>
        </w:tabs>
        <w:ind w:left="4887" w:hanging="360"/>
      </w:pPr>
      <w:rPr>
        <w:rFonts w:ascii="Wingdings" w:hAnsi="Wingdings"/>
        <w:rtl w:val="0"/>
      </w:rPr>
    </w:lvl>
    <w:lvl w:ilvl="6">
      <w:start w:val="1"/>
      <w:numFmt w:val="bullet"/>
      <w:lvlText w:val=""/>
      <w:lvlJc w:val="left"/>
      <w:pPr>
        <w:tabs>
          <w:tab w:val="num" w:pos="5607"/>
        </w:tabs>
        <w:ind w:left="5607" w:hanging="360"/>
      </w:pPr>
      <w:rPr>
        <w:rFonts w:ascii="Symbol" w:hAnsi="Symbol"/>
        <w:rtl w:val="0"/>
      </w:rPr>
    </w:lvl>
    <w:lvl w:ilvl="7">
      <w:start w:val="1"/>
      <w:numFmt w:val="bullet"/>
      <w:lvlText w:val="o"/>
      <w:lvlJc w:val="left"/>
      <w:pPr>
        <w:tabs>
          <w:tab w:val="num" w:pos="6327"/>
        </w:tabs>
        <w:ind w:left="6327" w:hanging="360"/>
      </w:pPr>
      <w:rPr>
        <w:rFonts w:ascii="Courier New" w:hAnsi="Courier New" w:cs="Courier New"/>
        <w:rtl w:val="0"/>
      </w:rPr>
    </w:lvl>
    <w:lvl w:ilvl="8">
      <w:start w:val="1"/>
      <w:numFmt w:val="bullet"/>
      <w:lvlText w:val=""/>
      <w:lvlJc w:val="left"/>
      <w:pPr>
        <w:tabs>
          <w:tab w:val="num" w:pos="7047"/>
        </w:tabs>
        <w:ind w:left="7047" w:hanging="360"/>
      </w:pPr>
      <w:rPr>
        <w:rFonts w:ascii="Wingdings" w:hAnsi="Wingdings"/>
        <w:rtl w:val="0"/>
      </w:rPr>
    </w:lvl>
  </w:abstractNum>
  <w:abstractNum w:abstractNumId="44">
    <w:nsid w:val="1D4C20CB"/>
    <w:multiLevelType w:val="singleLevel"/>
    <w:tmpl w:val="041B0015"/>
    <w:lvl w:ilvl="0">
      <w:start w:val="1"/>
      <w:numFmt w:val="upperLetter"/>
      <w:lvlText w:val="%1."/>
      <w:lvlJc w:val="left"/>
      <w:pPr>
        <w:tabs>
          <w:tab w:val="num" w:pos="360"/>
        </w:tabs>
        <w:ind w:left="360" w:hanging="360"/>
      </w:pPr>
    </w:lvl>
  </w:abstractNum>
  <w:abstractNum w:abstractNumId="45">
    <w:nsid w:val="1D546543"/>
    <w:multiLevelType w:val="hybridMultilevel"/>
    <w:tmpl w:val="F5A431DC"/>
    <w:lvl w:ilvl="0">
      <w:start w:val="1"/>
      <w:numFmt w:val="bullet"/>
      <w:lvlText w:val=""/>
      <w:lvlJc w:val="left"/>
      <w:pPr>
        <w:tabs>
          <w:tab w:val="num" w:pos="1428"/>
        </w:tabs>
        <w:ind w:left="1428" w:hanging="360"/>
      </w:pPr>
      <w:rPr>
        <w:rFonts w:ascii="Wingdings" w:hAnsi="Wingdings"/>
        <w:rtl w:val="0"/>
      </w:rPr>
    </w:lvl>
    <w:lvl w:ilvl="1">
      <w:start w:val="1"/>
      <w:numFmt w:val="bullet"/>
      <w:lvlText w:val="o"/>
      <w:lvlJc w:val="left"/>
      <w:pPr>
        <w:tabs>
          <w:tab w:val="num" w:pos="2148"/>
        </w:tabs>
        <w:ind w:left="2148" w:hanging="360"/>
      </w:pPr>
      <w:rPr>
        <w:rFonts w:ascii="Courier New" w:hAnsi="Courier New" w:cs="Courier New"/>
        <w:rtl w:val="0"/>
      </w:rPr>
    </w:lvl>
    <w:lvl w:ilvl="2">
      <w:start w:val="1"/>
      <w:numFmt w:val="bullet"/>
      <w:lvlText w:val=""/>
      <w:lvlJc w:val="left"/>
      <w:pPr>
        <w:tabs>
          <w:tab w:val="num" w:pos="2868"/>
        </w:tabs>
        <w:ind w:left="2868" w:hanging="360"/>
      </w:pPr>
      <w:rPr>
        <w:rFonts w:ascii="Wingdings" w:hAnsi="Wingdings"/>
        <w:rtl w:val="0"/>
      </w:rPr>
    </w:lvl>
    <w:lvl w:ilvl="3">
      <w:start w:val="1"/>
      <w:numFmt w:val="bullet"/>
      <w:lvlText w:val=""/>
      <w:lvlJc w:val="left"/>
      <w:pPr>
        <w:tabs>
          <w:tab w:val="num" w:pos="3588"/>
        </w:tabs>
        <w:ind w:left="3588" w:hanging="360"/>
      </w:pPr>
      <w:rPr>
        <w:rFonts w:ascii="Symbol" w:hAnsi="Symbol"/>
        <w:rtl w:val="0"/>
      </w:rPr>
    </w:lvl>
    <w:lvl w:ilvl="4">
      <w:start w:val="1"/>
      <w:numFmt w:val="bullet"/>
      <w:lvlText w:val="o"/>
      <w:lvlJc w:val="left"/>
      <w:pPr>
        <w:tabs>
          <w:tab w:val="num" w:pos="4308"/>
        </w:tabs>
        <w:ind w:left="4308" w:hanging="360"/>
      </w:pPr>
      <w:rPr>
        <w:rFonts w:ascii="Courier New" w:hAnsi="Courier New" w:cs="Courier New"/>
        <w:rtl w:val="0"/>
      </w:rPr>
    </w:lvl>
    <w:lvl w:ilvl="5">
      <w:start w:val="1"/>
      <w:numFmt w:val="bullet"/>
      <w:lvlText w:val=""/>
      <w:lvlJc w:val="left"/>
      <w:pPr>
        <w:tabs>
          <w:tab w:val="num" w:pos="5028"/>
        </w:tabs>
        <w:ind w:left="5028" w:hanging="360"/>
      </w:pPr>
      <w:rPr>
        <w:rFonts w:ascii="Wingdings" w:hAnsi="Wingdings"/>
        <w:rtl w:val="0"/>
      </w:rPr>
    </w:lvl>
    <w:lvl w:ilvl="6">
      <w:start w:val="1"/>
      <w:numFmt w:val="bullet"/>
      <w:lvlText w:val=""/>
      <w:lvlJc w:val="left"/>
      <w:pPr>
        <w:tabs>
          <w:tab w:val="num" w:pos="5748"/>
        </w:tabs>
        <w:ind w:left="5748" w:hanging="360"/>
      </w:pPr>
      <w:rPr>
        <w:rFonts w:ascii="Symbol" w:hAnsi="Symbol"/>
        <w:rtl w:val="0"/>
      </w:rPr>
    </w:lvl>
    <w:lvl w:ilvl="7">
      <w:start w:val="1"/>
      <w:numFmt w:val="bullet"/>
      <w:lvlText w:val="o"/>
      <w:lvlJc w:val="left"/>
      <w:pPr>
        <w:tabs>
          <w:tab w:val="num" w:pos="6468"/>
        </w:tabs>
        <w:ind w:left="6468" w:hanging="360"/>
      </w:pPr>
      <w:rPr>
        <w:rFonts w:ascii="Courier New" w:hAnsi="Courier New" w:cs="Courier New"/>
        <w:rtl w:val="0"/>
      </w:rPr>
    </w:lvl>
    <w:lvl w:ilvl="8">
      <w:start w:val="1"/>
      <w:numFmt w:val="bullet"/>
      <w:lvlText w:val=""/>
      <w:lvlJc w:val="left"/>
      <w:pPr>
        <w:tabs>
          <w:tab w:val="num" w:pos="7188"/>
        </w:tabs>
        <w:ind w:left="7188" w:hanging="360"/>
      </w:pPr>
      <w:rPr>
        <w:rFonts w:ascii="Wingdings" w:hAnsi="Wingdings"/>
        <w:rtl w:val="0"/>
      </w:rPr>
    </w:lvl>
  </w:abstractNum>
  <w:abstractNum w:abstractNumId="46">
    <w:nsid w:val="1D784578"/>
    <w:multiLevelType w:val="multilevel"/>
    <w:tmpl w:val="E8D6177E"/>
    <w:lvl w:ilvl="0">
      <w:start w:val="1"/>
      <w:numFmt w:val="bullet"/>
      <w:lvlText w:val=""/>
      <w:lvlJc w:val="left"/>
      <w:pPr>
        <w:tabs>
          <w:tab w:val="num" w:pos="1440"/>
        </w:tabs>
        <w:ind w:left="144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880"/>
        </w:tabs>
        <w:ind w:left="2880" w:hanging="360"/>
      </w:pPr>
      <w:rPr>
        <w:rFonts w:ascii="Wingdings" w:hAnsi="Wingdings"/>
        <w:rtl w:val="0"/>
      </w:rPr>
    </w:lvl>
    <w:lvl w:ilvl="3">
      <w:start w:val="1"/>
      <w:numFmt w:val="bullet"/>
      <w:lvlText w:val=""/>
      <w:lvlJc w:val="left"/>
      <w:pPr>
        <w:tabs>
          <w:tab w:val="num" w:pos="3600"/>
        </w:tabs>
        <w:ind w:left="3600" w:hanging="360"/>
      </w:pPr>
      <w:rPr>
        <w:rFonts w:ascii="Symbol" w:hAnsi="Symbol"/>
        <w:rtl w:val="0"/>
      </w:rPr>
    </w:lvl>
    <w:lvl w:ilvl="4">
      <w:start w:val="1"/>
      <w:numFmt w:val="bullet"/>
      <w:lvlText w:val="o"/>
      <w:lvlJc w:val="left"/>
      <w:pPr>
        <w:tabs>
          <w:tab w:val="num" w:pos="4320"/>
        </w:tabs>
        <w:ind w:left="4320" w:hanging="360"/>
      </w:pPr>
      <w:rPr>
        <w:rFonts w:ascii="Courier New" w:hAnsi="Courier New" w:cs="Courier New"/>
        <w:rtl w:val="0"/>
      </w:rPr>
    </w:lvl>
    <w:lvl w:ilvl="5">
      <w:start w:val="1"/>
      <w:numFmt w:val="bullet"/>
      <w:lvlText w:val=""/>
      <w:lvlJc w:val="left"/>
      <w:pPr>
        <w:tabs>
          <w:tab w:val="num" w:pos="5040"/>
        </w:tabs>
        <w:ind w:left="5040" w:hanging="360"/>
      </w:pPr>
      <w:rPr>
        <w:rFonts w:ascii="Wingdings" w:hAnsi="Wingdings"/>
        <w:rtl w:val="0"/>
      </w:rPr>
    </w:lvl>
    <w:lvl w:ilvl="6">
      <w:start w:val="1"/>
      <w:numFmt w:val="bullet"/>
      <w:lvlText w:val=""/>
      <w:lvlJc w:val="left"/>
      <w:pPr>
        <w:tabs>
          <w:tab w:val="num" w:pos="5760"/>
        </w:tabs>
        <w:ind w:left="5760" w:hanging="360"/>
      </w:pPr>
      <w:rPr>
        <w:rFonts w:ascii="Symbol" w:hAnsi="Symbol"/>
        <w:rtl w:val="0"/>
      </w:rPr>
    </w:lvl>
    <w:lvl w:ilvl="7">
      <w:start w:val="1"/>
      <w:numFmt w:val="bullet"/>
      <w:lvlText w:val="o"/>
      <w:lvlJc w:val="left"/>
      <w:pPr>
        <w:tabs>
          <w:tab w:val="num" w:pos="6480"/>
        </w:tabs>
        <w:ind w:left="6480" w:hanging="360"/>
      </w:pPr>
      <w:rPr>
        <w:rFonts w:ascii="Courier New" w:hAnsi="Courier New" w:cs="Courier New"/>
        <w:rtl w:val="0"/>
      </w:rPr>
    </w:lvl>
    <w:lvl w:ilvl="8">
      <w:start w:val="1"/>
      <w:numFmt w:val="bullet"/>
      <w:lvlText w:val=""/>
      <w:lvlJc w:val="left"/>
      <w:pPr>
        <w:tabs>
          <w:tab w:val="num" w:pos="7200"/>
        </w:tabs>
        <w:ind w:left="7200" w:hanging="360"/>
      </w:pPr>
      <w:rPr>
        <w:rFonts w:ascii="Wingdings" w:hAnsi="Wingdings"/>
        <w:rtl w:val="0"/>
      </w:rPr>
    </w:lvl>
  </w:abstractNum>
  <w:abstractNum w:abstractNumId="47">
    <w:nsid w:val="1E6827E3"/>
    <w:multiLevelType w:val="singleLevel"/>
    <w:tmpl w:val="041B000F"/>
    <w:lvl w:ilvl="0">
      <w:start w:val="1"/>
      <w:numFmt w:val="decimal"/>
      <w:lvlText w:val="%1."/>
      <w:lvlJc w:val="left"/>
      <w:pPr>
        <w:tabs>
          <w:tab w:val="num" w:pos="360"/>
        </w:tabs>
        <w:ind w:left="360" w:hanging="360"/>
      </w:pPr>
      <w:rPr>
        <w:u w:val="none"/>
      </w:rPr>
    </w:lvl>
  </w:abstractNum>
  <w:abstractNum w:abstractNumId="48">
    <w:nsid w:val="1ECF137A"/>
    <w:multiLevelType w:val="singleLevel"/>
    <w:tmpl w:val="041B0015"/>
    <w:lvl w:ilvl="0">
      <w:start w:val="1"/>
      <w:numFmt w:val="upperLetter"/>
      <w:lvlText w:val="%1."/>
      <w:lvlJc w:val="left"/>
      <w:pPr>
        <w:tabs>
          <w:tab w:val="num" w:pos="360"/>
        </w:tabs>
        <w:ind w:left="360" w:hanging="360"/>
      </w:pPr>
    </w:lvl>
  </w:abstractNum>
  <w:abstractNum w:abstractNumId="49">
    <w:nsid w:val="1F2A33F9"/>
    <w:multiLevelType w:val="hybridMultilevel"/>
    <w:tmpl w:val="44F6099E"/>
    <w:lvl w:ilvl="0">
      <w:start w:val="0"/>
      <w:numFmt w:val="bullet"/>
      <w:lvlText w:val=""/>
      <w:lvlJc w:val="left"/>
      <w:pPr>
        <w:tabs>
          <w:tab w:val="num" w:pos="902"/>
        </w:tabs>
        <w:ind w:left="902" w:hanging="363"/>
      </w:pPr>
      <w:rPr>
        <w:rFonts w:ascii="Wingdings" w:hAnsi="Wingdings"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50">
    <w:nsid w:val="1F540F99"/>
    <w:multiLevelType w:val="hybridMultilevel"/>
    <w:tmpl w:val="76867BD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226B1006"/>
    <w:multiLevelType w:val="hybridMultilevel"/>
    <w:tmpl w:val="E604C3A4"/>
    <w:lvl w:ilvl="0">
      <w:start w:val="1"/>
      <w:numFmt w:val="bullet"/>
      <w:lvlText w:val=""/>
      <w:lvlJc w:val="left"/>
      <w:pPr>
        <w:tabs>
          <w:tab w:val="num" w:pos="1440"/>
        </w:tabs>
        <w:ind w:left="1440" w:hanging="360"/>
      </w:pPr>
      <w:rPr>
        <w:rFonts w:ascii="Wingdings" w:hAnsi="Wingdings"/>
        <w:rtl w:val="0"/>
      </w:rPr>
    </w:lvl>
    <w:lvl w:ilvl="1">
      <w:start w:val="1"/>
      <w:numFmt w:val="bullet"/>
      <w:lvlText w:val="o"/>
      <w:lvlJc w:val="left"/>
      <w:pPr>
        <w:tabs>
          <w:tab w:val="num" w:pos="2160"/>
        </w:tabs>
        <w:ind w:left="2160" w:hanging="360"/>
      </w:pPr>
      <w:rPr>
        <w:rFonts w:ascii="Courier New" w:hAnsi="Courier New" w:cs="Courier New"/>
        <w:rtl w:val="0"/>
      </w:rPr>
    </w:lvl>
    <w:lvl w:ilvl="2">
      <w:start w:val="1"/>
      <w:numFmt w:val="bullet"/>
      <w:lvlText w:val=""/>
      <w:lvlJc w:val="left"/>
      <w:pPr>
        <w:tabs>
          <w:tab w:val="num" w:pos="2880"/>
        </w:tabs>
        <w:ind w:left="2880" w:hanging="360"/>
      </w:pPr>
      <w:rPr>
        <w:rFonts w:ascii="Wingdings" w:hAnsi="Wingdings"/>
        <w:rtl w:val="0"/>
      </w:rPr>
    </w:lvl>
    <w:lvl w:ilvl="3">
      <w:start w:val="1"/>
      <w:numFmt w:val="bullet"/>
      <w:lvlText w:val=""/>
      <w:lvlJc w:val="left"/>
      <w:pPr>
        <w:tabs>
          <w:tab w:val="num" w:pos="3600"/>
        </w:tabs>
        <w:ind w:left="3600" w:hanging="360"/>
      </w:pPr>
      <w:rPr>
        <w:rFonts w:ascii="Symbol" w:hAnsi="Symbol"/>
        <w:rtl w:val="0"/>
      </w:rPr>
    </w:lvl>
    <w:lvl w:ilvl="4">
      <w:start w:val="1"/>
      <w:numFmt w:val="bullet"/>
      <w:lvlText w:val="o"/>
      <w:lvlJc w:val="left"/>
      <w:pPr>
        <w:tabs>
          <w:tab w:val="num" w:pos="4320"/>
        </w:tabs>
        <w:ind w:left="4320" w:hanging="360"/>
      </w:pPr>
      <w:rPr>
        <w:rFonts w:ascii="Courier New" w:hAnsi="Courier New" w:cs="Courier New"/>
        <w:rtl w:val="0"/>
      </w:rPr>
    </w:lvl>
    <w:lvl w:ilvl="5">
      <w:start w:val="1"/>
      <w:numFmt w:val="bullet"/>
      <w:lvlText w:val=""/>
      <w:lvlJc w:val="left"/>
      <w:pPr>
        <w:tabs>
          <w:tab w:val="num" w:pos="5040"/>
        </w:tabs>
        <w:ind w:left="5040" w:hanging="360"/>
      </w:pPr>
      <w:rPr>
        <w:rFonts w:ascii="Wingdings" w:hAnsi="Wingdings"/>
        <w:rtl w:val="0"/>
      </w:rPr>
    </w:lvl>
    <w:lvl w:ilvl="6">
      <w:start w:val="1"/>
      <w:numFmt w:val="bullet"/>
      <w:lvlText w:val=""/>
      <w:lvlJc w:val="left"/>
      <w:pPr>
        <w:tabs>
          <w:tab w:val="num" w:pos="5760"/>
        </w:tabs>
        <w:ind w:left="5760" w:hanging="360"/>
      </w:pPr>
      <w:rPr>
        <w:rFonts w:ascii="Symbol" w:hAnsi="Symbol"/>
        <w:rtl w:val="0"/>
      </w:rPr>
    </w:lvl>
    <w:lvl w:ilvl="7">
      <w:start w:val="1"/>
      <w:numFmt w:val="bullet"/>
      <w:lvlText w:val="o"/>
      <w:lvlJc w:val="left"/>
      <w:pPr>
        <w:tabs>
          <w:tab w:val="num" w:pos="6480"/>
        </w:tabs>
        <w:ind w:left="6480" w:hanging="360"/>
      </w:pPr>
      <w:rPr>
        <w:rFonts w:ascii="Courier New" w:hAnsi="Courier New" w:cs="Courier New"/>
        <w:rtl w:val="0"/>
      </w:rPr>
    </w:lvl>
    <w:lvl w:ilvl="8">
      <w:start w:val="1"/>
      <w:numFmt w:val="bullet"/>
      <w:lvlText w:val=""/>
      <w:lvlJc w:val="left"/>
      <w:pPr>
        <w:tabs>
          <w:tab w:val="num" w:pos="7200"/>
        </w:tabs>
        <w:ind w:left="7200" w:hanging="360"/>
      </w:pPr>
      <w:rPr>
        <w:rFonts w:ascii="Wingdings" w:hAnsi="Wingdings"/>
        <w:rtl w:val="0"/>
      </w:rPr>
    </w:lvl>
  </w:abstractNum>
  <w:abstractNum w:abstractNumId="52">
    <w:nsid w:val="22C359DD"/>
    <w:multiLevelType w:val="hybridMultilevel"/>
    <w:tmpl w:val="92987EAC"/>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53">
    <w:nsid w:val="234E2B53"/>
    <w:multiLevelType w:val="hybridMultilevel"/>
    <w:tmpl w:val="90A0EFA0"/>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54">
    <w:nsid w:val="23547B02"/>
    <w:multiLevelType w:val="hybridMultilevel"/>
    <w:tmpl w:val="964C5798"/>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55">
    <w:nsid w:val="249D5F71"/>
    <w:multiLevelType w:val="multilevel"/>
    <w:tmpl w:val="8A80BE28"/>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25137ACF"/>
    <w:multiLevelType w:val="hybridMultilevel"/>
    <w:tmpl w:val="C6460254"/>
    <w:lvl w:ilvl="0">
      <w:start w:val="172"/>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57">
    <w:nsid w:val="25A970F1"/>
    <w:multiLevelType w:val="hybridMultilevel"/>
    <w:tmpl w:val="3C223ED8"/>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58">
    <w:nsid w:val="25BA083C"/>
    <w:multiLevelType w:val="singleLevel"/>
    <w:tmpl w:val="F202013E"/>
    <w:lvl w:ilvl="0">
      <w:start w:val="2"/>
      <w:numFmt w:val="bullet"/>
      <w:lvlText w:val="-"/>
      <w:lvlJc w:val="left"/>
      <w:pPr>
        <w:tabs>
          <w:tab w:val="num" w:pos="360"/>
        </w:tabs>
        <w:ind w:left="360" w:hanging="360"/>
      </w:pPr>
    </w:lvl>
  </w:abstractNum>
  <w:abstractNum w:abstractNumId="59">
    <w:nsid w:val="264A1CE9"/>
    <w:multiLevelType w:val="hybridMultilevel"/>
    <w:tmpl w:val="B0AAE810"/>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60">
    <w:nsid w:val="285A34ED"/>
    <w:multiLevelType w:val="hybridMultilevel"/>
    <w:tmpl w:val="DFAAFF08"/>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3"/>
      <w:numFmt w:val="bullet"/>
      <w:lvlText w:val="–"/>
      <w:lvlJc w:val="left"/>
      <w:pPr>
        <w:tabs>
          <w:tab w:val="num" w:pos="2160"/>
        </w:tabs>
        <w:ind w:left="2160" w:hanging="360"/>
      </w:pPr>
      <w:rPr>
        <w:rFonts w:ascii="Times New Roman" w:hAnsi="Times New Roman" w:cs="Times New Roman"/>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61">
    <w:nsid w:val="285E58BC"/>
    <w:multiLevelType w:val="hybridMultilevel"/>
    <w:tmpl w:val="FDA2E638"/>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62">
    <w:nsid w:val="295F5EA5"/>
    <w:multiLevelType w:val="hybridMultilevel"/>
    <w:tmpl w:val="4840480E"/>
    <w:lvl w:ilvl="0">
      <w:start w:val="1"/>
      <w:numFmt w:val="bullet"/>
      <w:lvlText w:val=""/>
      <w:lvlJc w:val="left"/>
      <w:pPr>
        <w:tabs>
          <w:tab w:val="num" w:pos="1320"/>
        </w:tabs>
        <w:ind w:left="13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63">
    <w:nsid w:val="29E0203B"/>
    <w:multiLevelType w:val="hybridMultilevel"/>
    <w:tmpl w:val="5A7E2F72"/>
    <w:lvl w:ilvl="0">
      <w:start w:val="1"/>
      <w:numFmt w:val="bullet"/>
      <w:lvlText w:val=""/>
      <w:lvlJc w:val="left"/>
      <w:pPr>
        <w:tabs>
          <w:tab w:val="num" w:pos="1260"/>
        </w:tabs>
        <w:ind w:left="1260" w:hanging="360"/>
      </w:pPr>
      <w:rPr>
        <w:rFonts w:ascii="Wingdings" w:hAnsi="Wingdings"/>
        <w:rtl w:val="0"/>
      </w:rPr>
    </w:lvl>
    <w:lvl w:ilvl="1">
      <w:start w:val="1"/>
      <w:numFmt w:val="bullet"/>
      <w:lvlText w:val="o"/>
      <w:lvlJc w:val="left"/>
      <w:pPr>
        <w:tabs>
          <w:tab w:val="num" w:pos="1980"/>
        </w:tabs>
        <w:ind w:left="1980" w:hanging="360"/>
      </w:pPr>
      <w:rPr>
        <w:rFonts w:ascii="Courier New" w:hAnsi="Courier New" w:cs="Courier New"/>
        <w:rtl w:val="0"/>
      </w:rPr>
    </w:lvl>
    <w:lvl w:ilvl="2">
      <w:start w:val="1"/>
      <w:numFmt w:val="bullet"/>
      <w:lvlText w:val=""/>
      <w:lvlJc w:val="left"/>
      <w:pPr>
        <w:tabs>
          <w:tab w:val="num" w:pos="2700"/>
        </w:tabs>
        <w:ind w:left="2700" w:hanging="360"/>
      </w:pPr>
      <w:rPr>
        <w:rFonts w:ascii="Wingdings" w:hAnsi="Wingdings"/>
        <w:rtl w:val="0"/>
      </w:rPr>
    </w:lvl>
    <w:lvl w:ilvl="3">
      <w:start w:val="1"/>
      <w:numFmt w:val="bullet"/>
      <w:lvlText w:val=""/>
      <w:lvlJc w:val="left"/>
      <w:pPr>
        <w:tabs>
          <w:tab w:val="num" w:pos="3420"/>
        </w:tabs>
        <w:ind w:left="3420" w:hanging="360"/>
      </w:pPr>
      <w:rPr>
        <w:rFonts w:ascii="Symbol" w:hAnsi="Symbol"/>
        <w:rtl w:val="0"/>
      </w:rPr>
    </w:lvl>
    <w:lvl w:ilvl="4">
      <w:start w:val="1"/>
      <w:numFmt w:val="bullet"/>
      <w:lvlText w:val="o"/>
      <w:lvlJc w:val="left"/>
      <w:pPr>
        <w:tabs>
          <w:tab w:val="num" w:pos="4140"/>
        </w:tabs>
        <w:ind w:left="4140" w:hanging="360"/>
      </w:pPr>
      <w:rPr>
        <w:rFonts w:ascii="Courier New" w:hAnsi="Courier New" w:cs="Courier New"/>
        <w:rtl w:val="0"/>
      </w:rPr>
    </w:lvl>
    <w:lvl w:ilvl="5">
      <w:start w:val="1"/>
      <w:numFmt w:val="bullet"/>
      <w:lvlText w:val=""/>
      <w:lvlJc w:val="left"/>
      <w:pPr>
        <w:tabs>
          <w:tab w:val="num" w:pos="4860"/>
        </w:tabs>
        <w:ind w:left="4860" w:hanging="360"/>
      </w:pPr>
      <w:rPr>
        <w:rFonts w:ascii="Wingdings" w:hAnsi="Wingdings"/>
        <w:rtl w:val="0"/>
      </w:rPr>
    </w:lvl>
    <w:lvl w:ilvl="6">
      <w:start w:val="1"/>
      <w:numFmt w:val="bullet"/>
      <w:lvlText w:val=""/>
      <w:lvlJc w:val="left"/>
      <w:pPr>
        <w:tabs>
          <w:tab w:val="num" w:pos="5580"/>
        </w:tabs>
        <w:ind w:left="5580" w:hanging="360"/>
      </w:pPr>
      <w:rPr>
        <w:rFonts w:ascii="Symbol" w:hAnsi="Symbol"/>
        <w:rtl w:val="0"/>
      </w:rPr>
    </w:lvl>
    <w:lvl w:ilvl="7">
      <w:start w:val="1"/>
      <w:numFmt w:val="bullet"/>
      <w:lvlText w:val="o"/>
      <w:lvlJc w:val="left"/>
      <w:pPr>
        <w:tabs>
          <w:tab w:val="num" w:pos="6300"/>
        </w:tabs>
        <w:ind w:left="6300" w:hanging="360"/>
      </w:pPr>
      <w:rPr>
        <w:rFonts w:ascii="Courier New" w:hAnsi="Courier New" w:cs="Courier New"/>
        <w:rtl w:val="0"/>
      </w:rPr>
    </w:lvl>
    <w:lvl w:ilvl="8">
      <w:start w:val="1"/>
      <w:numFmt w:val="bullet"/>
      <w:lvlText w:val=""/>
      <w:lvlJc w:val="left"/>
      <w:pPr>
        <w:tabs>
          <w:tab w:val="num" w:pos="7020"/>
        </w:tabs>
        <w:ind w:left="7020" w:hanging="360"/>
      </w:pPr>
      <w:rPr>
        <w:rFonts w:ascii="Wingdings" w:hAnsi="Wingdings"/>
        <w:rtl w:val="0"/>
      </w:rPr>
    </w:lvl>
  </w:abstractNum>
  <w:abstractNum w:abstractNumId="64">
    <w:nsid w:val="2CAA21CE"/>
    <w:multiLevelType w:val="multilevel"/>
    <w:tmpl w:val="64EC3CCA"/>
    <w:lvl w:ilvl="0">
      <w:start w:val="1"/>
      <w:numFmt w:val="bullet"/>
      <w:lvlText w:val=""/>
      <w:lvlJc w:val="left"/>
      <w:pPr>
        <w:tabs>
          <w:tab w:val="num" w:pos="720"/>
        </w:tabs>
        <w:ind w:left="720" w:hanging="360"/>
      </w:pPr>
      <w:rPr>
        <w:rFonts w:ascii="Wingdings" w:hAnsi="Wingdings"/>
        <w:rtl w:val="0"/>
      </w:rPr>
    </w:lvl>
    <w:lvl w:ilvl="1">
      <w:start w:val="3"/>
      <w:numFmt w:val="bullet"/>
      <w:lvlText w:val="-"/>
      <w:lvlJc w:val="left"/>
      <w:pPr>
        <w:tabs>
          <w:tab w:val="num" w:pos="1440"/>
        </w:tabs>
        <w:ind w:left="1440" w:hanging="360"/>
      </w:pPr>
      <w:rPr>
        <w:rFonts w:ascii="Times New Roman" w:hAnsi="Times New Roman" w:cs="Times New Roman"/>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65">
    <w:nsid w:val="2DF709B5"/>
    <w:multiLevelType w:val="hybridMultilevel"/>
    <w:tmpl w:val="1020EA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2E250528"/>
    <w:multiLevelType w:val="multilevel"/>
    <w:tmpl w:val="CEE497EE"/>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67">
    <w:nsid w:val="2EBF241B"/>
    <w:multiLevelType w:val="hybridMultilevel"/>
    <w:tmpl w:val="D3DE927E"/>
    <w:lvl w:ilvl="0">
      <w:start w:val="1"/>
      <w:numFmt w:val="bullet"/>
      <w:lvlText w:val=""/>
      <w:lvlJc w:val="left"/>
      <w:pPr>
        <w:tabs>
          <w:tab w:val="num" w:pos="360"/>
        </w:tabs>
        <w:ind w:left="36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68">
    <w:nsid w:val="2F737B96"/>
    <w:multiLevelType w:val="hybridMultilevel"/>
    <w:tmpl w:val="0D18B930"/>
    <w:lvl w:ilvl="0">
      <w:start w:val="1"/>
      <w:numFmt w:val="bullet"/>
      <w:lvlText w:val="o"/>
      <w:lvlJc w:val="left"/>
      <w:pPr>
        <w:tabs>
          <w:tab w:val="num" w:pos="1429"/>
        </w:tabs>
        <w:ind w:left="1429" w:hanging="360"/>
      </w:pPr>
      <w:rPr>
        <w:rFonts w:ascii="Courier New" w:hAnsi="Courier New"/>
        <w:rtl w:val="0"/>
      </w:rPr>
    </w:lvl>
    <w:lvl w:ilvl="1">
      <w:start w:val="1"/>
      <w:numFmt w:val="bullet"/>
      <w:lvlText w:val="o"/>
      <w:lvlJc w:val="left"/>
      <w:pPr>
        <w:tabs>
          <w:tab w:val="num" w:pos="2149"/>
        </w:tabs>
        <w:ind w:left="2149" w:hanging="360"/>
      </w:pPr>
      <w:rPr>
        <w:rFonts w:ascii="Courier New" w:hAnsi="Courier New"/>
        <w:rtl w:val="0"/>
      </w:rPr>
    </w:lvl>
    <w:lvl w:ilvl="2">
      <w:start w:val="1"/>
      <w:numFmt w:val="bullet"/>
      <w:lvlText w:val=""/>
      <w:lvlJc w:val="left"/>
      <w:pPr>
        <w:tabs>
          <w:tab w:val="num" w:pos="2869"/>
        </w:tabs>
        <w:ind w:left="2869" w:hanging="360"/>
      </w:pPr>
      <w:rPr>
        <w:rFonts w:ascii="Wingdings" w:hAnsi="Wingdings"/>
        <w:rtl w:val="0"/>
      </w:rPr>
    </w:lvl>
    <w:lvl w:ilvl="3">
      <w:start w:val="1"/>
      <w:numFmt w:val="bullet"/>
      <w:lvlText w:val=""/>
      <w:lvlJc w:val="left"/>
      <w:pPr>
        <w:tabs>
          <w:tab w:val="num" w:pos="3589"/>
        </w:tabs>
        <w:ind w:left="3589" w:hanging="360"/>
      </w:pPr>
      <w:rPr>
        <w:rFonts w:ascii="Symbol" w:hAnsi="Symbol"/>
        <w:rtl w:val="0"/>
      </w:rPr>
    </w:lvl>
    <w:lvl w:ilvl="4">
      <w:start w:val="1"/>
      <w:numFmt w:val="bullet"/>
      <w:lvlText w:val="o"/>
      <w:lvlJc w:val="left"/>
      <w:pPr>
        <w:tabs>
          <w:tab w:val="num" w:pos="4309"/>
        </w:tabs>
        <w:ind w:left="4309" w:hanging="360"/>
      </w:pPr>
      <w:rPr>
        <w:rFonts w:ascii="Courier New" w:hAnsi="Courier New"/>
        <w:rtl w:val="0"/>
      </w:rPr>
    </w:lvl>
    <w:lvl w:ilvl="5">
      <w:start w:val="1"/>
      <w:numFmt w:val="bullet"/>
      <w:lvlText w:val=""/>
      <w:lvlJc w:val="left"/>
      <w:pPr>
        <w:tabs>
          <w:tab w:val="num" w:pos="5029"/>
        </w:tabs>
        <w:ind w:left="5029" w:hanging="360"/>
      </w:pPr>
      <w:rPr>
        <w:rFonts w:ascii="Wingdings" w:hAnsi="Wingdings"/>
        <w:rtl w:val="0"/>
      </w:rPr>
    </w:lvl>
    <w:lvl w:ilvl="6">
      <w:start w:val="1"/>
      <w:numFmt w:val="bullet"/>
      <w:lvlText w:val=""/>
      <w:lvlJc w:val="left"/>
      <w:pPr>
        <w:tabs>
          <w:tab w:val="num" w:pos="5749"/>
        </w:tabs>
        <w:ind w:left="5749" w:hanging="360"/>
      </w:pPr>
      <w:rPr>
        <w:rFonts w:ascii="Symbol" w:hAnsi="Symbol"/>
        <w:rtl w:val="0"/>
      </w:rPr>
    </w:lvl>
    <w:lvl w:ilvl="7">
      <w:start w:val="1"/>
      <w:numFmt w:val="bullet"/>
      <w:lvlText w:val="o"/>
      <w:lvlJc w:val="left"/>
      <w:pPr>
        <w:tabs>
          <w:tab w:val="num" w:pos="6469"/>
        </w:tabs>
        <w:ind w:left="6469" w:hanging="360"/>
      </w:pPr>
      <w:rPr>
        <w:rFonts w:ascii="Courier New" w:hAnsi="Courier New"/>
        <w:rtl w:val="0"/>
      </w:rPr>
    </w:lvl>
    <w:lvl w:ilvl="8">
      <w:start w:val="1"/>
      <w:numFmt w:val="bullet"/>
      <w:lvlText w:val=""/>
      <w:lvlJc w:val="left"/>
      <w:pPr>
        <w:tabs>
          <w:tab w:val="num" w:pos="7189"/>
        </w:tabs>
        <w:ind w:left="7189" w:hanging="360"/>
      </w:pPr>
      <w:rPr>
        <w:rFonts w:ascii="Wingdings" w:hAnsi="Wingdings"/>
        <w:rtl w:val="0"/>
      </w:rPr>
    </w:lvl>
  </w:abstractNum>
  <w:abstractNum w:abstractNumId="69">
    <w:nsid w:val="2FD84070"/>
    <w:multiLevelType w:val="hybridMultilevel"/>
    <w:tmpl w:val="317A65DA"/>
    <w:lvl w:ilvl="0">
      <w:start w:val="1"/>
      <w:numFmt w:val="bullet"/>
      <w:lvlText w:val=""/>
      <w:lvlJc w:val="left"/>
      <w:pPr>
        <w:tabs>
          <w:tab w:val="num" w:pos="360"/>
        </w:tabs>
        <w:ind w:left="360" w:hanging="360"/>
      </w:pPr>
      <w:rPr>
        <w:rFonts w:ascii="Wingdings" w:hAnsi="Wingdings"/>
        <w:rtl w:val="0"/>
      </w:rPr>
    </w:lvl>
    <w:lvl w:ilvl="1">
      <w:start w:val="1"/>
      <w:numFmt w:val="bullet"/>
      <w:lvlText w:val="o"/>
      <w:lvlJc w:val="left"/>
      <w:pPr>
        <w:tabs>
          <w:tab w:val="num" w:pos="2148"/>
        </w:tabs>
        <w:ind w:left="2148" w:hanging="360"/>
      </w:pPr>
      <w:rPr>
        <w:rFonts w:ascii="Courier New" w:hAnsi="Courier New" w:cs="Courier New"/>
        <w:rtl w:val="0"/>
      </w:rPr>
    </w:lvl>
    <w:lvl w:ilvl="2">
      <w:start w:val="1"/>
      <w:numFmt w:val="bullet"/>
      <w:lvlText w:val=""/>
      <w:lvlJc w:val="left"/>
      <w:pPr>
        <w:tabs>
          <w:tab w:val="num" w:pos="2868"/>
        </w:tabs>
        <w:ind w:left="2868" w:hanging="360"/>
      </w:pPr>
      <w:rPr>
        <w:rFonts w:ascii="Wingdings" w:hAnsi="Wingdings"/>
        <w:rtl w:val="0"/>
      </w:rPr>
    </w:lvl>
    <w:lvl w:ilvl="3">
      <w:start w:val="1"/>
      <w:numFmt w:val="bullet"/>
      <w:lvlText w:val=""/>
      <w:lvlJc w:val="left"/>
      <w:pPr>
        <w:tabs>
          <w:tab w:val="num" w:pos="3588"/>
        </w:tabs>
        <w:ind w:left="3588" w:hanging="360"/>
      </w:pPr>
      <w:rPr>
        <w:rFonts w:ascii="Symbol" w:hAnsi="Symbol"/>
        <w:rtl w:val="0"/>
      </w:rPr>
    </w:lvl>
    <w:lvl w:ilvl="4">
      <w:start w:val="1"/>
      <w:numFmt w:val="bullet"/>
      <w:lvlText w:val="o"/>
      <w:lvlJc w:val="left"/>
      <w:pPr>
        <w:tabs>
          <w:tab w:val="num" w:pos="4308"/>
        </w:tabs>
        <w:ind w:left="4308" w:hanging="360"/>
      </w:pPr>
      <w:rPr>
        <w:rFonts w:ascii="Courier New" w:hAnsi="Courier New" w:cs="Courier New"/>
        <w:rtl w:val="0"/>
      </w:rPr>
    </w:lvl>
    <w:lvl w:ilvl="5">
      <w:start w:val="1"/>
      <w:numFmt w:val="bullet"/>
      <w:lvlText w:val=""/>
      <w:lvlJc w:val="left"/>
      <w:pPr>
        <w:tabs>
          <w:tab w:val="num" w:pos="5028"/>
        </w:tabs>
        <w:ind w:left="5028" w:hanging="360"/>
      </w:pPr>
      <w:rPr>
        <w:rFonts w:ascii="Wingdings" w:hAnsi="Wingdings"/>
        <w:rtl w:val="0"/>
      </w:rPr>
    </w:lvl>
    <w:lvl w:ilvl="6">
      <w:start w:val="1"/>
      <w:numFmt w:val="bullet"/>
      <w:lvlText w:val=""/>
      <w:lvlJc w:val="left"/>
      <w:pPr>
        <w:tabs>
          <w:tab w:val="num" w:pos="5748"/>
        </w:tabs>
        <w:ind w:left="5748" w:hanging="360"/>
      </w:pPr>
      <w:rPr>
        <w:rFonts w:ascii="Symbol" w:hAnsi="Symbol"/>
        <w:rtl w:val="0"/>
      </w:rPr>
    </w:lvl>
    <w:lvl w:ilvl="7">
      <w:start w:val="1"/>
      <w:numFmt w:val="bullet"/>
      <w:lvlText w:val="o"/>
      <w:lvlJc w:val="left"/>
      <w:pPr>
        <w:tabs>
          <w:tab w:val="num" w:pos="6468"/>
        </w:tabs>
        <w:ind w:left="6468" w:hanging="360"/>
      </w:pPr>
      <w:rPr>
        <w:rFonts w:ascii="Courier New" w:hAnsi="Courier New" w:cs="Courier New"/>
        <w:rtl w:val="0"/>
      </w:rPr>
    </w:lvl>
    <w:lvl w:ilvl="8">
      <w:start w:val="1"/>
      <w:numFmt w:val="bullet"/>
      <w:lvlText w:val=""/>
      <w:lvlJc w:val="left"/>
      <w:pPr>
        <w:tabs>
          <w:tab w:val="num" w:pos="7188"/>
        </w:tabs>
        <w:ind w:left="7188" w:hanging="360"/>
      </w:pPr>
      <w:rPr>
        <w:rFonts w:ascii="Wingdings" w:hAnsi="Wingdings"/>
        <w:rtl w:val="0"/>
      </w:rPr>
    </w:lvl>
  </w:abstractNum>
  <w:abstractNum w:abstractNumId="70">
    <w:nsid w:val="31490AF4"/>
    <w:multiLevelType w:val="hybridMultilevel"/>
    <w:tmpl w:val="D660C23C"/>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71">
    <w:nsid w:val="3309260C"/>
    <w:multiLevelType w:val="multilevel"/>
    <w:tmpl w:val="FDA2E638"/>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72">
    <w:nsid w:val="337125E8"/>
    <w:multiLevelType w:val="hybridMultilevel"/>
    <w:tmpl w:val="B9FCB190"/>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73">
    <w:nsid w:val="33BE4030"/>
    <w:multiLevelType w:val="singleLevel"/>
    <w:tmpl w:val="7CB81348"/>
    <w:lvl w:ilvl="0">
      <w:start w:val="1"/>
      <w:numFmt w:val="decimal"/>
      <w:lvlText w:val="(%1) "/>
      <w:legacy w:legacy="1" w:legacySpace="0" w:legacyIndent="283"/>
      <w:lvlJc w:val="left"/>
      <w:pPr>
        <w:ind w:left="283" w:hanging="283"/>
      </w:pPr>
      <w:rPr>
        <w:rFonts w:ascii="Times New Roman" w:hAnsi="Times New Roman"/>
        <w:b w:val="0"/>
        <w:i w:val="0"/>
        <w:sz w:val="18"/>
        <w:rtl w:val="0"/>
      </w:rPr>
    </w:lvl>
  </w:abstractNum>
  <w:abstractNum w:abstractNumId="74">
    <w:nsid w:val="346A72D0"/>
    <w:multiLevelType w:val="multilevel"/>
    <w:tmpl w:val="8C46D79E"/>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75">
    <w:nsid w:val="34874DF7"/>
    <w:multiLevelType w:val="multilevel"/>
    <w:tmpl w:val="964C5798"/>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76">
    <w:nsid w:val="357C01F8"/>
    <w:multiLevelType w:val="multilevel"/>
    <w:tmpl w:val="2DB87498"/>
    <w:lvl w:ilvl="0">
      <w:start w:val="1"/>
      <w:numFmt w:val="bullet"/>
      <w:lvlText w:val=""/>
      <w:lvlJc w:val="left"/>
      <w:pPr>
        <w:tabs>
          <w:tab w:val="num" w:pos="284"/>
        </w:tabs>
        <w:ind w:left="284" w:hanging="284"/>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77">
    <w:nsid w:val="35BA68D5"/>
    <w:multiLevelType w:val="singleLevel"/>
    <w:tmpl w:val="041B000F"/>
    <w:lvl w:ilvl="0">
      <w:start w:val="1"/>
      <w:numFmt w:val="decimal"/>
      <w:lvlText w:val="%1."/>
      <w:lvlJc w:val="left"/>
      <w:pPr>
        <w:tabs>
          <w:tab w:val="num" w:pos="360"/>
        </w:tabs>
        <w:ind w:left="360" w:hanging="360"/>
      </w:pPr>
    </w:lvl>
  </w:abstractNum>
  <w:abstractNum w:abstractNumId="78">
    <w:nsid w:val="37957C78"/>
    <w:multiLevelType w:val="multilevel"/>
    <w:tmpl w:val="BBC87AC0"/>
    <w:lvl w:ilvl="0">
      <w:start w:val="4"/>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9">
    <w:nsid w:val="39B51680"/>
    <w:multiLevelType w:val="hybridMultilevel"/>
    <w:tmpl w:val="C99CDBFC"/>
    <w:lvl w:ilvl="0">
      <w:start w:val="1"/>
      <w:numFmt w:val="bullet"/>
      <w:lvlText w:val=""/>
      <w:lvlJc w:val="left"/>
      <w:pPr>
        <w:tabs>
          <w:tab w:val="num" w:pos="1260"/>
        </w:tabs>
        <w:ind w:left="1260" w:hanging="360"/>
      </w:pPr>
      <w:rPr>
        <w:rFonts w:ascii="Wingdings" w:hAnsi="Wingdings"/>
        <w:rtl w:val="0"/>
      </w:rPr>
    </w:lvl>
    <w:lvl w:ilvl="1">
      <w:start w:val="1"/>
      <w:numFmt w:val="bullet"/>
      <w:lvlText w:val="o"/>
      <w:lvlJc w:val="left"/>
      <w:pPr>
        <w:tabs>
          <w:tab w:val="num" w:pos="1980"/>
        </w:tabs>
        <w:ind w:left="1980" w:hanging="360"/>
      </w:pPr>
      <w:rPr>
        <w:rFonts w:ascii="Courier New" w:hAnsi="Courier New" w:cs="Courier New"/>
        <w:rtl w:val="0"/>
      </w:rPr>
    </w:lvl>
    <w:lvl w:ilvl="2">
      <w:start w:val="1"/>
      <w:numFmt w:val="bullet"/>
      <w:lvlText w:val=""/>
      <w:lvlJc w:val="left"/>
      <w:pPr>
        <w:tabs>
          <w:tab w:val="num" w:pos="2700"/>
        </w:tabs>
        <w:ind w:left="2700" w:hanging="360"/>
      </w:pPr>
      <w:rPr>
        <w:rFonts w:ascii="Wingdings" w:hAnsi="Wingdings"/>
        <w:rtl w:val="0"/>
      </w:rPr>
    </w:lvl>
    <w:lvl w:ilvl="3">
      <w:start w:val="1"/>
      <w:numFmt w:val="bullet"/>
      <w:lvlText w:val=""/>
      <w:lvlJc w:val="left"/>
      <w:pPr>
        <w:tabs>
          <w:tab w:val="num" w:pos="3420"/>
        </w:tabs>
        <w:ind w:left="3420" w:hanging="360"/>
      </w:pPr>
      <w:rPr>
        <w:rFonts w:ascii="Symbol" w:hAnsi="Symbol"/>
        <w:rtl w:val="0"/>
      </w:rPr>
    </w:lvl>
    <w:lvl w:ilvl="4">
      <w:start w:val="1"/>
      <w:numFmt w:val="bullet"/>
      <w:lvlText w:val="o"/>
      <w:lvlJc w:val="left"/>
      <w:pPr>
        <w:tabs>
          <w:tab w:val="num" w:pos="4140"/>
        </w:tabs>
        <w:ind w:left="4140" w:hanging="360"/>
      </w:pPr>
      <w:rPr>
        <w:rFonts w:ascii="Courier New" w:hAnsi="Courier New" w:cs="Courier New"/>
        <w:rtl w:val="0"/>
      </w:rPr>
    </w:lvl>
    <w:lvl w:ilvl="5">
      <w:start w:val="1"/>
      <w:numFmt w:val="bullet"/>
      <w:lvlText w:val=""/>
      <w:lvlJc w:val="left"/>
      <w:pPr>
        <w:tabs>
          <w:tab w:val="num" w:pos="4860"/>
        </w:tabs>
        <w:ind w:left="4860" w:hanging="360"/>
      </w:pPr>
      <w:rPr>
        <w:rFonts w:ascii="Wingdings" w:hAnsi="Wingdings"/>
        <w:rtl w:val="0"/>
      </w:rPr>
    </w:lvl>
    <w:lvl w:ilvl="6">
      <w:start w:val="1"/>
      <w:numFmt w:val="bullet"/>
      <w:lvlText w:val=""/>
      <w:lvlJc w:val="left"/>
      <w:pPr>
        <w:tabs>
          <w:tab w:val="num" w:pos="5580"/>
        </w:tabs>
        <w:ind w:left="5580" w:hanging="360"/>
      </w:pPr>
      <w:rPr>
        <w:rFonts w:ascii="Symbol" w:hAnsi="Symbol"/>
        <w:rtl w:val="0"/>
      </w:rPr>
    </w:lvl>
    <w:lvl w:ilvl="7">
      <w:start w:val="1"/>
      <w:numFmt w:val="bullet"/>
      <w:lvlText w:val="o"/>
      <w:lvlJc w:val="left"/>
      <w:pPr>
        <w:tabs>
          <w:tab w:val="num" w:pos="6300"/>
        </w:tabs>
        <w:ind w:left="6300" w:hanging="360"/>
      </w:pPr>
      <w:rPr>
        <w:rFonts w:ascii="Courier New" w:hAnsi="Courier New" w:cs="Courier New"/>
        <w:rtl w:val="0"/>
      </w:rPr>
    </w:lvl>
    <w:lvl w:ilvl="8">
      <w:start w:val="1"/>
      <w:numFmt w:val="bullet"/>
      <w:lvlText w:val=""/>
      <w:lvlJc w:val="left"/>
      <w:pPr>
        <w:tabs>
          <w:tab w:val="num" w:pos="7020"/>
        </w:tabs>
        <w:ind w:left="7020" w:hanging="360"/>
      </w:pPr>
      <w:rPr>
        <w:rFonts w:ascii="Wingdings" w:hAnsi="Wingdings"/>
        <w:rtl w:val="0"/>
      </w:rPr>
    </w:lvl>
  </w:abstractNum>
  <w:abstractNum w:abstractNumId="80">
    <w:nsid w:val="39B80EBE"/>
    <w:multiLevelType w:val="multilevel"/>
    <w:tmpl w:val="8D102DE8"/>
    <w:lvl w:ilvl="0">
      <w:start w:val="2"/>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1">
    <w:nsid w:val="3A2D7EE9"/>
    <w:multiLevelType w:val="hybridMultilevel"/>
    <w:tmpl w:val="E7E8682E"/>
    <w:lvl w:ilvl="0">
      <w:start w:val="1"/>
      <w:numFmt w:val="bullet"/>
      <w:lvlText w:val="o"/>
      <w:lvlJc w:val="left"/>
      <w:pPr>
        <w:tabs>
          <w:tab w:val="num" w:pos="720"/>
        </w:tabs>
        <w:ind w:left="720" w:hanging="360"/>
      </w:pPr>
      <w:rPr>
        <w:rFonts w:ascii="Courier New" w:hAnsi="Courier New" w:cs="Courier New"/>
        <w:rtl w:val="0"/>
      </w:rPr>
    </w:lvl>
    <w:lvl w:ilvl="1">
      <w:start w:val="2"/>
      <w:numFmt w:val="bullet"/>
      <w:lvlText w:val="-"/>
      <w:lvlJc w:val="left"/>
      <w:pPr>
        <w:tabs>
          <w:tab w:val="num" w:pos="1440"/>
        </w:tabs>
        <w:ind w:left="1440" w:hanging="360"/>
      </w:pPr>
      <w:rPr>
        <w:rFonts w:ascii="Times New Roman" w:hAnsi="Times New Roman" w:cs="Times New Roman"/>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82">
    <w:nsid w:val="3A2E3E16"/>
    <w:multiLevelType w:val="hybridMultilevel"/>
    <w:tmpl w:val="DD7803B4"/>
    <w:lvl w:ilvl="0">
      <w:start w:val="1"/>
      <w:numFmt w:val="bullet"/>
      <w:lvlText w:val=""/>
      <w:lvlJc w:val="left"/>
      <w:pPr>
        <w:tabs>
          <w:tab w:val="num" w:pos="1080"/>
        </w:tabs>
        <w:ind w:left="1080" w:hanging="360"/>
      </w:pPr>
      <w:rPr>
        <w:rFonts w:ascii="Symbol" w:hAnsi="Symbol"/>
        <w:rtl w:val="0"/>
      </w:rPr>
    </w:lvl>
    <w:lvl w:ilvl="1">
      <w:start w:val="1"/>
      <w:numFmt w:val="bullet"/>
      <w:lvlText w:val="o"/>
      <w:lvlJc w:val="left"/>
      <w:pPr>
        <w:tabs>
          <w:tab w:val="num" w:pos="1800"/>
        </w:tabs>
        <w:ind w:left="1800" w:hanging="360"/>
      </w:pPr>
      <w:rPr>
        <w:rFonts w:ascii="Courier New" w:hAnsi="Courier New" w:cs="Courier New"/>
        <w:rtl w:val="0"/>
      </w:rPr>
    </w:lvl>
    <w:lvl w:ilvl="2">
      <w:start w:val="1"/>
      <w:numFmt w:val="bullet"/>
      <w:lvlText w:val=""/>
      <w:lvlJc w:val="left"/>
      <w:pPr>
        <w:tabs>
          <w:tab w:val="num" w:pos="2520"/>
        </w:tabs>
        <w:ind w:left="2520" w:hanging="360"/>
      </w:pPr>
      <w:rPr>
        <w:rFonts w:ascii="Wingdings" w:hAnsi="Wingdings"/>
        <w:rtl w:val="0"/>
      </w:rPr>
    </w:lvl>
    <w:lvl w:ilvl="3">
      <w:start w:val="1"/>
      <w:numFmt w:val="bullet"/>
      <w:lvlText w:val=""/>
      <w:lvlJc w:val="left"/>
      <w:pPr>
        <w:tabs>
          <w:tab w:val="num" w:pos="3240"/>
        </w:tabs>
        <w:ind w:left="3240" w:hanging="360"/>
      </w:pPr>
      <w:rPr>
        <w:rFonts w:ascii="Symbol" w:hAnsi="Symbol"/>
        <w:rtl w:val="0"/>
      </w:rPr>
    </w:lvl>
    <w:lvl w:ilvl="4">
      <w:start w:val="1"/>
      <w:numFmt w:val="bullet"/>
      <w:lvlText w:val="o"/>
      <w:lvlJc w:val="left"/>
      <w:pPr>
        <w:tabs>
          <w:tab w:val="num" w:pos="3960"/>
        </w:tabs>
        <w:ind w:left="3960" w:hanging="360"/>
      </w:pPr>
      <w:rPr>
        <w:rFonts w:ascii="Courier New" w:hAnsi="Courier New" w:cs="Courier New"/>
        <w:rtl w:val="0"/>
      </w:rPr>
    </w:lvl>
    <w:lvl w:ilvl="5">
      <w:start w:val="1"/>
      <w:numFmt w:val="bullet"/>
      <w:lvlText w:val=""/>
      <w:lvlJc w:val="left"/>
      <w:pPr>
        <w:tabs>
          <w:tab w:val="num" w:pos="4680"/>
        </w:tabs>
        <w:ind w:left="4680" w:hanging="360"/>
      </w:pPr>
      <w:rPr>
        <w:rFonts w:ascii="Wingdings" w:hAnsi="Wingdings"/>
        <w:rtl w:val="0"/>
      </w:rPr>
    </w:lvl>
    <w:lvl w:ilvl="6">
      <w:start w:val="1"/>
      <w:numFmt w:val="bullet"/>
      <w:lvlText w:val=""/>
      <w:lvlJc w:val="left"/>
      <w:pPr>
        <w:tabs>
          <w:tab w:val="num" w:pos="5400"/>
        </w:tabs>
        <w:ind w:left="5400" w:hanging="360"/>
      </w:pPr>
      <w:rPr>
        <w:rFonts w:ascii="Symbol" w:hAnsi="Symbol"/>
        <w:rtl w:val="0"/>
      </w:rPr>
    </w:lvl>
    <w:lvl w:ilvl="7">
      <w:start w:val="1"/>
      <w:numFmt w:val="bullet"/>
      <w:lvlText w:val="o"/>
      <w:lvlJc w:val="left"/>
      <w:pPr>
        <w:tabs>
          <w:tab w:val="num" w:pos="6120"/>
        </w:tabs>
        <w:ind w:left="6120" w:hanging="360"/>
      </w:pPr>
      <w:rPr>
        <w:rFonts w:ascii="Courier New" w:hAnsi="Courier New" w:cs="Courier New"/>
        <w:rtl w:val="0"/>
      </w:rPr>
    </w:lvl>
    <w:lvl w:ilvl="8">
      <w:start w:val="1"/>
      <w:numFmt w:val="bullet"/>
      <w:lvlText w:val=""/>
      <w:lvlJc w:val="left"/>
      <w:pPr>
        <w:tabs>
          <w:tab w:val="num" w:pos="6840"/>
        </w:tabs>
        <w:ind w:left="6840" w:hanging="360"/>
      </w:pPr>
      <w:rPr>
        <w:rFonts w:ascii="Wingdings" w:hAnsi="Wingdings"/>
        <w:rtl w:val="0"/>
      </w:rPr>
    </w:lvl>
  </w:abstractNum>
  <w:abstractNum w:abstractNumId="83">
    <w:nsid w:val="3A395A32"/>
    <w:multiLevelType w:val="hybridMultilevel"/>
    <w:tmpl w:val="33D6E298"/>
    <w:lvl w:ilvl="0">
      <w:start w:val="0"/>
      <w:numFmt w:val="bullet"/>
      <w:lvlText w:val="-"/>
      <w:lvlJc w:val="left"/>
      <w:pPr>
        <w:tabs>
          <w:tab w:val="num" w:pos="720"/>
        </w:tabs>
        <w:ind w:left="72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84">
    <w:nsid w:val="3A4D5448"/>
    <w:multiLevelType w:val="hybridMultilevel"/>
    <w:tmpl w:val="14927B56"/>
    <w:lvl w:ilvl="0">
      <w:start w:val="0"/>
      <w:numFmt w:val="bullet"/>
      <w:lvlText w:val="-"/>
      <w:lvlJc w:val="left"/>
      <w:pPr>
        <w:tabs>
          <w:tab w:val="num" w:pos="780"/>
        </w:tabs>
        <w:ind w:left="780" w:hanging="360"/>
      </w:pPr>
      <w:rPr>
        <w:rFonts w:ascii="Times New Roman" w:hAnsi="Times New Roman" w:cs="Times New Roman"/>
        <w:rtl w:val="0"/>
      </w:rPr>
    </w:lvl>
    <w:lvl w:ilvl="1">
      <w:start w:val="1"/>
      <w:numFmt w:val="bullet"/>
      <w:lvlText w:val="o"/>
      <w:lvlJc w:val="left"/>
      <w:pPr>
        <w:tabs>
          <w:tab w:val="num" w:pos="1500"/>
        </w:tabs>
        <w:ind w:left="1500" w:hanging="360"/>
      </w:pPr>
      <w:rPr>
        <w:rFonts w:ascii="Courier New" w:hAnsi="Courier New" w:cs="Courier New"/>
        <w:rtl w:val="0"/>
      </w:rPr>
    </w:lvl>
    <w:lvl w:ilvl="2">
      <w:start w:val="1"/>
      <w:numFmt w:val="bullet"/>
      <w:lvlText w:val=""/>
      <w:lvlJc w:val="left"/>
      <w:pPr>
        <w:tabs>
          <w:tab w:val="num" w:pos="2220"/>
        </w:tabs>
        <w:ind w:left="2220" w:hanging="360"/>
      </w:pPr>
      <w:rPr>
        <w:rFonts w:ascii="Wingdings" w:hAnsi="Wingdings"/>
        <w:rtl w:val="0"/>
      </w:rPr>
    </w:lvl>
    <w:lvl w:ilvl="3">
      <w:start w:val="1"/>
      <w:numFmt w:val="bullet"/>
      <w:lvlText w:val=""/>
      <w:lvlJc w:val="left"/>
      <w:pPr>
        <w:tabs>
          <w:tab w:val="num" w:pos="2940"/>
        </w:tabs>
        <w:ind w:left="2940" w:hanging="360"/>
      </w:pPr>
      <w:rPr>
        <w:rFonts w:ascii="Symbol" w:hAnsi="Symbol"/>
        <w:rtl w:val="0"/>
      </w:rPr>
    </w:lvl>
    <w:lvl w:ilvl="4">
      <w:start w:val="1"/>
      <w:numFmt w:val="bullet"/>
      <w:lvlText w:val="o"/>
      <w:lvlJc w:val="left"/>
      <w:pPr>
        <w:tabs>
          <w:tab w:val="num" w:pos="3660"/>
        </w:tabs>
        <w:ind w:left="3660" w:hanging="360"/>
      </w:pPr>
      <w:rPr>
        <w:rFonts w:ascii="Courier New" w:hAnsi="Courier New" w:cs="Courier New"/>
        <w:rtl w:val="0"/>
      </w:rPr>
    </w:lvl>
    <w:lvl w:ilvl="5">
      <w:start w:val="1"/>
      <w:numFmt w:val="bullet"/>
      <w:lvlText w:val=""/>
      <w:lvlJc w:val="left"/>
      <w:pPr>
        <w:tabs>
          <w:tab w:val="num" w:pos="4380"/>
        </w:tabs>
        <w:ind w:left="4380" w:hanging="360"/>
      </w:pPr>
      <w:rPr>
        <w:rFonts w:ascii="Wingdings" w:hAnsi="Wingdings"/>
        <w:rtl w:val="0"/>
      </w:rPr>
    </w:lvl>
    <w:lvl w:ilvl="6">
      <w:start w:val="1"/>
      <w:numFmt w:val="bullet"/>
      <w:lvlText w:val=""/>
      <w:lvlJc w:val="left"/>
      <w:pPr>
        <w:tabs>
          <w:tab w:val="num" w:pos="5100"/>
        </w:tabs>
        <w:ind w:left="5100" w:hanging="360"/>
      </w:pPr>
      <w:rPr>
        <w:rFonts w:ascii="Symbol" w:hAnsi="Symbol"/>
        <w:rtl w:val="0"/>
      </w:rPr>
    </w:lvl>
    <w:lvl w:ilvl="7">
      <w:start w:val="1"/>
      <w:numFmt w:val="bullet"/>
      <w:lvlText w:val="o"/>
      <w:lvlJc w:val="left"/>
      <w:pPr>
        <w:tabs>
          <w:tab w:val="num" w:pos="5820"/>
        </w:tabs>
        <w:ind w:left="5820" w:hanging="360"/>
      </w:pPr>
      <w:rPr>
        <w:rFonts w:ascii="Courier New" w:hAnsi="Courier New" w:cs="Courier New"/>
        <w:rtl w:val="0"/>
      </w:rPr>
    </w:lvl>
    <w:lvl w:ilvl="8">
      <w:start w:val="1"/>
      <w:numFmt w:val="bullet"/>
      <w:lvlText w:val=""/>
      <w:lvlJc w:val="left"/>
      <w:pPr>
        <w:tabs>
          <w:tab w:val="num" w:pos="6540"/>
        </w:tabs>
        <w:ind w:left="6540" w:hanging="360"/>
      </w:pPr>
      <w:rPr>
        <w:rFonts w:ascii="Wingdings" w:hAnsi="Wingdings"/>
        <w:rtl w:val="0"/>
      </w:rPr>
    </w:lvl>
  </w:abstractNum>
  <w:abstractNum w:abstractNumId="85">
    <w:nsid w:val="3AA473DD"/>
    <w:multiLevelType w:val="hybridMultilevel"/>
    <w:tmpl w:val="7E6A1F66"/>
    <w:lvl w:ilvl="0">
      <w:start w:val="1"/>
      <w:numFmt w:val="bullet"/>
      <w:lvlText w:val=""/>
      <w:lvlJc w:val="left"/>
      <w:pPr>
        <w:tabs>
          <w:tab w:val="num" w:pos="1260"/>
        </w:tabs>
        <w:ind w:left="1260" w:hanging="360"/>
      </w:pPr>
      <w:rPr>
        <w:rFonts w:ascii="Wingdings" w:hAnsi="Wingdings"/>
        <w:rtl w:val="0"/>
      </w:rPr>
    </w:lvl>
    <w:lvl w:ilvl="1">
      <w:start w:val="1"/>
      <w:numFmt w:val="bullet"/>
      <w:lvlText w:val="o"/>
      <w:lvlJc w:val="left"/>
      <w:pPr>
        <w:tabs>
          <w:tab w:val="num" w:pos="1980"/>
        </w:tabs>
        <w:ind w:left="1980" w:hanging="360"/>
      </w:pPr>
      <w:rPr>
        <w:rFonts w:ascii="Courier New" w:hAnsi="Courier New" w:cs="Courier New"/>
        <w:rtl w:val="0"/>
      </w:rPr>
    </w:lvl>
    <w:lvl w:ilvl="2">
      <w:start w:val="1"/>
      <w:numFmt w:val="bullet"/>
      <w:lvlText w:val=""/>
      <w:lvlJc w:val="left"/>
      <w:pPr>
        <w:tabs>
          <w:tab w:val="num" w:pos="2700"/>
        </w:tabs>
        <w:ind w:left="2700" w:hanging="360"/>
      </w:pPr>
      <w:rPr>
        <w:rFonts w:ascii="Wingdings" w:hAnsi="Wingdings"/>
        <w:rtl w:val="0"/>
      </w:rPr>
    </w:lvl>
    <w:lvl w:ilvl="3">
      <w:start w:val="1"/>
      <w:numFmt w:val="bullet"/>
      <w:lvlText w:val=""/>
      <w:lvlJc w:val="left"/>
      <w:pPr>
        <w:tabs>
          <w:tab w:val="num" w:pos="3420"/>
        </w:tabs>
        <w:ind w:left="3420" w:hanging="360"/>
      </w:pPr>
      <w:rPr>
        <w:rFonts w:ascii="Symbol" w:hAnsi="Symbol"/>
        <w:rtl w:val="0"/>
      </w:rPr>
    </w:lvl>
    <w:lvl w:ilvl="4">
      <w:start w:val="1"/>
      <w:numFmt w:val="bullet"/>
      <w:lvlText w:val="o"/>
      <w:lvlJc w:val="left"/>
      <w:pPr>
        <w:tabs>
          <w:tab w:val="num" w:pos="4140"/>
        </w:tabs>
        <w:ind w:left="4140" w:hanging="360"/>
      </w:pPr>
      <w:rPr>
        <w:rFonts w:ascii="Courier New" w:hAnsi="Courier New" w:cs="Courier New"/>
        <w:rtl w:val="0"/>
      </w:rPr>
    </w:lvl>
    <w:lvl w:ilvl="5">
      <w:start w:val="1"/>
      <w:numFmt w:val="bullet"/>
      <w:lvlText w:val=""/>
      <w:lvlJc w:val="left"/>
      <w:pPr>
        <w:tabs>
          <w:tab w:val="num" w:pos="4860"/>
        </w:tabs>
        <w:ind w:left="4860" w:hanging="360"/>
      </w:pPr>
      <w:rPr>
        <w:rFonts w:ascii="Wingdings" w:hAnsi="Wingdings"/>
        <w:rtl w:val="0"/>
      </w:rPr>
    </w:lvl>
    <w:lvl w:ilvl="6">
      <w:start w:val="1"/>
      <w:numFmt w:val="bullet"/>
      <w:lvlText w:val=""/>
      <w:lvlJc w:val="left"/>
      <w:pPr>
        <w:tabs>
          <w:tab w:val="num" w:pos="5580"/>
        </w:tabs>
        <w:ind w:left="5580" w:hanging="360"/>
      </w:pPr>
      <w:rPr>
        <w:rFonts w:ascii="Symbol" w:hAnsi="Symbol"/>
        <w:rtl w:val="0"/>
      </w:rPr>
    </w:lvl>
    <w:lvl w:ilvl="7">
      <w:start w:val="1"/>
      <w:numFmt w:val="bullet"/>
      <w:lvlText w:val="o"/>
      <w:lvlJc w:val="left"/>
      <w:pPr>
        <w:tabs>
          <w:tab w:val="num" w:pos="6300"/>
        </w:tabs>
        <w:ind w:left="6300" w:hanging="360"/>
      </w:pPr>
      <w:rPr>
        <w:rFonts w:ascii="Courier New" w:hAnsi="Courier New" w:cs="Courier New"/>
        <w:rtl w:val="0"/>
      </w:rPr>
    </w:lvl>
    <w:lvl w:ilvl="8">
      <w:start w:val="1"/>
      <w:numFmt w:val="bullet"/>
      <w:lvlText w:val=""/>
      <w:lvlJc w:val="left"/>
      <w:pPr>
        <w:tabs>
          <w:tab w:val="num" w:pos="7020"/>
        </w:tabs>
        <w:ind w:left="7020" w:hanging="360"/>
      </w:pPr>
      <w:rPr>
        <w:rFonts w:ascii="Wingdings" w:hAnsi="Wingdings"/>
        <w:rtl w:val="0"/>
      </w:rPr>
    </w:lvl>
  </w:abstractNum>
  <w:abstractNum w:abstractNumId="86">
    <w:nsid w:val="3BD21671"/>
    <w:multiLevelType w:val="hybridMultilevel"/>
    <w:tmpl w:val="245AD530"/>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87">
    <w:nsid w:val="3C262D45"/>
    <w:multiLevelType w:val="multilevel"/>
    <w:tmpl w:val="C92A0B8E"/>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88">
    <w:nsid w:val="3EB573F8"/>
    <w:multiLevelType w:val="multilevel"/>
    <w:tmpl w:val="777090EA"/>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9">
    <w:nsid w:val="3FB412DC"/>
    <w:multiLevelType w:val="multilevel"/>
    <w:tmpl w:val="744051B2"/>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0">
    <w:nsid w:val="40BA562A"/>
    <w:multiLevelType w:val="hybridMultilevel"/>
    <w:tmpl w:val="64EC3CCA"/>
    <w:lvl w:ilvl="0">
      <w:start w:val="1"/>
      <w:numFmt w:val="bullet"/>
      <w:lvlText w:val=""/>
      <w:lvlJc w:val="left"/>
      <w:pPr>
        <w:tabs>
          <w:tab w:val="num" w:pos="720"/>
        </w:tabs>
        <w:ind w:left="720" w:hanging="360"/>
      </w:pPr>
      <w:rPr>
        <w:rFonts w:ascii="Wingdings" w:hAnsi="Wingdings"/>
        <w:rtl w:val="0"/>
      </w:rPr>
    </w:lvl>
    <w:lvl w:ilvl="1">
      <w:start w:val="3"/>
      <w:numFmt w:val="bullet"/>
      <w:lvlText w:val="-"/>
      <w:lvlJc w:val="left"/>
      <w:pPr>
        <w:tabs>
          <w:tab w:val="num" w:pos="1440"/>
        </w:tabs>
        <w:ind w:left="1440" w:hanging="360"/>
      </w:pPr>
      <w:rPr>
        <w:rFonts w:ascii="Times New Roman" w:hAnsi="Times New Roman" w:cs="Times New Roman"/>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91">
    <w:nsid w:val="42FE4CDA"/>
    <w:multiLevelType w:val="hybridMultilevel"/>
    <w:tmpl w:val="112651A6"/>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92">
    <w:nsid w:val="433225C6"/>
    <w:multiLevelType w:val="hybridMultilevel"/>
    <w:tmpl w:val="8D0A488E"/>
    <w:lvl w:ilvl="0">
      <w:start w:val="25"/>
      <w:numFmt w:val="bullet"/>
      <w:lvlText w:val=""/>
      <w:lvlJc w:val="left"/>
      <w:pPr>
        <w:tabs>
          <w:tab w:val="num" w:pos="960"/>
        </w:tabs>
        <w:ind w:left="960" w:hanging="360"/>
      </w:pPr>
      <w:rPr>
        <w:rFonts w:ascii="Symbol" w:hAnsi="Symbol" w:cs="Times New Roman"/>
        <w:b/>
        <w:rtl w:val="0"/>
      </w:rPr>
    </w:lvl>
    <w:lvl w:ilvl="1">
      <w:start w:val="1"/>
      <w:numFmt w:val="bullet"/>
      <w:lvlText w:val="o"/>
      <w:lvlJc w:val="left"/>
      <w:pPr>
        <w:tabs>
          <w:tab w:val="num" w:pos="1680"/>
        </w:tabs>
        <w:ind w:left="1680" w:hanging="360"/>
      </w:pPr>
      <w:rPr>
        <w:rFonts w:ascii="Courier New" w:hAnsi="Courier New"/>
        <w:rtl w:val="0"/>
      </w:rPr>
    </w:lvl>
    <w:lvl w:ilvl="2">
      <w:start w:val="1"/>
      <w:numFmt w:val="bullet"/>
      <w:lvlText w:val=""/>
      <w:lvlJc w:val="left"/>
      <w:pPr>
        <w:tabs>
          <w:tab w:val="num" w:pos="2400"/>
        </w:tabs>
        <w:ind w:left="2400" w:hanging="360"/>
      </w:pPr>
      <w:rPr>
        <w:rFonts w:ascii="Wingdings" w:hAnsi="Wingdings"/>
        <w:rtl w:val="0"/>
      </w:rPr>
    </w:lvl>
    <w:lvl w:ilvl="3">
      <w:start w:val="1"/>
      <w:numFmt w:val="bullet"/>
      <w:lvlText w:val=""/>
      <w:lvlJc w:val="left"/>
      <w:pPr>
        <w:tabs>
          <w:tab w:val="num" w:pos="3120"/>
        </w:tabs>
        <w:ind w:left="3120" w:hanging="360"/>
      </w:pPr>
      <w:rPr>
        <w:rFonts w:ascii="Symbol" w:hAnsi="Symbol"/>
        <w:rtl w:val="0"/>
      </w:rPr>
    </w:lvl>
    <w:lvl w:ilvl="4">
      <w:start w:val="1"/>
      <w:numFmt w:val="bullet"/>
      <w:lvlText w:val="o"/>
      <w:lvlJc w:val="left"/>
      <w:pPr>
        <w:tabs>
          <w:tab w:val="num" w:pos="3840"/>
        </w:tabs>
        <w:ind w:left="3840" w:hanging="360"/>
      </w:pPr>
      <w:rPr>
        <w:rFonts w:ascii="Courier New" w:hAnsi="Courier New"/>
        <w:rtl w:val="0"/>
      </w:rPr>
    </w:lvl>
    <w:lvl w:ilvl="5">
      <w:start w:val="1"/>
      <w:numFmt w:val="bullet"/>
      <w:lvlText w:val=""/>
      <w:lvlJc w:val="left"/>
      <w:pPr>
        <w:tabs>
          <w:tab w:val="num" w:pos="4560"/>
        </w:tabs>
        <w:ind w:left="4560" w:hanging="360"/>
      </w:pPr>
      <w:rPr>
        <w:rFonts w:ascii="Wingdings" w:hAnsi="Wingdings"/>
        <w:rtl w:val="0"/>
      </w:rPr>
    </w:lvl>
    <w:lvl w:ilvl="6">
      <w:start w:val="1"/>
      <w:numFmt w:val="bullet"/>
      <w:lvlText w:val=""/>
      <w:lvlJc w:val="left"/>
      <w:pPr>
        <w:tabs>
          <w:tab w:val="num" w:pos="5280"/>
        </w:tabs>
        <w:ind w:left="5280" w:hanging="360"/>
      </w:pPr>
      <w:rPr>
        <w:rFonts w:ascii="Symbol" w:hAnsi="Symbol"/>
        <w:rtl w:val="0"/>
      </w:rPr>
    </w:lvl>
    <w:lvl w:ilvl="7">
      <w:start w:val="1"/>
      <w:numFmt w:val="bullet"/>
      <w:lvlText w:val="o"/>
      <w:lvlJc w:val="left"/>
      <w:pPr>
        <w:tabs>
          <w:tab w:val="num" w:pos="6000"/>
        </w:tabs>
        <w:ind w:left="6000" w:hanging="360"/>
      </w:pPr>
      <w:rPr>
        <w:rFonts w:ascii="Courier New" w:hAnsi="Courier New"/>
        <w:rtl w:val="0"/>
      </w:rPr>
    </w:lvl>
    <w:lvl w:ilvl="8">
      <w:start w:val="1"/>
      <w:numFmt w:val="bullet"/>
      <w:lvlText w:val=""/>
      <w:lvlJc w:val="left"/>
      <w:pPr>
        <w:tabs>
          <w:tab w:val="num" w:pos="6720"/>
        </w:tabs>
        <w:ind w:left="6720" w:hanging="360"/>
      </w:pPr>
      <w:rPr>
        <w:rFonts w:ascii="Wingdings" w:hAnsi="Wingdings"/>
        <w:rtl w:val="0"/>
      </w:rPr>
    </w:lvl>
  </w:abstractNum>
  <w:abstractNum w:abstractNumId="93">
    <w:nsid w:val="43804B05"/>
    <w:multiLevelType w:val="hybridMultilevel"/>
    <w:tmpl w:val="1A88141E"/>
    <w:lvl w:ilvl="0">
      <w:start w:val="1"/>
      <w:numFmt w:val="bullet"/>
      <w:lvlText w:val=""/>
      <w:lvlJc w:val="left"/>
      <w:pPr>
        <w:tabs>
          <w:tab w:val="num" w:pos="360"/>
        </w:tabs>
        <w:ind w:left="360" w:hanging="360"/>
      </w:pPr>
      <w:rPr>
        <w:rFonts w:ascii="Wingdings" w:hAnsi="Wingdings"/>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94">
    <w:nsid w:val="455103C8"/>
    <w:multiLevelType w:val="hybridMultilevel"/>
    <w:tmpl w:val="31A299C8"/>
    <w:lvl w:ilvl="0">
      <w:start w:val="1"/>
      <w:numFmt w:val="bullet"/>
      <w:lvlText w:val=""/>
      <w:lvlJc w:val="left"/>
      <w:pPr>
        <w:tabs>
          <w:tab w:val="num" w:pos="720"/>
        </w:tabs>
        <w:ind w:left="720" w:hanging="360"/>
      </w:pPr>
      <w:rPr>
        <w:rFonts w:ascii="Symbol" w:hAnsi="Symbol"/>
        <w:color w:val="auto"/>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95">
    <w:nsid w:val="464B7CA0"/>
    <w:multiLevelType w:val="hybridMultilevel"/>
    <w:tmpl w:val="B8A0597E"/>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96">
    <w:nsid w:val="484D6638"/>
    <w:multiLevelType w:val="multilevel"/>
    <w:tmpl w:val="1020EA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48844586"/>
    <w:multiLevelType w:val="hybridMultilevel"/>
    <w:tmpl w:val="0D98D9A0"/>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98">
    <w:nsid w:val="4A6136FF"/>
    <w:multiLevelType w:val="singleLevel"/>
    <w:tmpl w:val="F202013E"/>
    <w:lvl w:ilvl="0">
      <w:start w:val="4"/>
      <w:numFmt w:val="bullet"/>
      <w:lvlText w:val="-"/>
      <w:lvlJc w:val="left"/>
      <w:pPr>
        <w:tabs>
          <w:tab w:val="num" w:pos="360"/>
        </w:tabs>
        <w:ind w:left="360" w:hanging="360"/>
      </w:pPr>
    </w:lvl>
  </w:abstractNum>
  <w:abstractNum w:abstractNumId="99">
    <w:nsid w:val="4B792C31"/>
    <w:multiLevelType w:val="multilevel"/>
    <w:tmpl w:val="DFAAFF08"/>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3"/>
      <w:numFmt w:val="bullet"/>
      <w:lvlText w:val="–"/>
      <w:lvlJc w:val="left"/>
      <w:pPr>
        <w:tabs>
          <w:tab w:val="num" w:pos="2160"/>
        </w:tabs>
        <w:ind w:left="2160" w:hanging="360"/>
      </w:pPr>
      <w:rPr>
        <w:rFonts w:ascii="Times New Roman" w:hAnsi="Times New Roman" w:cs="Times New Roman"/>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00">
    <w:nsid w:val="4CBA2E62"/>
    <w:multiLevelType w:val="hybridMultilevel"/>
    <w:tmpl w:val="2648F890"/>
    <w:lvl w:ilvl="0">
      <w:start w:val="1"/>
      <w:numFmt w:val="bullet"/>
      <w:lvlText w:val=""/>
      <w:lvlJc w:val="left"/>
      <w:pPr>
        <w:tabs>
          <w:tab w:val="num" w:pos="1428"/>
        </w:tabs>
        <w:ind w:left="1428" w:hanging="360"/>
      </w:pPr>
      <w:rPr>
        <w:rFonts w:ascii="Wingdings" w:hAnsi="Wingdings"/>
        <w:rtl w:val="0"/>
      </w:rPr>
    </w:lvl>
    <w:lvl w:ilvl="1">
      <w:start w:val="1"/>
      <w:numFmt w:val="bullet"/>
      <w:lvlText w:val="o"/>
      <w:lvlJc w:val="left"/>
      <w:pPr>
        <w:tabs>
          <w:tab w:val="num" w:pos="2148"/>
        </w:tabs>
        <w:ind w:left="2148" w:hanging="360"/>
      </w:pPr>
      <w:rPr>
        <w:rFonts w:ascii="Courier New" w:hAnsi="Courier New" w:cs="Courier New"/>
        <w:rtl w:val="0"/>
      </w:rPr>
    </w:lvl>
    <w:lvl w:ilvl="2">
      <w:start w:val="1"/>
      <w:numFmt w:val="bullet"/>
      <w:lvlText w:val=""/>
      <w:lvlJc w:val="left"/>
      <w:pPr>
        <w:tabs>
          <w:tab w:val="num" w:pos="2868"/>
        </w:tabs>
        <w:ind w:left="2868" w:hanging="360"/>
      </w:pPr>
      <w:rPr>
        <w:rFonts w:ascii="Wingdings" w:hAnsi="Wingdings"/>
        <w:rtl w:val="0"/>
      </w:rPr>
    </w:lvl>
    <w:lvl w:ilvl="3">
      <w:start w:val="1"/>
      <w:numFmt w:val="bullet"/>
      <w:lvlText w:val=""/>
      <w:lvlJc w:val="left"/>
      <w:pPr>
        <w:tabs>
          <w:tab w:val="num" w:pos="3588"/>
        </w:tabs>
        <w:ind w:left="3588" w:hanging="360"/>
      </w:pPr>
      <w:rPr>
        <w:rFonts w:ascii="Symbol" w:hAnsi="Symbol"/>
        <w:rtl w:val="0"/>
      </w:rPr>
    </w:lvl>
    <w:lvl w:ilvl="4">
      <w:start w:val="1"/>
      <w:numFmt w:val="bullet"/>
      <w:lvlText w:val="o"/>
      <w:lvlJc w:val="left"/>
      <w:pPr>
        <w:tabs>
          <w:tab w:val="num" w:pos="4308"/>
        </w:tabs>
        <w:ind w:left="4308" w:hanging="360"/>
      </w:pPr>
      <w:rPr>
        <w:rFonts w:ascii="Courier New" w:hAnsi="Courier New" w:cs="Courier New"/>
        <w:rtl w:val="0"/>
      </w:rPr>
    </w:lvl>
    <w:lvl w:ilvl="5">
      <w:start w:val="1"/>
      <w:numFmt w:val="bullet"/>
      <w:lvlText w:val=""/>
      <w:lvlJc w:val="left"/>
      <w:pPr>
        <w:tabs>
          <w:tab w:val="num" w:pos="5028"/>
        </w:tabs>
        <w:ind w:left="5028" w:hanging="360"/>
      </w:pPr>
      <w:rPr>
        <w:rFonts w:ascii="Wingdings" w:hAnsi="Wingdings"/>
        <w:rtl w:val="0"/>
      </w:rPr>
    </w:lvl>
    <w:lvl w:ilvl="6">
      <w:start w:val="1"/>
      <w:numFmt w:val="bullet"/>
      <w:lvlText w:val=""/>
      <w:lvlJc w:val="left"/>
      <w:pPr>
        <w:tabs>
          <w:tab w:val="num" w:pos="5748"/>
        </w:tabs>
        <w:ind w:left="5748" w:hanging="360"/>
      </w:pPr>
      <w:rPr>
        <w:rFonts w:ascii="Symbol" w:hAnsi="Symbol"/>
        <w:rtl w:val="0"/>
      </w:rPr>
    </w:lvl>
    <w:lvl w:ilvl="7">
      <w:start w:val="1"/>
      <w:numFmt w:val="bullet"/>
      <w:lvlText w:val="o"/>
      <w:lvlJc w:val="left"/>
      <w:pPr>
        <w:tabs>
          <w:tab w:val="num" w:pos="6468"/>
        </w:tabs>
        <w:ind w:left="6468" w:hanging="360"/>
      </w:pPr>
      <w:rPr>
        <w:rFonts w:ascii="Courier New" w:hAnsi="Courier New" w:cs="Courier New"/>
        <w:rtl w:val="0"/>
      </w:rPr>
    </w:lvl>
    <w:lvl w:ilvl="8">
      <w:start w:val="1"/>
      <w:numFmt w:val="bullet"/>
      <w:lvlText w:val=""/>
      <w:lvlJc w:val="left"/>
      <w:pPr>
        <w:tabs>
          <w:tab w:val="num" w:pos="7188"/>
        </w:tabs>
        <w:ind w:left="7188" w:hanging="360"/>
      </w:pPr>
      <w:rPr>
        <w:rFonts w:ascii="Wingdings" w:hAnsi="Wingdings"/>
        <w:rtl w:val="0"/>
      </w:rPr>
    </w:lvl>
  </w:abstractNum>
  <w:abstractNum w:abstractNumId="101">
    <w:nsid w:val="4D173444"/>
    <w:multiLevelType w:val="singleLevel"/>
    <w:tmpl w:val="041B0015"/>
    <w:lvl w:ilvl="0">
      <w:start w:val="1"/>
      <w:numFmt w:val="upperLetter"/>
      <w:lvlText w:val="%1."/>
      <w:lvlJc w:val="left"/>
      <w:pPr>
        <w:tabs>
          <w:tab w:val="num" w:pos="360"/>
        </w:tabs>
        <w:ind w:left="360" w:hanging="360"/>
      </w:pPr>
    </w:lvl>
  </w:abstractNum>
  <w:abstractNum w:abstractNumId="102">
    <w:nsid w:val="4FBA5AAA"/>
    <w:multiLevelType w:val="hybridMultilevel"/>
    <w:tmpl w:val="0E2CF3E8"/>
    <w:lvl w:ilvl="0">
      <w:start w:val="1"/>
      <w:numFmt w:val="bullet"/>
      <w:lvlText w:val=""/>
      <w:lvlJc w:val="left"/>
      <w:pPr>
        <w:tabs>
          <w:tab w:val="num" w:pos="1260"/>
        </w:tabs>
        <w:ind w:left="1260" w:hanging="360"/>
      </w:pPr>
      <w:rPr>
        <w:rFonts w:ascii="Wingdings" w:hAnsi="Wingdings"/>
        <w:rtl w:val="0"/>
      </w:rPr>
    </w:lvl>
    <w:lvl w:ilvl="1">
      <w:start w:val="1"/>
      <w:numFmt w:val="bullet"/>
      <w:lvlText w:val="o"/>
      <w:lvlJc w:val="left"/>
      <w:pPr>
        <w:tabs>
          <w:tab w:val="num" w:pos="1980"/>
        </w:tabs>
        <w:ind w:left="1980" w:hanging="360"/>
      </w:pPr>
      <w:rPr>
        <w:rFonts w:ascii="Courier New" w:hAnsi="Courier New" w:cs="Courier New"/>
        <w:rtl w:val="0"/>
      </w:rPr>
    </w:lvl>
    <w:lvl w:ilvl="2">
      <w:start w:val="1"/>
      <w:numFmt w:val="bullet"/>
      <w:lvlText w:val=""/>
      <w:lvlJc w:val="left"/>
      <w:pPr>
        <w:tabs>
          <w:tab w:val="num" w:pos="2700"/>
        </w:tabs>
        <w:ind w:left="2700" w:hanging="360"/>
      </w:pPr>
      <w:rPr>
        <w:rFonts w:ascii="Wingdings" w:hAnsi="Wingdings"/>
        <w:rtl w:val="0"/>
      </w:rPr>
    </w:lvl>
    <w:lvl w:ilvl="3">
      <w:start w:val="1"/>
      <w:numFmt w:val="bullet"/>
      <w:lvlText w:val=""/>
      <w:lvlJc w:val="left"/>
      <w:pPr>
        <w:tabs>
          <w:tab w:val="num" w:pos="3420"/>
        </w:tabs>
        <w:ind w:left="3420" w:hanging="360"/>
      </w:pPr>
      <w:rPr>
        <w:rFonts w:ascii="Symbol" w:hAnsi="Symbol"/>
        <w:rtl w:val="0"/>
      </w:rPr>
    </w:lvl>
    <w:lvl w:ilvl="4">
      <w:start w:val="1"/>
      <w:numFmt w:val="bullet"/>
      <w:lvlText w:val="o"/>
      <w:lvlJc w:val="left"/>
      <w:pPr>
        <w:tabs>
          <w:tab w:val="num" w:pos="4140"/>
        </w:tabs>
        <w:ind w:left="4140" w:hanging="360"/>
      </w:pPr>
      <w:rPr>
        <w:rFonts w:ascii="Courier New" w:hAnsi="Courier New" w:cs="Courier New"/>
        <w:rtl w:val="0"/>
      </w:rPr>
    </w:lvl>
    <w:lvl w:ilvl="5">
      <w:start w:val="1"/>
      <w:numFmt w:val="bullet"/>
      <w:lvlText w:val=""/>
      <w:lvlJc w:val="left"/>
      <w:pPr>
        <w:tabs>
          <w:tab w:val="num" w:pos="4860"/>
        </w:tabs>
        <w:ind w:left="4860" w:hanging="360"/>
      </w:pPr>
      <w:rPr>
        <w:rFonts w:ascii="Wingdings" w:hAnsi="Wingdings"/>
        <w:rtl w:val="0"/>
      </w:rPr>
    </w:lvl>
    <w:lvl w:ilvl="6">
      <w:start w:val="1"/>
      <w:numFmt w:val="bullet"/>
      <w:lvlText w:val=""/>
      <w:lvlJc w:val="left"/>
      <w:pPr>
        <w:tabs>
          <w:tab w:val="num" w:pos="5580"/>
        </w:tabs>
        <w:ind w:left="5580" w:hanging="360"/>
      </w:pPr>
      <w:rPr>
        <w:rFonts w:ascii="Symbol" w:hAnsi="Symbol"/>
        <w:rtl w:val="0"/>
      </w:rPr>
    </w:lvl>
    <w:lvl w:ilvl="7">
      <w:start w:val="1"/>
      <w:numFmt w:val="bullet"/>
      <w:lvlText w:val="o"/>
      <w:lvlJc w:val="left"/>
      <w:pPr>
        <w:tabs>
          <w:tab w:val="num" w:pos="6300"/>
        </w:tabs>
        <w:ind w:left="6300" w:hanging="360"/>
      </w:pPr>
      <w:rPr>
        <w:rFonts w:ascii="Courier New" w:hAnsi="Courier New" w:cs="Courier New"/>
        <w:rtl w:val="0"/>
      </w:rPr>
    </w:lvl>
    <w:lvl w:ilvl="8">
      <w:start w:val="1"/>
      <w:numFmt w:val="bullet"/>
      <w:lvlText w:val=""/>
      <w:lvlJc w:val="left"/>
      <w:pPr>
        <w:tabs>
          <w:tab w:val="num" w:pos="7020"/>
        </w:tabs>
        <w:ind w:left="7020" w:hanging="360"/>
      </w:pPr>
      <w:rPr>
        <w:rFonts w:ascii="Wingdings" w:hAnsi="Wingdings"/>
        <w:rtl w:val="0"/>
      </w:rPr>
    </w:lvl>
  </w:abstractNum>
  <w:abstractNum w:abstractNumId="103">
    <w:nsid w:val="52C33AAE"/>
    <w:multiLevelType w:val="hybridMultilevel"/>
    <w:tmpl w:val="CEE497EE"/>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04">
    <w:nsid w:val="53496952"/>
    <w:multiLevelType w:val="multilevel"/>
    <w:tmpl w:val="5DBEA9B6"/>
    <w:lvl w:ilvl="0">
      <w:start w:val="5"/>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5">
    <w:nsid w:val="53B33F54"/>
    <w:multiLevelType w:val="hybridMultilevel"/>
    <w:tmpl w:val="89AC274A"/>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06">
    <w:nsid w:val="55BA7A20"/>
    <w:multiLevelType w:val="hybridMultilevel"/>
    <w:tmpl w:val="E1E25078"/>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07">
    <w:nsid w:val="563E5685"/>
    <w:multiLevelType w:val="multilevel"/>
    <w:tmpl w:val="EC0E67D4"/>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8">
    <w:nsid w:val="565F3553"/>
    <w:multiLevelType w:val="hybridMultilevel"/>
    <w:tmpl w:val="DFB23BF2"/>
    <w:lvl w:ilvl="0">
      <w:start w:val="1"/>
      <w:numFmt w:val="bullet"/>
      <w:lvlText w:val=""/>
      <w:lvlJc w:val="left"/>
      <w:pPr>
        <w:tabs>
          <w:tab w:val="num" w:pos="720"/>
        </w:tabs>
        <w:ind w:left="720" w:hanging="360"/>
      </w:pPr>
      <w:rPr>
        <w:rFonts w:ascii="Wingdings" w:hAnsi="Wingdings"/>
        <w:rtl w:val="0"/>
      </w:rPr>
    </w:lvl>
    <w:lvl w:ilvl="1">
      <w:start w:val="2"/>
      <w:numFmt w:val="bullet"/>
      <w:lvlText w:val="-"/>
      <w:lvlJc w:val="left"/>
      <w:pPr>
        <w:tabs>
          <w:tab w:val="num" w:pos="1440"/>
        </w:tabs>
        <w:ind w:left="1440" w:hanging="360"/>
      </w:pPr>
      <w:rPr>
        <w:rFonts w:ascii="Times New Roman" w:hAnsi="Times New Roman" w:cs="Times New Roman"/>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09">
    <w:nsid w:val="57AC24F2"/>
    <w:multiLevelType w:val="hybridMultilevel"/>
    <w:tmpl w:val="7FFC4966"/>
    <w:lvl w:ilvl="0">
      <w:start w:val="2"/>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10">
    <w:nsid w:val="5A302370"/>
    <w:multiLevelType w:val="multilevel"/>
    <w:tmpl w:val="DFB23BF2"/>
    <w:lvl w:ilvl="0">
      <w:start w:val="1"/>
      <w:numFmt w:val="bullet"/>
      <w:lvlText w:val=""/>
      <w:lvlJc w:val="left"/>
      <w:pPr>
        <w:tabs>
          <w:tab w:val="num" w:pos="720"/>
        </w:tabs>
        <w:ind w:left="720" w:hanging="360"/>
      </w:pPr>
      <w:rPr>
        <w:rFonts w:ascii="Wingdings" w:hAnsi="Wingdings"/>
        <w:rtl w:val="0"/>
      </w:rPr>
    </w:lvl>
    <w:lvl w:ilvl="1">
      <w:start w:val="2"/>
      <w:numFmt w:val="bullet"/>
      <w:lvlText w:val="-"/>
      <w:lvlJc w:val="left"/>
      <w:pPr>
        <w:tabs>
          <w:tab w:val="num" w:pos="1440"/>
        </w:tabs>
        <w:ind w:left="1440" w:hanging="360"/>
      </w:pPr>
      <w:rPr>
        <w:rFonts w:ascii="Times New Roman" w:hAnsi="Times New Roman" w:cs="Times New Roman"/>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11">
    <w:nsid w:val="5B547F3A"/>
    <w:multiLevelType w:val="hybridMultilevel"/>
    <w:tmpl w:val="34DE7978"/>
    <w:lvl w:ilvl="0">
      <w:start w:val="1"/>
      <w:numFmt w:val="bullet"/>
      <w:lvlText w:val=""/>
      <w:lvlJc w:val="left"/>
      <w:pPr>
        <w:tabs>
          <w:tab w:val="num" w:pos="1320"/>
        </w:tabs>
        <w:ind w:left="1320" w:hanging="360"/>
      </w:pPr>
      <w:rPr>
        <w:rFonts w:ascii="Wingdings" w:hAnsi="Wingdings"/>
        <w:rtl w:val="0"/>
      </w:rPr>
    </w:lvl>
    <w:lvl w:ilvl="1">
      <w:start w:val="1"/>
      <w:numFmt w:val="bullet"/>
      <w:lvlText w:val="o"/>
      <w:lvlJc w:val="left"/>
      <w:pPr>
        <w:tabs>
          <w:tab w:val="num" w:pos="2040"/>
        </w:tabs>
        <w:ind w:left="2040" w:hanging="360"/>
      </w:pPr>
      <w:rPr>
        <w:rFonts w:ascii="Courier New" w:hAnsi="Courier New" w:cs="Courier New"/>
        <w:rtl w:val="0"/>
      </w:rPr>
    </w:lvl>
    <w:lvl w:ilvl="2">
      <w:start w:val="1"/>
      <w:numFmt w:val="bullet"/>
      <w:lvlText w:val=""/>
      <w:lvlJc w:val="left"/>
      <w:pPr>
        <w:tabs>
          <w:tab w:val="num" w:pos="2760"/>
        </w:tabs>
        <w:ind w:left="2760" w:hanging="360"/>
      </w:pPr>
      <w:rPr>
        <w:rFonts w:ascii="Wingdings" w:hAnsi="Wingdings"/>
        <w:rtl w:val="0"/>
      </w:rPr>
    </w:lvl>
    <w:lvl w:ilvl="3">
      <w:start w:val="1"/>
      <w:numFmt w:val="bullet"/>
      <w:lvlText w:val=""/>
      <w:lvlJc w:val="left"/>
      <w:pPr>
        <w:tabs>
          <w:tab w:val="num" w:pos="3480"/>
        </w:tabs>
        <w:ind w:left="3480" w:hanging="360"/>
      </w:pPr>
      <w:rPr>
        <w:rFonts w:ascii="Symbol" w:hAnsi="Symbol"/>
        <w:rtl w:val="0"/>
      </w:rPr>
    </w:lvl>
    <w:lvl w:ilvl="4">
      <w:start w:val="1"/>
      <w:numFmt w:val="bullet"/>
      <w:lvlText w:val="o"/>
      <w:lvlJc w:val="left"/>
      <w:pPr>
        <w:tabs>
          <w:tab w:val="num" w:pos="4200"/>
        </w:tabs>
        <w:ind w:left="4200" w:hanging="360"/>
      </w:pPr>
      <w:rPr>
        <w:rFonts w:ascii="Courier New" w:hAnsi="Courier New" w:cs="Courier New"/>
        <w:rtl w:val="0"/>
      </w:rPr>
    </w:lvl>
    <w:lvl w:ilvl="5">
      <w:start w:val="1"/>
      <w:numFmt w:val="bullet"/>
      <w:lvlText w:val=""/>
      <w:lvlJc w:val="left"/>
      <w:pPr>
        <w:tabs>
          <w:tab w:val="num" w:pos="4920"/>
        </w:tabs>
        <w:ind w:left="4920" w:hanging="360"/>
      </w:pPr>
      <w:rPr>
        <w:rFonts w:ascii="Wingdings" w:hAnsi="Wingdings"/>
        <w:rtl w:val="0"/>
      </w:rPr>
    </w:lvl>
    <w:lvl w:ilvl="6">
      <w:start w:val="1"/>
      <w:numFmt w:val="bullet"/>
      <w:lvlText w:val=""/>
      <w:lvlJc w:val="left"/>
      <w:pPr>
        <w:tabs>
          <w:tab w:val="num" w:pos="5640"/>
        </w:tabs>
        <w:ind w:left="5640" w:hanging="360"/>
      </w:pPr>
      <w:rPr>
        <w:rFonts w:ascii="Symbol" w:hAnsi="Symbol"/>
        <w:rtl w:val="0"/>
      </w:rPr>
    </w:lvl>
    <w:lvl w:ilvl="7">
      <w:start w:val="1"/>
      <w:numFmt w:val="bullet"/>
      <w:lvlText w:val="o"/>
      <w:lvlJc w:val="left"/>
      <w:pPr>
        <w:tabs>
          <w:tab w:val="num" w:pos="6360"/>
        </w:tabs>
        <w:ind w:left="6360" w:hanging="360"/>
      </w:pPr>
      <w:rPr>
        <w:rFonts w:ascii="Courier New" w:hAnsi="Courier New" w:cs="Courier New"/>
        <w:rtl w:val="0"/>
      </w:rPr>
    </w:lvl>
    <w:lvl w:ilvl="8">
      <w:start w:val="1"/>
      <w:numFmt w:val="bullet"/>
      <w:lvlText w:val=""/>
      <w:lvlJc w:val="left"/>
      <w:pPr>
        <w:tabs>
          <w:tab w:val="num" w:pos="7080"/>
        </w:tabs>
        <w:ind w:left="7080" w:hanging="360"/>
      </w:pPr>
      <w:rPr>
        <w:rFonts w:ascii="Wingdings" w:hAnsi="Wingdings"/>
        <w:rtl w:val="0"/>
      </w:rPr>
    </w:lvl>
  </w:abstractNum>
  <w:abstractNum w:abstractNumId="112">
    <w:nsid w:val="5EEF4CB7"/>
    <w:multiLevelType w:val="hybridMultilevel"/>
    <w:tmpl w:val="80F6F4BA"/>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13">
    <w:nsid w:val="601E32A4"/>
    <w:multiLevelType w:val="hybridMultilevel"/>
    <w:tmpl w:val="1C184E3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614E2C16"/>
    <w:multiLevelType w:val="multilevel"/>
    <w:tmpl w:val="E1E25078"/>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15">
    <w:nsid w:val="61A42842"/>
    <w:multiLevelType w:val="multilevel"/>
    <w:tmpl w:val="3AA419F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6">
    <w:nsid w:val="622E5207"/>
    <w:multiLevelType w:val="multilevel"/>
    <w:tmpl w:val="8C46D79E"/>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17">
    <w:nsid w:val="65414CC3"/>
    <w:multiLevelType w:val="hybridMultilevel"/>
    <w:tmpl w:val="5530AC46"/>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18">
    <w:nsid w:val="65680A32"/>
    <w:multiLevelType w:val="hybridMultilevel"/>
    <w:tmpl w:val="B11618A4"/>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19">
    <w:nsid w:val="661335AD"/>
    <w:multiLevelType w:val="hybridMultilevel"/>
    <w:tmpl w:val="69CE8B6C"/>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20">
    <w:nsid w:val="66284E9D"/>
    <w:multiLevelType w:val="singleLevel"/>
    <w:tmpl w:val="041B0015"/>
    <w:lvl w:ilvl="0">
      <w:start w:val="1"/>
      <w:numFmt w:val="upperLetter"/>
      <w:lvlText w:val="%1."/>
      <w:lvlJc w:val="left"/>
      <w:pPr>
        <w:tabs>
          <w:tab w:val="num" w:pos="360"/>
        </w:tabs>
        <w:ind w:left="360" w:hanging="360"/>
      </w:pPr>
    </w:lvl>
  </w:abstractNum>
  <w:abstractNum w:abstractNumId="121">
    <w:nsid w:val="66483465"/>
    <w:multiLevelType w:val="hybridMultilevel"/>
    <w:tmpl w:val="A59E0DB0"/>
    <w:lvl w:ilvl="0">
      <w:start w:val="1"/>
      <w:numFmt w:val="bullet"/>
      <w:lvlText w:val=""/>
      <w:lvlJc w:val="left"/>
      <w:pPr>
        <w:tabs>
          <w:tab w:val="num" w:pos="1260"/>
        </w:tabs>
        <w:ind w:left="1260" w:hanging="360"/>
      </w:pPr>
      <w:rPr>
        <w:rFonts w:ascii="Wingdings" w:hAnsi="Wingdings"/>
        <w:rtl w:val="0"/>
      </w:rPr>
    </w:lvl>
    <w:lvl w:ilvl="1">
      <w:start w:val="1"/>
      <w:numFmt w:val="bullet"/>
      <w:lvlText w:val="o"/>
      <w:lvlJc w:val="left"/>
      <w:pPr>
        <w:tabs>
          <w:tab w:val="num" w:pos="1980"/>
        </w:tabs>
        <w:ind w:left="1980" w:hanging="360"/>
      </w:pPr>
      <w:rPr>
        <w:rFonts w:ascii="Courier New" w:hAnsi="Courier New" w:cs="Courier New"/>
        <w:rtl w:val="0"/>
      </w:rPr>
    </w:lvl>
    <w:lvl w:ilvl="2">
      <w:start w:val="1"/>
      <w:numFmt w:val="bullet"/>
      <w:lvlText w:val=""/>
      <w:lvlJc w:val="left"/>
      <w:pPr>
        <w:tabs>
          <w:tab w:val="num" w:pos="2700"/>
        </w:tabs>
        <w:ind w:left="2700" w:hanging="360"/>
      </w:pPr>
      <w:rPr>
        <w:rFonts w:ascii="Wingdings" w:hAnsi="Wingdings"/>
        <w:rtl w:val="0"/>
      </w:rPr>
    </w:lvl>
    <w:lvl w:ilvl="3">
      <w:start w:val="1"/>
      <w:numFmt w:val="bullet"/>
      <w:lvlText w:val=""/>
      <w:lvlJc w:val="left"/>
      <w:pPr>
        <w:tabs>
          <w:tab w:val="num" w:pos="3420"/>
        </w:tabs>
        <w:ind w:left="3420" w:hanging="360"/>
      </w:pPr>
      <w:rPr>
        <w:rFonts w:ascii="Symbol" w:hAnsi="Symbol"/>
        <w:rtl w:val="0"/>
      </w:rPr>
    </w:lvl>
    <w:lvl w:ilvl="4">
      <w:start w:val="1"/>
      <w:numFmt w:val="bullet"/>
      <w:lvlText w:val="o"/>
      <w:lvlJc w:val="left"/>
      <w:pPr>
        <w:tabs>
          <w:tab w:val="num" w:pos="4140"/>
        </w:tabs>
        <w:ind w:left="4140" w:hanging="360"/>
      </w:pPr>
      <w:rPr>
        <w:rFonts w:ascii="Courier New" w:hAnsi="Courier New" w:cs="Courier New"/>
        <w:rtl w:val="0"/>
      </w:rPr>
    </w:lvl>
    <w:lvl w:ilvl="5">
      <w:start w:val="1"/>
      <w:numFmt w:val="bullet"/>
      <w:lvlText w:val=""/>
      <w:lvlJc w:val="left"/>
      <w:pPr>
        <w:tabs>
          <w:tab w:val="num" w:pos="4860"/>
        </w:tabs>
        <w:ind w:left="4860" w:hanging="360"/>
      </w:pPr>
      <w:rPr>
        <w:rFonts w:ascii="Wingdings" w:hAnsi="Wingdings"/>
        <w:rtl w:val="0"/>
      </w:rPr>
    </w:lvl>
    <w:lvl w:ilvl="6">
      <w:start w:val="1"/>
      <w:numFmt w:val="bullet"/>
      <w:lvlText w:val=""/>
      <w:lvlJc w:val="left"/>
      <w:pPr>
        <w:tabs>
          <w:tab w:val="num" w:pos="5580"/>
        </w:tabs>
        <w:ind w:left="5580" w:hanging="360"/>
      </w:pPr>
      <w:rPr>
        <w:rFonts w:ascii="Symbol" w:hAnsi="Symbol"/>
        <w:rtl w:val="0"/>
      </w:rPr>
    </w:lvl>
    <w:lvl w:ilvl="7">
      <w:start w:val="1"/>
      <w:numFmt w:val="bullet"/>
      <w:lvlText w:val="o"/>
      <w:lvlJc w:val="left"/>
      <w:pPr>
        <w:tabs>
          <w:tab w:val="num" w:pos="6300"/>
        </w:tabs>
        <w:ind w:left="6300" w:hanging="360"/>
      </w:pPr>
      <w:rPr>
        <w:rFonts w:ascii="Courier New" w:hAnsi="Courier New" w:cs="Courier New"/>
        <w:rtl w:val="0"/>
      </w:rPr>
    </w:lvl>
    <w:lvl w:ilvl="8">
      <w:start w:val="1"/>
      <w:numFmt w:val="bullet"/>
      <w:lvlText w:val=""/>
      <w:lvlJc w:val="left"/>
      <w:pPr>
        <w:tabs>
          <w:tab w:val="num" w:pos="7020"/>
        </w:tabs>
        <w:ind w:left="7020" w:hanging="360"/>
      </w:pPr>
      <w:rPr>
        <w:rFonts w:ascii="Wingdings" w:hAnsi="Wingdings"/>
        <w:rtl w:val="0"/>
      </w:rPr>
    </w:lvl>
  </w:abstractNum>
  <w:abstractNum w:abstractNumId="122">
    <w:nsid w:val="66B155A8"/>
    <w:multiLevelType w:val="multilevel"/>
    <w:tmpl w:val="6B96B486"/>
    <w:lvl w:ilvl="0">
      <w:start w:val="2"/>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3">
    <w:nsid w:val="671C60AE"/>
    <w:multiLevelType w:val="multilevel"/>
    <w:tmpl w:val="744051B2"/>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4">
    <w:nsid w:val="671E32A5"/>
    <w:multiLevelType w:val="multilevel"/>
    <w:tmpl w:val="5530AC46"/>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25">
    <w:nsid w:val="67516E11"/>
    <w:multiLevelType w:val="hybridMultilevel"/>
    <w:tmpl w:val="C096B150"/>
    <w:lvl w:ilvl="0">
      <w:start w:val="1"/>
      <w:numFmt w:val="bullet"/>
      <w:lvlText w:val=""/>
      <w:lvlJc w:val="left"/>
      <w:pPr>
        <w:tabs>
          <w:tab w:val="num" w:pos="1260"/>
        </w:tabs>
        <w:ind w:left="1260" w:hanging="360"/>
      </w:pPr>
      <w:rPr>
        <w:rFonts w:ascii="Wingdings" w:hAnsi="Wingdings"/>
        <w:rtl w:val="0"/>
      </w:rPr>
    </w:lvl>
    <w:lvl w:ilvl="1">
      <w:start w:val="1"/>
      <w:numFmt w:val="bullet"/>
      <w:lvlText w:val="o"/>
      <w:lvlJc w:val="left"/>
      <w:pPr>
        <w:tabs>
          <w:tab w:val="num" w:pos="1980"/>
        </w:tabs>
        <w:ind w:left="1980" w:hanging="360"/>
      </w:pPr>
      <w:rPr>
        <w:rFonts w:ascii="Courier New" w:hAnsi="Courier New" w:cs="Courier New"/>
        <w:rtl w:val="0"/>
      </w:rPr>
    </w:lvl>
    <w:lvl w:ilvl="2">
      <w:start w:val="1"/>
      <w:numFmt w:val="bullet"/>
      <w:lvlText w:val=""/>
      <w:lvlJc w:val="left"/>
      <w:pPr>
        <w:tabs>
          <w:tab w:val="num" w:pos="2700"/>
        </w:tabs>
        <w:ind w:left="2700" w:hanging="360"/>
      </w:pPr>
      <w:rPr>
        <w:rFonts w:ascii="Wingdings" w:hAnsi="Wingdings"/>
        <w:rtl w:val="0"/>
      </w:rPr>
    </w:lvl>
    <w:lvl w:ilvl="3">
      <w:start w:val="1"/>
      <w:numFmt w:val="bullet"/>
      <w:lvlText w:val=""/>
      <w:lvlJc w:val="left"/>
      <w:pPr>
        <w:tabs>
          <w:tab w:val="num" w:pos="3420"/>
        </w:tabs>
        <w:ind w:left="3420" w:hanging="360"/>
      </w:pPr>
      <w:rPr>
        <w:rFonts w:ascii="Symbol" w:hAnsi="Symbol"/>
        <w:rtl w:val="0"/>
      </w:rPr>
    </w:lvl>
    <w:lvl w:ilvl="4">
      <w:start w:val="1"/>
      <w:numFmt w:val="bullet"/>
      <w:lvlText w:val="o"/>
      <w:lvlJc w:val="left"/>
      <w:pPr>
        <w:tabs>
          <w:tab w:val="num" w:pos="4140"/>
        </w:tabs>
        <w:ind w:left="4140" w:hanging="360"/>
      </w:pPr>
      <w:rPr>
        <w:rFonts w:ascii="Courier New" w:hAnsi="Courier New" w:cs="Courier New"/>
        <w:rtl w:val="0"/>
      </w:rPr>
    </w:lvl>
    <w:lvl w:ilvl="5">
      <w:start w:val="1"/>
      <w:numFmt w:val="bullet"/>
      <w:lvlText w:val=""/>
      <w:lvlJc w:val="left"/>
      <w:pPr>
        <w:tabs>
          <w:tab w:val="num" w:pos="4860"/>
        </w:tabs>
        <w:ind w:left="4860" w:hanging="360"/>
      </w:pPr>
      <w:rPr>
        <w:rFonts w:ascii="Wingdings" w:hAnsi="Wingdings"/>
        <w:rtl w:val="0"/>
      </w:rPr>
    </w:lvl>
    <w:lvl w:ilvl="6">
      <w:start w:val="1"/>
      <w:numFmt w:val="bullet"/>
      <w:lvlText w:val=""/>
      <w:lvlJc w:val="left"/>
      <w:pPr>
        <w:tabs>
          <w:tab w:val="num" w:pos="5580"/>
        </w:tabs>
        <w:ind w:left="5580" w:hanging="360"/>
      </w:pPr>
      <w:rPr>
        <w:rFonts w:ascii="Symbol" w:hAnsi="Symbol"/>
        <w:rtl w:val="0"/>
      </w:rPr>
    </w:lvl>
    <w:lvl w:ilvl="7">
      <w:start w:val="1"/>
      <w:numFmt w:val="bullet"/>
      <w:lvlText w:val="o"/>
      <w:lvlJc w:val="left"/>
      <w:pPr>
        <w:tabs>
          <w:tab w:val="num" w:pos="6300"/>
        </w:tabs>
        <w:ind w:left="6300" w:hanging="360"/>
      </w:pPr>
      <w:rPr>
        <w:rFonts w:ascii="Courier New" w:hAnsi="Courier New" w:cs="Courier New"/>
        <w:rtl w:val="0"/>
      </w:rPr>
    </w:lvl>
    <w:lvl w:ilvl="8">
      <w:start w:val="1"/>
      <w:numFmt w:val="bullet"/>
      <w:lvlText w:val=""/>
      <w:lvlJc w:val="left"/>
      <w:pPr>
        <w:tabs>
          <w:tab w:val="num" w:pos="7020"/>
        </w:tabs>
        <w:ind w:left="7020" w:hanging="360"/>
      </w:pPr>
      <w:rPr>
        <w:rFonts w:ascii="Wingdings" w:hAnsi="Wingdings"/>
        <w:rtl w:val="0"/>
      </w:rPr>
    </w:lvl>
  </w:abstractNum>
  <w:abstractNum w:abstractNumId="126">
    <w:nsid w:val="67B838D9"/>
    <w:multiLevelType w:val="singleLevel"/>
    <w:tmpl w:val="041B0015"/>
    <w:lvl w:ilvl="0">
      <w:start w:val="1"/>
      <w:numFmt w:val="upperLetter"/>
      <w:lvlText w:val="%1."/>
      <w:lvlJc w:val="left"/>
      <w:pPr>
        <w:tabs>
          <w:tab w:val="num" w:pos="360"/>
        </w:tabs>
        <w:ind w:left="360" w:hanging="360"/>
      </w:pPr>
    </w:lvl>
  </w:abstractNum>
  <w:abstractNum w:abstractNumId="127">
    <w:nsid w:val="67E33E1B"/>
    <w:multiLevelType w:val="multilevel"/>
    <w:tmpl w:val="9852F03A"/>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8">
    <w:nsid w:val="68F540FF"/>
    <w:multiLevelType w:val="hybridMultilevel"/>
    <w:tmpl w:val="72709010"/>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29">
    <w:nsid w:val="695947B2"/>
    <w:multiLevelType w:val="hybridMultilevel"/>
    <w:tmpl w:val="7CBCA2DE"/>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30">
    <w:nsid w:val="69CF6F2B"/>
    <w:multiLevelType w:val="multilevel"/>
    <w:tmpl w:val="9852F03A"/>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1">
    <w:nsid w:val="6AC96424"/>
    <w:multiLevelType w:val="multilevel"/>
    <w:tmpl w:val="7D2205A2"/>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32">
    <w:nsid w:val="6B474448"/>
    <w:multiLevelType w:val="hybridMultilevel"/>
    <w:tmpl w:val="93220D2C"/>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33">
    <w:nsid w:val="6B5322E0"/>
    <w:multiLevelType w:val="hybridMultilevel"/>
    <w:tmpl w:val="3E464D94"/>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34">
    <w:nsid w:val="6D2164C4"/>
    <w:multiLevelType w:val="multilevel"/>
    <w:tmpl w:val="C92A0B8E"/>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35">
    <w:nsid w:val="6D5E789D"/>
    <w:multiLevelType w:val="multilevel"/>
    <w:tmpl w:val="C624CBBA"/>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6">
    <w:nsid w:val="6D9B1F4F"/>
    <w:multiLevelType w:val="hybridMultilevel"/>
    <w:tmpl w:val="E0E8A614"/>
    <w:lvl w:ilvl="0">
      <w:start w:val="3"/>
      <w:numFmt w:val="bullet"/>
      <w:lvlText w:val="-"/>
      <w:lvlJc w:val="left"/>
      <w:pPr>
        <w:tabs>
          <w:tab w:val="num" w:pos="1593"/>
        </w:tabs>
        <w:ind w:left="1593" w:hanging="885"/>
      </w:pPr>
      <w:rPr>
        <w:rFonts w:ascii="Times New Roman" w:hAnsi="Times New Roman" w:cs="Times New Roman"/>
        <w:rtl w:val="0"/>
      </w:rPr>
    </w:lvl>
    <w:lvl w:ilvl="1">
      <w:start w:val="1"/>
      <w:numFmt w:val="bullet"/>
      <w:lvlText w:val="o"/>
      <w:lvlJc w:val="left"/>
      <w:pPr>
        <w:tabs>
          <w:tab w:val="num" w:pos="1788"/>
        </w:tabs>
        <w:ind w:left="1788" w:hanging="360"/>
      </w:pPr>
      <w:rPr>
        <w:rFonts w:ascii="Courier New" w:hAnsi="Courier New" w:cs="Courier New"/>
        <w:rtl w:val="0"/>
      </w:rPr>
    </w:lvl>
    <w:lvl w:ilvl="2">
      <w:start w:val="1"/>
      <w:numFmt w:val="bullet"/>
      <w:lvlText w:val=""/>
      <w:lvlJc w:val="left"/>
      <w:pPr>
        <w:tabs>
          <w:tab w:val="num" w:pos="2508"/>
        </w:tabs>
        <w:ind w:left="2508" w:hanging="360"/>
      </w:pPr>
      <w:rPr>
        <w:rFonts w:ascii="Wingdings" w:hAnsi="Wingdings"/>
        <w:rtl w:val="0"/>
      </w:rPr>
    </w:lvl>
    <w:lvl w:ilvl="3">
      <w:start w:val="1"/>
      <w:numFmt w:val="bullet"/>
      <w:lvlText w:val=""/>
      <w:lvlJc w:val="left"/>
      <w:pPr>
        <w:tabs>
          <w:tab w:val="num" w:pos="3228"/>
        </w:tabs>
        <w:ind w:left="3228" w:hanging="360"/>
      </w:pPr>
      <w:rPr>
        <w:rFonts w:ascii="Symbol" w:hAnsi="Symbol"/>
        <w:rtl w:val="0"/>
      </w:rPr>
    </w:lvl>
    <w:lvl w:ilvl="4">
      <w:start w:val="1"/>
      <w:numFmt w:val="bullet"/>
      <w:lvlText w:val="o"/>
      <w:lvlJc w:val="left"/>
      <w:pPr>
        <w:tabs>
          <w:tab w:val="num" w:pos="3948"/>
        </w:tabs>
        <w:ind w:left="3948" w:hanging="360"/>
      </w:pPr>
      <w:rPr>
        <w:rFonts w:ascii="Courier New" w:hAnsi="Courier New" w:cs="Courier New"/>
        <w:rtl w:val="0"/>
      </w:rPr>
    </w:lvl>
    <w:lvl w:ilvl="5">
      <w:start w:val="1"/>
      <w:numFmt w:val="bullet"/>
      <w:lvlText w:val=""/>
      <w:lvlJc w:val="left"/>
      <w:pPr>
        <w:tabs>
          <w:tab w:val="num" w:pos="4668"/>
        </w:tabs>
        <w:ind w:left="4668" w:hanging="360"/>
      </w:pPr>
      <w:rPr>
        <w:rFonts w:ascii="Wingdings" w:hAnsi="Wingdings"/>
        <w:rtl w:val="0"/>
      </w:rPr>
    </w:lvl>
    <w:lvl w:ilvl="6">
      <w:start w:val="1"/>
      <w:numFmt w:val="bullet"/>
      <w:lvlText w:val=""/>
      <w:lvlJc w:val="left"/>
      <w:pPr>
        <w:tabs>
          <w:tab w:val="num" w:pos="5388"/>
        </w:tabs>
        <w:ind w:left="5388" w:hanging="360"/>
      </w:pPr>
      <w:rPr>
        <w:rFonts w:ascii="Symbol" w:hAnsi="Symbol"/>
        <w:rtl w:val="0"/>
      </w:rPr>
    </w:lvl>
    <w:lvl w:ilvl="7">
      <w:start w:val="1"/>
      <w:numFmt w:val="bullet"/>
      <w:lvlText w:val="o"/>
      <w:lvlJc w:val="left"/>
      <w:pPr>
        <w:tabs>
          <w:tab w:val="num" w:pos="6108"/>
        </w:tabs>
        <w:ind w:left="6108" w:hanging="360"/>
      </w:pPr>
      <w:rPr>
        <w:rFonts w:ascii="Courier New" w:hAnsi="Courier New" w:cs="Courier New"/>
        <w:rtl w:val="0"/>
      </w:rPr>
    </w:lvl>
    <w:lvl w:ilvl="8">
      <w:start w:val="1"/>
      <w:numFmt w:val="bullet"/>
      <w:lvlText w:val=""/>
      <w:lvlJc w:val="left"/>
      <w:pPr>
        <w:tabs>
          <w:tab w:val="num" w:pos="6828"/>
        </w:tabs>
        <w:ind w:left="6828" w:hanging="360"/>
      </w:pPr>
      <w:rPr>
        <w:rFonts w:ascii="Wingdings" w:hAnsi="Wingdings"/>
        <w:rtl w:val="0"/>
      </w:rPr>
    </w:lvl>
  </w:abstractNum>
  <w:abstractNum w:abstractNumId="137">
    <w:nsid w:val="6DA40DBF"/>
    <w:multiLevelType w:val="hybridMultilevel"/>
    <w:tmpl w:val="73BA26B2"/>
    <w:lvl w:ilvl="0">
      <w:start w:val="11"/>
      <w:numFmt w:val="bullet"/>
      <w:lvlText w:val="-"/>
      <w:lvlJc w:val="left"/>
      <w:pPr>
        <w:tabs>
          <w:tab w:val="num" w:pos="720"/>
        </w:tabs>
        <w:ind w:left="720" w:hanging="360"/>
      </w:pPr>
      <w:rPr>
        <w:rFonts w:ascii="Dutch801 SWC" w:hAnsi="Dutch801 SWC"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38">
    <w:nsid w:val="6DAC32B2"/>
    <w:multiLevelType w:val="multilevel"/>
    <w:tmpl w:val="5530AC46"/>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39">
    <w:nsid w:val="6F3E7499"/>
    <w:multiLevelType w:val="hybridMultilevel"/>
    <w:tmpl w:val="C57E0B6A"/>
    <w:lvl w:ilvl="0">
      <w:start w:val="1"/>
      <w:numFmt w:val="bullet"/>
      <w:lvlText w:val=""/>
      <w:lvlJc w:val="left"/>
      <w:pPr>
        <w:tabs>
          <w:tab w:val="num" w:pos="1429"/>
        </w:tabs>
        <w:ind w:left="1429" w:hanging="360"/>
      </w:pPr>
      <w:rPr>
        <w:rFonts w:ascii="Symbol" w:hAnsi="Symbol"/>
        <w:rtl w:val="0"/>
      </w:rPr>
    </w:lvl>
    <w:lvl w:ilvl="1">
      <w:start w:val="1"/>
      <w:numFmt w:val="bullet"/>
      <w:lvlText w:val="o"/>
      <w:lvlJc w:val="left"/>
      <w:pPr>
        <w:tabs>
          <w:tab w:val="num" w:pos="2149"/>
        </w:tabs>
        <w:ind w:left="2149" w:hanging="360"/>
      </w:pPr>
      <w:rPr>
        <w:rFonts w:ascii="Courier New" w:hAnsi="Courier New"/>
        <w:rtl w:val="0"/>
      </w:rPr>
    </w:lvl>
    <w:lvl w:ilvl="2">
      <w:start w:val="1"/>
      <w:numFmt w:val="bullet"/>
      <w:lvlText w:val=""/>
      <w:lvlJc w:val="left"/>
      <w:pPr>
        <w:tabs>
          <w:tab w:val="num" w:pos="2869"/>
        </w:tabs>
        <w:ind w:left="2869" w:hanging="360"/>
      </w:pPr>
      <w:rPr>
        <w:rFonts w:ascii="Wingdings" w:hAnsi="Wingdings"/>
        <w:rtl w:val="0"/>
      </w:rPr>
    </w:lvl>
    <w:lvl w:ilvl="3">
      <w:start w:val="1"/>
      <w:numFmt w:val="bullet"/>
      <w:lvlText w:val=""/>
      <w:lvlJc w:val="left"/>
      <w:pPr>
        <w:tabs>
          <w:tab w:val="num" w:pos="3589"/>
        </w:tabs>
        <w:ind w:left="3589" w:hanging="360"/>
      </w:pPr>
      <w:rPr>
        <w:rFonts w:ascii="Symbol" w:hAnsi="Symbol"/>
        <w:rtl w:val="0"/>
      </w:rPr>
    </w:lvl>
    <w:lvl w:ilvl="4">
      <w:start w:val="1"/>
      <w:numFmt w:val="bullet"/>
      <w:lvlText w:val="o"/>
      <w:lvlJc w:val="left"/>
      <w:pPr>
        <w:tabs>
          <w:tab w:val="num" w:pos="4309"/>
        </w:tabs>
        <w:ind w:left="4309" w:hanging="360"/>
      </w:pPr>
      <w:rPr>
        <w:rFonts w:ascii="Courier New" w:hAnsi="Courier New"/>
        <w:rtl w:val="0"/>
      </w:rPr>
    </w:lvl>
    <w:lvl w:ilvl="5">
      <w:start w:val="1"/>
      <w:numFmt w:val="bullet"/>
      <w:lvlText w:val=""/>
      <w:lvlJc w:val="left"/>
      <w:pPr>
        <w:tabs>
          <w:tab w:val="num" w:pos="5029"/>
        </w:tabs>
        <w:ind w:left="5029" w:hanging="360"/>
      </w:pPr>
      <w:rPr>
        <w:rFonts w:ascii="Wingdings" w:hAnsi="Wingdings"/>
        <w:rtl w:val="0"/>
      </w:rPr>
    </w:lvl>
    <w:lvl w:ilvl="6">
      <w:start w:val="1"/>
      <w:numFmt w:val="bullet"/>
      <w:lvlText w:val=""/>
      <w:lvlJc w:val="left"/>
      <w:pPr>
        <w:tabs>
          <w:tab w:val="num" w:pos="5749"/>
        </w:tabs>
        <w:ind w:left="5749" w:hanging="360"/>
      </w:pPr>
      <w:rPr>
        <w:rFonts w:ascii="Symbol" w:hAnsi="Symbol"/>
        <w:rtl w:val="0"/>
      </w:rPr>
    </w:lvl>
    <w:lvl w:ilvl="7">
      <w:start w:val="1"/>
      <w:numFmt w:val="bullet"/>
      <w:lvlText w:val="o"/>
      <w:lvlJc w:val="left"/>
      <w:pPr>
        <w:tabs>
          <w:tab w:val="num" w:pos="6469"/>
        </w:tabs>
        <w:ind w:left="6469" w:hanging="360"/>
      </w:pPr>
      <w:rPr>
        <w:rFonts w:ascii="Courier New" w:hAnsi="Courier New"/>
        <w:rtl w:val="0"/>
      </w:rPr>
    </w:lvl>
    <w:lvl w:ilvl="8">
      <w:start w:val="1"/>
      <w:numFmt w:val="bullet"/>
      <w:lvlText w:val=""/>
      <w:lvlJc w:val="left"/>
      <w:pPr>
        <w:tabs>
          <w:tab w:val="num" w:pos="7189"/>
        </w:tabs>
        <w:ind w:left="7189" w:hanging="360"/>
      </w:pPr>
      <w:rPr>
        <w:rFonts w:ascii="Wingdings" w:hAnsi="Wingdings"/>
        <w:rtl w:val="0"/>
      </w:rPr>
    </w:lvl>
  </w:abstractNum>
  <w:abstractNum w:abstractNumId="140">
    <w:nsid w:val="6F4C104A"/>
    <w:multiLevelType w:val="singleLevel"/>
    <w:tmpl w:val="7F24239E"/>
    <w:lvl w:ilvl="0">
      <w:start w:val="0"/>
      <w:numFmt w:val="bullet"/>
      <w:lvlText w:val="-"/>
      <w:lvlJc w:val="left"/>
      <w:pPr>
        <w:tabs>
          <w:tab w:val="num" w:pos="1068"/>
        </w:tabs>
        <w:ind w:left="1068" w:hanging="360"/>
      </w:pPr>
    </w:lvl>
  </w:abstractNum>
  <w:abstractNum w:abstractNumId="141">
    <w:nsid w:val="71187D77"/>
    <w:multiLevelType w:val="hybridMultilevel"/>
    <w:tmpl w:val="2DB87498"/>
    <w:lvl w:ilvl="0">
      <w:start w:val="1"/>
      <w:numFmt w:val="bullet"/>
      <w:lvlText w:val=""/>
      <w:lvlJc w:val="left"/>
      <w:pPr>
        <w:tabs>
          <w:tab w:val="num" w:pos="284"/>
        </w:tabs>
        <w:ind w:left="284" w:hanging="284"/>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2">
    <w:nsid w:val="72586236"/>
    <w:multiLevelType w:val="hybridMultilevel"/>
    <w:tmpl w:val="EE2CBA30"/>
    <w:lvl w:ilvl="0">
      <w:start w:val="1"/>
      <w:numFmt w:val="bullet"/>
      <w:lvlText w:val=""/>
      <w:lvlJc w:val="left"/>
      <w:pPr>
        <w:tabs>
          <w:tab w:val="num" w:pos="1320"/>
        </w:tabs>
        <w:ind w:left="13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3">
    <w:nsid w:val="73497C00"/>
    <w:multiLevelType w:val="hybridMultilevel"/>
    <w:tmpl w:val="EE0A7A44"/>
    <w:lvl w:ilvl="0">
      <w:start w:val="5"/>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4">
    <w:nsid w:val="744B3A64"/>
    <w:multiLevelType w:val="hybridMultilevel"/>
    <w:tmpl w:val="B88AF7D0"/>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5">
    <w:nsid w:val="751E4A9C"/>
    <w:multiLevelType w:val="hybridMultilevel"/>
    <w:tmpl w:val="E8D6177E"/>
    <w:lvl w:ilvl="0">
      <w:start w:val="1"/>
      <w:numFmt w:val="bullet"/>
      <w:lvlText w:val=""/>
      <w:lvlJc w:val="left"/>
      <w:pPr>
        <w:tabs>
          <w:tab w:val="num" w:pos="1440"/>
        </w:tabs>
        <w:ind w:left="144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880"/>
        </w:tabs>
        <w:ind w:left="2880" w:hanging="360"/>
      </w:pPr>
      <w:rPr>
        <w:rFonts w:ascii="Wingdings" w:hAnsi="Wingdings"/>
        <w:rtl w:val="0"/>
      </w:rPr>
    </w:lvl>
    <w:lvl w:ilvl="3">
      <w:start w:val="1"/>
      <w:numFmt w:val="bullet"/>
      <w:lvlText w:val=""/>
      <w:lvlJc w:val="left"/>
      <w:pPr>
        <w:tabs>
          <w:tab w:val="num" w:pos="3600"/>
        </w:tabs>
        <w:ind w:left="3600" w:hanging="360"/>
      </w:pPr>
      <w:rPr>
        <w:rFonts w:ascii="Symbol" w:hAnsi="Symbol"/>
        <w:rtl w:val="0"/>
      </w:rPr>
    </w:lvl>
    <w:lvl w:ilvl="4">
      <w:start w:val="1"/>
      <w:numFmt w:val="bullet"/>
      <w:lvlText w:val="o"/>
      <w:lvlJc w:val="left"/>
      <w:pPr>
        <w:tabs>
          <w:tab w:val="num" w:pos="4320"/>
        </w:tabs>
        <w:ind w:left="4320" w:hanging="360"/>
      </w:pPr>
      <w:rPr>
        <w:rFonts w:ascii="Courier New" w:hAnsi="Courier New" w:cs="Courier New"/>
        <w:rtl w:val="0"/>
      </w:rPr>
    </w:lvl>
    <w:lvl w:ilvl="5">
      <w:start w:val="1"/>
      <w:numFmt w:val="bullet"/>
      <w:lvlText w:val=""/>
      <w:lvlJc w:val="left"/>
      <w:pPr>
        <w:tabs>
          <w:tab w:val="num" w:pos="5040"/>
        </w:tabs>
        <w:ind w:left="5040" w:hanging="360"/>
      </w:pPr>
      <w:rPr>
        <w:rFonts w:ascii="Wingdings" w:hAnsi="Wingdings"/>
        <w:rtl w:val="0"/>
      </w:rPr>
    </w:lvl>
    <w:lvl w:ilvl="6">
      <w:start w:val="1"/>
      <w:numFmt w:val="bullet"/>
      <w:lvlText w:val=""/>
      <w:lvlJc w:val="left"/>
      <w:pPr>
        <w:tabs>
          <w:tab w:val="num" w:pos="5760"/>
        </w:tabs>
        <w:ind w:left="5760" w:hanging="360"/>
      </w:pPr>
      <w:rPr>
        <w:rFonts w:ascii="Symbol" w:hAnsi="Symbol"/>
        <w:rtl w:val="0"/>
      </w:rPr>
    </w:lvl>
    <w:lvl w:ilvl="7">
      <w:start w:val="1"/>
      <w:numFmt w:val="bullet"/>
      <w:lvlText w:val="o"/>
      <w:lvlJc w:val="left"/>
      <w:pPr>
        <w:tabs>
          <w:tab w:val="num" w:pos="6480"/>
        </w:tabs>
        <w:ind w:left="6480" w:hanging="360"/>
      </w:pPr>
      <w:rPr>
        <w:rFonts w:ascii="Courier New" w:hAnsi="Courier New" w:cs="Courier New"/>
        <w:rtl w:val="0"/>
      </w:rPr>
    </w:lvl>
    <w:lvl w:ilvl="8">
      <w:start w:val="1"/>
      <w:numFmt w:val="bullet"/>
      <w:lvlText w:val=""/>
      <w:lvlJc w:val="left"/>
      <w:pPr>
        <w:tabs>
          <w:tab w:val="num" w:pos="7200"/>
        </w:tabs>
        <w:ind w:left="7200" w:hanging="360"/>
      </w:pPr>
      <w:rPr>
        <w:rFonts w:ascii="Wingdings" w:hAnsi="Wingdings"/>
        <w:rtl w:val="0"/>
      </w:rPr>
    </w:lvl>
  </w:abstractNum>
  <w:abstractNum w:abstractNumId="146">
    <w:nsid w:val="753A00DF"/>
    <w:multiLevelType w:val="hybridMultilevel"/>
    <w:tmpl w:val="3788EAC8"/>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7">
    <w:nsid w:val="76BA7E0F"/>
    <w:multiLevelType w:val="hybridMultilevel"/>
    <w:tmpl w:val="C92A0B8E"/>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8">
    <w:nsid w:val="77EC6D14"/>
    <w:multiLevelType w:val="multilevel"/>
    <w:tmpl w:val="A0D21B30"/>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9">
    <w:nsid w:val="79225D69"/>
    <w:multiLevelType w:val="multilevel"/>
    <w:tmpl w:val="8C46D79E"/>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50">
    <w:nsid w:val="79D8169C"/>
    <w:multiLevelType w:val="multilevel"/>
    <w:tmpl w:val="CEE497EE"/>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51">
    <w:nsid w:val="79DB0C1C"/>
    <w:multiLevelType w:val="singleLevel"/>
    <w:tmpl w:val="80EC561A"/>
    <w:lvl w:ilvl="0">
      <w:start w:val="2"/>
      <w:numFmt w:val="bullet"/>
      <w:lvlText w:val="-"/>
      <w:lvlJc w:val="left"/>
      <w:pPr>
        <w:tabs>
          <w:tab w:val="num" w:pos="360"/>
        </w:tabs>
        <w:ind w:left="360" w:hanging="360"/>
      </w:pPr>
      <w:rPr>
        <w:rFonts w:ascii="Times New Roman" w:hAnsi="Times New Roman"/>
        <w:rtl w:val="0"/>
      </w:rPr>
    </w:lvl>
  </w:abstractNum>
  <w:abstractNum w:abstractNumId="152">
    <w:nsid w:val="79E63B24"/>
    <w:multiLevelType w:val="hybridMultilevel"/>
    <w:tmpl w:val="2A36AA70"/>
    <w:lvl w:ilvl="0">
      <w:start w:val="1"/>
      <w:numFmt w:val="bullet"/>
      <w:lvlText w:val=""/>
      <w:lvlJc w:val="left"/>
      <w:pPr>
        <w:tabs>
          <w:tab w:val="num" w:pos="720"/>
        </w:tabs>
        <w:ind w:left="720" w:hanging="360"/>
      </w:pPr>
      <w:rPr>
        <w:rFonts w:ascii="Wingdings" w:hAnsi="Wingdings"/>
        <w:rtl w:val="0"/>
      </w:rPr>
    </w:lvl>
    <w:lvl w:ilvl="1">
      <w:start w:val="1"/>
      <w:numFmt w:val="bullet"/>
      <w:lvlText w:val=""/>
      <w:lvlJc w:val="left"/>
      <w:pPr>
        <w:tabs>
          <w:tab w:val="num" w:pos="1440"/>
        </w:tabs>
        <w:ind w:left="1440" w:hanging="360"/>
      </w:pPr>
      <w:rPr>
        <w:rFonts w:ascii="Wingdings" w:hAnsi="Wingdings"/>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53">
    <w:nsid w:val="7ADA4071"/>
    <w:multiLevelType w:val="hybridMultilevel"/>
    <w:tmpl w:val="BA361ACC"/>
    <w:lvl w:ilvl="0">
      <w:start w:val="1"/>
      <w:numFmt w:val="bullet"/>
      <w:lvlText w:val=""/>
      <w:lvlJc w:val="left"/>
      <w:pPr>
        <w:tabs>
          <w:tab w:val="num" w:pos="1428"/>
        </w:tabs>
        <w:ind w:left="1428" w:hanging="360"/>
      </w:pPr>
      <w:rPr>
        <w:rFonts w:ascii="Wingdings" w:hAnsi="Wingdings"/>
        <w:rtl w:val="0"/>
      </w:rPr>
    </w:lvl>
    <w:lvl w:ilvl="1">
      <w:start w:val="1"/>
      <w:numFmt w:val="bullet"/>
      <w:lvlText w:val="o"/>
      <w:lvlJc w:val="left"/>
      <w:pPr>
        <w:tabs>
          <w:tab w:val="num" w:pos="2148"/>
        </w:tabs>
        <w:ind w:left="2148" w:hanging="360"/>
      </w:pPr>
      <w:rPr>
        <w:rFonts w:ascii="Courier New" w:hAnsi="Courier New" w:cs="Courier New"/>
        <w:rtl w:val="0"/>
      </w:rPr>
    </w:lvl>
    <w:lvl w:ilvl="2">
      <w:start w:val="1"/>
      <w:numFmt w:val="bullet"/>
      <w:lvlText w:val=""/>
      <w:lvlJc w:val="left"/>
      <w:pPr>
        <w:tabs>
          <w:tab w:val="num" w:pos="2868"/>
        </w:tabs>
        <w:ind w:left="2868" w:hanging="360"/>
      </w:pPr>
      <w:rPr>
        <w:rFonts w:ascii="Wingdings" w:hAnsi="Wingdings"/>
        <w:rtl w:val="0"/>
      </w:rPr>
    </w:lvl>
    <w:lvl w:ilvl="3">
      <w:start w:val="1"/>
      <w:numFmt w:val="bullet"/>
      <w:lvlText w:val=""/>
      <w:lvlJc w:val="left"/>
      <w:pPr>
        <w:tabs>
          <w:tab w:val="num" w:pos="3588"/>
        </w:tabs>
        <w:ind w:left="3588" w:hanging="360"/>
      </w:pPr>
      <w:rPr>
        <w:rFonts w:ascii="Symbol" w:hAnsi="Symbol"/>
        <w:rtl w:val="0"/>
      </w:rPr>
    </w:lvl>
    <w:lvl w:ilvl="4">
      <w:start w:val="1"/>
      <w:numFmt w:val="bullet"/>
      <w:lvlText w:val="o"/>
      <w:lvlJc w:val="left"/>
      <w:pPr>
        <w:tabs>
          <w:tab w:val="num" w:pos="4308"/>
        </w:tabs>
        <w:ind w:left="4308" w:hanging="360"/>
      </w:pPr>
      <w:rPr>
        <w:rFonts w:ascii="Courier New" w:hAnsi="Courier New" w:cs="Courier New"/>
        <w:rtl w:val="0"/>
      </w:rPr>
    </w:lvl>
    <w:lvl w:ilvl="5">
      <w:start w:val="1"/>
      <w:numFmt w:val="bullet"/>
      <w:lvlText w:val=""/>
      <w:lvlJc w:val="left"/>
      <w:pPr>
        <w:tabs>
          <w:tab w:val="num" w:pos="5028"/>
        </w:tabs>
        <w:ind w:left="5028" w:hanging="360"/>
      </w:pPr>
      <w:rPr>
        <w:rFonts w:ascii="Wingdings" w:hAnsi="Wingdings"/>
        <w:rtl w:val="0"/>
      </w:rPr>
    </w:lvl>
    <w:lvl w:ilvl="6">
      <w:start w:val="1"/>
      <w:numFmt w:val="bullet"/>
      <w:lvlText w:val=""/>
      <w:lvlJc w:val="left"/>
      <w:pPr>
        <w:tabs>
          <w:tab w:val="num" w:pos="5748"/>
        </w:tabs>
        <w:ind w:left="5748" w:hanging="360"/>
      </w:pPr>
      <w:rPr>
        <w:rFonts w:ascii="Symbol" w:hAnsi="Symbol"/>
        <w:rtl w:val="0"/>
      </w:rPr>
    </w:lvl>
    <w:lvl w:ilvl="7">
      <w:start w:val="1"/>
      <w:numFmt w:val="bullet"/>
      <w:lvlText w:val="o"/>
      <w:lvlJc w:val="left"/>
      <w:pPr>
        <w:tabs>
          <w:tab w:val="num" w:pos="6468"/>
        </w:tabs>
        <w:ind w:left="6468" w:hanging="360"/>
      </w:pPr>
      <w:rPr>
        <w:rFonts w:ascii="Courier New" w:hAnsi="Courier New" w:cs="Courier New"/>
        <w:rtl w:val="0"/>
      </w:rPr>
    </w:lvl>
    <w:lvl w:ilvl="8">
      <w:start w:val="1"/>
      <w:numFmt w:val="bullet"/>
      <w:lvlText w:val=""/>
      <w:lvlJc w:val="left"/>
      <w:pPr>
        <w:tabs>
          <w:tab w:val="num" w:pos="7188"/>
        </w:tabs>
        <w:ind w:left="7188" w:hanging="360"/>
      </w:pPr>
      <w:rPr>
        <w:rFonts w:ascii="Wingdings" w:hAnsi="Wingdings"/>
        <w:rtl w:val="0"/>
      </w:rPr>
    </w:lvl>
  </w:abstractNum>
  <w:abstractNum w:abstractNumId="154">
    <w:nsid w:val="7CB571CA"/>
    <w:multiLevelType w:val="hybridMultilevel"/>
    <w:tmpl w:val="556C635E"/>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55">
    <w:nsid w:val="7D7D76EC"/>
    <w:multiLevelType w:val="multilevel"/>
    <w:tmpl w:val="F4FE6332"/>
    <w:lvl w:ilvl="0">
      <w:start w:val="6"/>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9"/>
  </w:num>
  <w:num w:numId="2">
    <w:abstractNumId w:val="108"/>
  </w:num>
  <w:num w:numId="3">
    <w:abstractNumId w:val="113"/>
  </w:num>
  <w:num w:numId="4">
    <w:abstractNumId w:val="154"/>
  </w:num>
  <w:num w:numId="5">
    <w:abstractNumId w:val="110"/>
  </w:num>
  <w:num w:numId="6">
    <w:abstractNumId w:val="81"/>
  </w:num>
  <w:num w:numId="7">
    <w:abstractNumId w:val="12"/>
  </w:num>
  <w:num w:numId="8">
    <w:abstractNumId w:val="82"/>
  </w:num>
  <w:num w:numId="9">
    <w:abstractNumId w:val="68"/>
  </w:num>
  <w:num w:numId="10">
    <w:abstractNumId w:val="139"/>
  </w:num>
  <w:num w:numId="11">
    <w:abstractNumId w:val="122"/>
  </w:num>
  <w:num w:numId="12">
    <w:abstractNumId w:val="55"/>
  </w:num>
  <w:num w:numId="13">
    <w:abstractNumId w:val="14"/>
  </w:num>
  <w:num w:numId="14">
    <w:abstractNumId w:val="53"/>
  </w:num>
  <w:num w:numId="15">
    <w:abstractNumId w:val="94"/>
  </w:num>
  <w:num w:numId="16">
    <w:abstractNumId w:val="106"/>
  </w:num>
  <w:num w:numId="17">
    <w:abstractNumId w:val="56"/>
  </w:num>
  <w:num w:numId="18">
    <w:abstractNumId w:val="92"/>
  </w:num>
  <w:num w:numId="19">
    <w:abstractNumId w:val="137"/>
  </w:num>
  <w:num w:numId="20">
    <w:abstractNumId w:val="127"/>
  </w:num>
  <w:num w:numId="21">
    <w:abstractNumId w:val="93"/>
  </w:num>
  <w:num w:numId="22">
    <w:abstractNumId w:val="143"/>
  </w:num>
  <w:num w:numId="23">
    <w:abstractNumId w:val="153"/>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32"/>
  </w:num>
  <w:num w:numId="35">
    <w:abstractNumId w:val="100"/>
  </w:num>
  <w:num w:numId="36">
    <w:abstractNumId w:val="45"/>
  </w:num>
  <w:num w:numId="37">
    <w:abstractNumId w:val="40"/>
  </w:num>
  <w:num w:numId="38">
    <w:abstractNumId w:val="69"/>
  </w:num>
  <w:num w:numId="39">
    <w:abstractNumId w:val="107"/>
  </w:num>
  <w:num w:numId="40">
    <w:abstractNumId w:val="37"/>
  </w:num>
  <w:num w:numId="41">
    <w:abstractNumId w:val="57"/>
  </w:num>
  <w:num w:numId="42">
    <w:abstractNumId w:val="84"/>
  </w:num>
  <w:num w:numId="43">
    <w:abstractNumId w:val="118"/>
  </w:num>
  <w:num w:numId="44">
    <w:abstractNumId w:val="29"/>
  </w:num>
  <w:num w:numId="45">
    <w:abstractNumId w:val="30"/>
  </w:num>
  <w:num w:numId="46">
    <w:abstractNumId w:val="70"/>
  </w:num>
  <w:num w:numId="47">
    <w:abstractNumId w:val="83"/>
  </w:num>
  <w:num w:numId="48">
    <w:abstractNumId w:val="97"/>
  </w:num>
  <w:num w:numId="49">
    <w:abstractNumId w:val="77"/>
  </w:num>
  <w:num w:numId="50">
    <w:abstractNumId w:val="15"/>
  </w:num>
  <w:num w:numId="51">
    <w:abstractNumId w:val="151"/>
  </w:num>
  <w:num w:numId="52">
    <w:abstractNumId w:val="101"/>
  </w:num>
  <w:num w:numId="53">
    <w:abstractNumId w:val="47"/>
  </w:num>
  <w:num w:numId="54">
    <w:abstractNumId w:val="28"/>
  </w:num>
  <w:num w:numId="55">
    <w:abstractNumId w:val="44"/>
  </w:num>
  <w:num w:numId="56">
    <w:abstractNumId w:val="126"/>
  </w:num>
  <w:num w:numId="57">
    <w:abstractNumId w:val="48"/>
  </w:num>
  <w:num w:numId="58">
    <w:abstractNumId w:val="120"/>
  </w:num>
  <w:num w:numId="59">
    <w:abstractNumId w:val="41"/>
  </w:num>
  <w:num w:numId="60">
    <w:abstractNumId w:val="10"/>
    <w:lvlOverride w:ilvl="0">
      <w:lvl w:ilvl="0">
        <w:start w:val="1"/>
        <w:numFmt w:val="bullet"/>
        <w:lvlText w:val=""/>
        <w:legacy w:legacy="1" w:legacySpace="0" w:legacyIndent="283"/>
        <w:lvlJc w:val="left"/>
        <w:pPr>
          <w:ind w:left="283" w:hanging="283"/>
        </w:pPr>
        <w:rPr>
          <w:rFonts w:ascii="Symbol" w:hAnsi="Symbol"/>
          <w:rtl w:val="0"/>
        </w:rPr>
      </w:lvl>
    </w:lvlOverride>
  </w:num>
  <w:num w:numId="61">
    <w:abstractNumId w:val="27"/>
  </w:num>
  <w:num w:numId="62">
    <w:abstractNumId w:val="140"/>
  </w:num>
  <w:num w:numId="63">
    <w:abstractNumId w:val="98"/>
  </w:num>
  <w:num w:numId="64">
    <w:abstractNumId w:val="58"/>
  </w:num>
  <w:num w:numId="65">
    <w:abstractNumId w:val="19"/>
  </w:num>
  <w:num w:numId="66">
    <w:abstractNumId w:val="78"/>
  </w:num>
  <w:num w:numId="67">
    <w:abstractNumId w:val="65"/>
  </w:num>
  <w:num w:numId="68">
    <w:abstractNumId w:val="128"/>
  </w:num>
  <w:num w:numId="69">
    <w:abstractNumId w:val="34"/>
  </w:num>
  <w:num w:numId="70">
    <w:abstractNumId w:val="135"/>
  </w:num>
  <w:num w:numId="71">
    <w:abstractNumId w:val="141"/>
  </w:num>
  <w:num w:numId="72">
    <w:abstractNumId w:val="115"/>
  </w:num>
  <w:num w:numId="73">
    <w:abstractNumId w:val="73"/>
  </w:num>
  <w:num w:numId="74">
    <w:abstractNumId w:val="25"/>
  </w:num>
  <w:num w:numId="75">
    <w:abstractNumId w:val="25"/>
    <w:lvlOverride w:ilvl="0">
      <w:lvl w:ilvl="0">
        <w:start w:val="3"/>
        <w:numFmt w:val="decimal"/>
        <w:lvlText w:val="(%1) "/>
        <w:legacy w:legacy="1" w:legacySpace="0" w:legacyIndent="283"/>
        <w:lvlJc w:val="left"/>
        <w:pPr>
          <w:ind w:left="283" w:hanging="283"/>
        </w:pPr>
        <w:rPr>
          <w:rFonts w:ascii="Times New Roman" w:hAnsi="Times New Roman"/>
          <w:b w:val="0"/>
          <w:i w:val="0"/>
          <w:sz w:val="17"/>
          <w:u w:val="none"/>
          <w:rtl w:val="0"/>
        </w:rPr>
      </w:lvl>
    </w:lvlOverride>
  </w:num>
  <w:num w:numId="76">
    <w:abstractNumId w:val="136"/>
  </w:num>
  <w:num w:numId="77">
    <w:abstractNumId w:val="43"/>
  </w:num>
  <w:num w:numId="78">
    <w:abstractNumId w:val="109"/>
  </w:num>
  <w:num w:numId="79">
    <w:abstractNumId w:val="80"/>
  </w:num>
  <w:num w:numId="80">
    <w:abstractNumId w:val="17"/>
  </w:num>
  <w:num w:numId="81">
    <w:abstractNumId w:val="123"/>
  </w:num>
  <w:num w:numId="82">
    <w:abstractNumId w:val="76"/>
  </w:num>
  <w:num w:numId="83">
    <w:abstractNumId w:val="67"/>
  </w:num>
  <w:num w:numId="84">
    <w:abstractNumId w:val="86"/>
  </w:num>
  <w:num w:numId="85">
    <w:abstractNumId w:val="129"/>
  </w:num>
  <w:num w:numId="86">
    <w:abstractNumId w:val="125"/>
  </w:num>
  <w:num w:numId="87">
    <w:abstractNumId w:val="63"/>
  </w:num>
  <w:num w:numId="88">
    <w:abstractNumId w:val="102"/>
  </w:num>
  <w:num w:numId="89">
    <w:abstractNumId w:val="85"/>
  </w:num>
  <w:num w:numId="90">
    <w:abstractNumId w:val="121"/>
  </w:num>
  <w:num w:numId="91">
    <w:abstractNumId w:val="79"/>
  </w:num>
  <w:num w:numId="92">
    <w:abstractNumId w:val="111"/>
  </w:num>
  <w:num w:numId="93">
    <w:abstractNumId w:val="114"/>
  </w:num>
  <w:num w:numId="94">
    <w:abstractNumId w:val="142"/>
  </w:num>
  <w:num w:numId="95">
    <w:abstractNumId w:val="13"/>
  </w:num>
  <w:num w:numId="96">
    <w:abstractNumId w:val="62"/>
  </w:num>
  <w:num w:numId="97">
    <w:abstractNumId w:val="50"/>
  </w:num>
  <w:num w:numId="98">
    <w:abstractNumId w:val="147"/>
  </w:num>
  <w:num w:numId="99">
    <w:abstractNumId w:val="103"/>
  </w:num>
  <w:num w:numId="100">
    <w:abstractNumId w:val="26"/>
  </w:num>
  <w:num w:numId="101">
    <w:abstractNumId w:val="105"/>
  </w:num>
  <w:num w:numId="102">
    <w:abstractNumId w:val="117"/>
  </w:num>
  <w:num w:numId="103">
    <w:abstractNumId w:val="24"/>
  </w:num>
  <w:num w:numId="104">
    <w:abstractNumId w:val="90"/>
  </w:num>
  <w:num w:numId="105">
    <w:abstractNumId w:val="60"/>
  </w:num>
  <w:num w:numId="106">
    <w:abstractNumId w:val="61"/>
  </w:num>
  <w:num w:numId="107">
    <w:abstractNumId w:val="16"/>
  </w:num>
  <w:num w:numId="108">
    <w:abstractNumId w:val="54"/>
  </w:num>
  <w:num w:numId="109">
    <w:abstractNumId w:val="33"/>
  </w:num>
  <w:num w:numId="110">
    <w:abstractNumId w:val="51"/>
  </w:num>
  <w:num w:numId="111">
    <w:abstractNumId w:val="39"/>
  </w:num>
  <w:num w:numId="112">
    <w:abstractNumId w:val="96"/>
  </w:num>
  <w:num w:numId="113">
    <w:abstractNumId w:val="87"/>
  </w:num>
  <w:num w:numId="114">
    <w:abstractNumId w:val="119"/>
  </w:num>
  <w:num w:numId="115">
    <w:abstractNumId w:val="131"/>
  </w:num>
  <w:num w:numId="116">
    <w:abstractNumId w:val="23"/>
  </w:num>
  <w:num w:numId="117">
    <w:abstractNumId w:val="134"/>
  </w:num>
  <w:num w:numId="118">
    <w:abstractNumId w:val="144"/>
  </w:num>
  <w:num w:numId="119">
    <w:abstractNumId w:val="138"/>
  </w:num>
  <w:num w:numId="120">
    <w:abstractNumId w:val="52"/>
  </w:num>
  <w:num w:numId="121">
    <w:abstractNumId w:val="148"/>
  </w:num>
  <w:num w:numId="122">
    <w:abstractNumId w:val="146"/>
  </w:num>
  <w:num w:numId="123">
    <w:abstractNumId w:val="35"/>
  </w:num>
  <w:num w:numId="124">
    <w:abstractNumId w:val="152"/>
  </w:num>
  <w:num w:numId="125">
    <w:abstractNumId w:val="124"/>
  </w:num>
  <w:num w:numId="126">
    <w:abstractNumId w:val="42"/>
  </w:num>
  <w:num w:numId="127">
    <w:abstractNumId w:val="71"/>
  </w:num>
  <w:num w:numId="128">
    <w:abstractNumId w:val="95"/>
  </w:num>
  <w:num w:numId="129">
    <w:abstractNumId w:val="22"/>
  </w:num>
  <w:num w:numId="130">
    <w:abstractNumId w:val="133"/>
  </w:num>
  <w:num w:numId="131">
    <w:abstractNumId w:val="75"/>
  </w:num>
  <w:num w:numId="132">
    <w:abstractNumId w:val="91"/>
  </w:num>
  <w:num w:numId="133">
    <w:abstractNumId w:val="64"/>
  </w:num>
  <w:num w:numId="134">
    <w:abstractNumId w:val="11"/>
  </w:num>
  <w:num w:numId="135">
    <w:abstractNumId w:val="21"/>
  </w:num>
  <w:num w:numId="136">
    <w:abstractNumId w:val="145"/>
  </w:num>
  <w:num w:numId="137">
    <w:abstractNumId w:val="46"/>
  </w:num>
  <w:num w:numId="138">
    <w:abstractNumId w:val="149"/>
  </w:num>
  <w:num w:numId="139">
    <w:abstractNumId w:val="112"/>
  </w:num>
  <w:num w:numId="140">
    <w:abstractNumId w:val="116"/>
  </w:num>
  <w:num w:numId="141">
    <w:abstractNumId w:val="59"/>
  </w:num>
  <w:num w:numId="142">
    <w:abstractNumId w:val="99"/>
  </w:num>
  <w:num w:numId="143">
    <w:abstractNumId w:val="38"/>
  </w:num>
  <w:num w:numId="144">
    <w:abstractNumId w:val="66"/>
  </w:num>
  <w:num w:numId="145">
    <w:abstractNumId w:val="18"/>
  </w:num>
  <w:num w:numId="146">
    <w:abstractNumId w:val="150"/>
  </w:num>
  <w:num w:numId="147">
    <w:abstractNumId w:val="36"/>
  </w:num>
  <w:num w:numId="148">
    <w:abstractNumId w:val="74"/>
  </w:num>
  <w:num w:numId="149">
    <w:abstractNumId w:val="132"/>
  </w:num>
  <w:num w:numId="150">
    <w:abstractNumId w:val="72"/>
  </w:num>
  <w:num w:numId="151">
    <w:abstractNumId w:val="20"/>
  </w:num>
  <w:num w:numId="152">
    <w:abstractNumId w:val="130"/>
  </w:num>
  <w:num w:numId="153">
    <w:abstractNumId w:val="104"/>
  </w:num>
  <w:num w:numId="154">
    <w:abstractNumId w:val="31"/>
  </w:num>
  <w:num w:numId="155">
    <w:abstractNumId w:val="155"/>
  </w:num>
  <w:num w:numId="156">
    <w:abstractNumId w:val="89"/>
  </w:num>
  <w:num w:numId="157">
    <w:abstractNumId w:val="8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02AFB"/>
    <w:rsid w:val="00004BA5"/>
    <w:rsid w:val="00005E68"/>
    <w:rsid w:val="00006CEE"/>
    <w:rsid w:val="0001680D"/>
    <w:rsid w:val="000229EA"/>
    <w:rsid w:val="00026EC7"/>
    <w:rsid w:val="00044AB9"/>
    <w:rsid w:val="000519CF"/>
    <w:rsid w:val="00073868"/>
    <w:rsid w:val="00076B55"/>
    <w:rsid w:val="00091D7B"/>
    <w:rsid w:val="0009757E"/>
    <w:rsid w:val="00097E86"/>
    <w:rsid w:val="000A5F31"/>
    <w:rsid w:val="000B2622"/>
    <w:rsid w:val="000B78CD"/>
    <w:rsid w:val="000C7870"/>
    <w:rsid w:val="000D4F4F"/>
    <w:rsid w:val="000E32E7"/>
    <w:rsid w:val="000E5726"/>
    <w:rsid w:val="000E783B"/>
    <w:rsid w:val="000F3A0B"/>
    <w:rsid w:val="000F50C9"/>
    <w:rsid w:val="00105636"/>
    <w:rsid w:val="001057AF"/>
    <w:rsid w:val="00107702"/>
    <w:rsid w:val="00115D36"/>
    <w:rsid w:val="00116A29"/>
    <w:rsid w:val="0012235F"/>
    <w:rsid w:val="00123955"/>
    <w:rsid w:val="0012489C"/>
    <w:rsid w:val="00125CB5"/>
    <w:rsid w:val="00135883"/>
    <w:rsid w:val="00136361"/>
    <w:rsid w:val="00145D9B"/>
    <w:rsid w:val="0015273E"/>
    <w:rsid w:val="001548C7"/>
    <w:rsid w:val="0016092F"/>
    <w:rsid w:val="001644BD"/>
    <w:rsid w:val="00164C8F"/>
    <w:rsid w:val="00180976"/>
    <w:rsid w:val="001844E4"/>
    <w:rsid w:val="00185333"/>
    <w:rsid w:val="00193342"/>
    <w:rsid w:val="00194ECD"/>
    <w:rsid w:val="00195395"/>
    <w:rsid w:val="001B08E6"/>
    <w:rsid w:val="001B0C2D"/>
    <w:rsid w:val="001B49D2"/>
    <w:rsid w:val="001C531B"/>
    <w:rsid w:val="001C694E"/>
    <w:rsid w:val="001D1AD2"/>
    <w:rsid w:val="001D64A6"/>
    <w:rsid w:val="001E135D"/>
    <w:rsid w:val="001F00FA"/>
    <w:rsid w:val="001F79A1"/>
    <w:rsid w:val="00202CE9"/>
    <w:rsid w:val="00216E84"/>
    <w:rsid w:val="00216FEE"/>
    <w:rsid w:val="0022009A"/>
    <w:rsid w:val="0022078A"/>
    <w:rsid w:val="00221E29"/>
    <w:rsid w:val="00234CF8"/>
    <w:rsid w:val="0024053C"/>
    <w:rsid w:val="002455E6"/>
    <w:rsid w:val="00245B1C"/>
    <w:rsid w:val="00254E79"/>
    <w:rsid w:val="00271C03"/>
    <w:rsid w:val="00276C78"/>
    <w:rsid w:val="00280AFE"/>
    <w:rsid w:val="00285C83"/>
    <w:rsid w:val="00290675"/>
    <w:rsid w:val="00293C61"/>
    <w:rsid w:val="00293F00"/>
    <w:rsid w:val="00294DD1"/>
    <w:rsid w:val="002A2F25"/>
    <w:rsid w:val="002C1636"/>
    <w:rsid w:val="002C1769"/>
    <w:rsid w:val="002C30D3"/>
    <w:rsid w:val="002C3A6E"/>
    <w:rsid w:val="002D4F95"/>
    <w:rsid w:val="002E07F2"/>
    <w:rsid w:val="002E5FC9"/>
    <w:rsid w:val="002F1240"/>
    <w:rsid w:val="002F1B65"/>
    <w:rsid w:val="002F3286"/>
    <w:rsid w:val="002F44B5"/>
    <w:rsid w:val="0030516A"/>
    <w:rsid w:val="00313DF9"/>
    <w:rsid w:val="0031788E"/>
    <w:rsid w:val="00322B9A"/>
    <w:rsid w:val="003262B2"/>
    <w:rsid w:val="0035174B"/>
    <w:rsid w:val="00360257"/>
    <w:rsid w:val="00366416"/>
    <w:rsid w:val="0037268F"/>
    <w:rsid w:val="00374A3D"/>
    <w:rsid w:val="0037700B"/>
    <w:rsid w:val="00387C57"/>
    <w:rsid w:val="003943A2"/>
    <w:rsid w:val="003A36BA"/>
    <w:rsid w:val="003A5C2C"/>
    <w:rsid w:val="003A7719"/>
    <w:rsid w:val="003A7B43"/>
    <w:rsid w:val="003B626F"/>
    <w:rsid w:val="003C25C9"/>
    <w:rsid w:val="003C7A2D"/>
    <w:rsid w:val="003E067A"/>
    <w:rsid w:val="003E2DFB"/>
    <w:rsid w:val="003F1E58"/>
    <w:rsid w:val="003F4B32"/>
    <w:rsid w:val="003F68AC"/>
    <w:rsid w:val="00401321"/>
    <w:rsid w:val="004021C0"/>
    <w:rsid w:val="00405614"/>
    <w:rsid w:val="004117C6"/>
    <w:rsid w:val="0042266D"/>
    <w:rsid w:val="00437FA0"/>
    <w:rsid w:val="00440C19"/>
    <w:rsid w:val="00442AA9"/>
    <w:rsid w:val="004437B4"/>
    <w:rsid w:val="00455324"/>
    <w:rsid w:val="004618B7"/>
    <w:rsid w:val="004647D8"/>
    <w:rsid w:val="00472CA4"/>
    <w:rsid w:val="004755CB"/>
    <w:rsid w:val="004843D5"/>
    <w:rsid w:val="004844AD"/>
    <w:rsid w:val="0048644A"/>
    <w:rsid w:val="004A3955"/>
    <w:rsid w:val="004A64B4"/>
    <w:rsid w:val="004B0056"/>
    <w:rsid w:val="004B4A36"/>
    <w:rsid w:val="004B7651"/>
    <w:rsid w:val="004C66C0"/>
    <w:rsid w:val="004D0BD0"/>
    <w:rsid w:val="004D0F37"/>
    <w:rsid w:val="004D4B19"/>
    <w:rsid w:val="004F0DB8"/>
    <w:rsid w:val="00500408"/>
    <w:rsid w:val="00505905"/>
    <w:rsid w:val="00513DF2"/>
    <w:rsid w:val="005144C1"/>
    <w:rsid w:val="00514D23"/>
    <w:rsid w:val="00524382"/>
    <w:rsid w:val="0052591C"/>
    <w:rsid w:val="00527460"/>
    <w:rsid w:val="0053431D"/>
    <w:rsid w:val="00543EB3"/>
    <w:rsid w:val="0055046E"/>
    <w:rsid w:val="005645FB"/>
    <w:rsid w:val="00570F0E"/>
    <w:rsid w:val="005728F0"/>
    <w:rsid w:val="00573163"/>
    <w:rsid w:val="005731F8"/>
    <w:rsid w:val="0057579C"/>
    <w:rsid w:val="005825A4"/>
    <w:rsid w:val="00585D15"/>
    <w:rsid w:val="005B3CDB"/>
    <w:rsid w:val="005C771C"/>
    <w:rsid w:val="005D061B"/>
    <w:rsid w:val="005D1E91"/>
    <w:rsid w:val="005E13AA"/>
    <w:rsid w:val="005E6D32"/>
    <w:rsid w:val="0060489D"/>
    <w:rsid w:val="006112D2"/>
    <w:rsid w:val="006202D9"/>
    <w:rsid w:val="00627B90"/>
    <w:rsid w:val="00630ECA"/>
    <w:rsid w:val="00633CCB"/>
    <w:rsid w:val="00644DA1"/>
    <w:rsid w:val="00650911"/>
    <w:rsid w:val="006525F1"/>
    <w:rsid w:val="00655CFF"/>
    <w:rsid w:val="00656862"/>
    <w:rsid w:val="00661F9D"/>
    <w:rsid w:val="00662F05"/>
    <w:rsid w:val="00665130"/>
    <w:rsid w:val="00665F7A"/>
    <w:rsid w:val="00671758"/>
    <w:rsid w:val="00672D42"/>
    <w:rsid w:val="006766F0"/>
    <w:rsid w:val="006A5ED2"/>
    <w:rsid w:val="006A789B"/>
    <w:rsid w:val="006B5935"/>
    <w:rsid w:val="006C5C90"/>
    <w:rsid w:val="006D71B5"/>
    <w:rsid w:val="006E009B"/>
    <w:rsid w:val="006E0D56"/>
    <w:rsid w:val="006E21FF"/>
    <w:rsid w:val="006E6FDB"/>
    <w:rsid w:val="006F2170"/>
    <w:rsid w:val="006F69FD"/>
    <w:rsid w:val="007044F6"/>
    <w:rsid w:val="00706E9E"/>
    <w:rsid w:val="00710F5B"/>
    <w:rsid w:val="007129B9"/>
    <w:rsid w:val="00714EA1"/>
    <w:rsid w:val="00715DEB"/>
    <w:rsid w:val="00716D8B"/>
    <w:rsid w:val="00720DF1"/>
    <w:rsid w:val="00730D09"/>
    <w:rsid w:val="00731157"/>
    <w:rsid w:val="00731B39"/>
    <w:rsid w:val="00742083"/>
    <w:rsid w:val="00766559"/>
    <w:rsid w:val="0079055B"/>
    <w:rsid w:val="0079062F"/>
    <w:rsid w:val="00792AFE"/>
    <w:rsid w:val="007A4B6F"/>
    <w:rsid w:val="007A7D9D"/>
    <w:rsid w:val="007B14BD"/>
    <w:rsid w:val="007B4BBD"/>
    <w:rsid w:val="007C3FEB"/>
    <w:rsid w:val="007C4CC1"/>
    <w:rsid w:val="007C62F2"/>
    <w:rsid w:val="007D0B59"/>
    <w:rsid w:val="007E12AA"/>
    <w:rsid w:val="007E5A3B"/>
    <w:rsid w:val="007F7AB9"/>
    <w:rsid w:val="008015E0"/>
    <w:rsid w:val="00803B78"/>
    <w:rsid w:val="00804CDB"/>
    <w:rsid w:val="0080760D"/>
    <w:rsid w:val="00820906"/>
    <w:rsid w:val="008226AB"/>
    <w:rsid w:val="00823F3C"/>
    <w:rsid w:val="0083017F"/>
    <w:rsid w:val="008351DF"/>
    <w:rsid w:val="00841532"/>
    <w:rsid w:val="00843F62"/>
    <w:rsid w:val="00844221"/>
    <w:rsid w:val="00845E68"/>
    <w:rsid w:val="0084778E"/>
    <w:rsid w:val="0085019B"/>
    <w:rsid w:val="00850A45"/>
    <w:rsid w:val="00850AB2"/>
    <w:rsid w:val="00861599"/>
    <w:rsid w:val="00862714"/>
    <w:rsid w:val="00863DCF"/>
    <w:rsid w:val="0088143A"/>
    <w:rsid w:val="00881EDE"/>
    <w:rsid w:val="00885980"/>
    <w:rsid w:val="008D2CD3"/>
    <w:rsid w:val="008E4E2F"/>
    <w:rsid w:val="008E6B27"/>
    <w:rsid w:val="00921AF4"/>
    <w:rsid w:val="009270AE"/>
    <w:rsid w:val="009343AC"/>
    <w:rsid w:val="00934689"/>
    <w:rsid w:val="00935080"/>
    <w:rsid w:val="0094429A"/>
    <w:rsid w:val="009529ED"/>
    <w:rsid w:val="0096069D"/>
    <w:rsid w:val="00972698"/>
    <w:rsid w:val="0097323D"/>
    <w:rsid w:val="00976CDF"/>
    <w:rsid w:val="00984A7D"/>
    <w:rsid w:val="009A2158"/>
    <w:rsid w:val="009A28F0"/>
    <w:rsid w:val="009B158D"/>
    <w:rsid w:val="009C0B01"/>
    <w:rsid w:val="009C5765"/>
    <w:rsid w:val="009C57A2"/>
    <w:rsid w:val="009C7C06"/>
    <w:rsid w:val="009D235D"/>
    <w:rsid w:val="009D367B"/>
    <w:rsid w:val="009D3EA6"/>
    <w:rsid w:val="009D67C4"/>
    <w:rsid w:val="009D6A1D"/>
    <w:rsid w:val="009F7480"/>
    <w:rsid w:val="00A00100"/>
    <w:rsid w:val="00A01D9A"/>
    <w:rsid w:val="00A01DC4"/>
    <w:rsid w:val="00A06985"/>
    <w:rsid w:val="00A07D9D"/>
    <w:rsid w:val="00A1677A"/>
    <w:rsid w:val="00A23A7A"/>
    <w:rsid w:val="00A2736B"/>
    <w:rsid w:val="00A275EE"/>
    <w:rsid w:val="00A30410"/>
    <w:rsid w:val="00A42301"/>
    <w:rsid w:val="00A51204"/>
    <w:rsid w:val="00A522AA"/>
    <w:rsid w:val="00A52D64"/>
    <w:rsid w:val="00A7380F"/>
    <w:rsid w:val="00A74F9A"/>
    <w:rsid w:val="00A7631D"/>
    <w:rsid w:val="00A801E6"/>
    <w:rsid w:val="00A871C2"/>
    <w:rsid w:val="00AA240D"/>
    <w:rsid w:val="00AA6AB2"/>
    <w:rsid w:val="00AB23FE"/>
    <w:rsid w:val="00AC7358"/>
    <w:rsid w:val="00AD263C"/>
    <w:rsid w:val="00AE0B89"/>
    <w:rsid w:val="00AF5AAF"/>
    <w:rsid w:val="00AF7A1B"/>
    <w:rsid w:val="00B11093"/>
    <w:rsid w:val="00B143C0"/>
    <w:rsid w:val="00B248F0"/>
    <w:rsid w:val="00B342FB"/>
    <w:rsid w:val="00B52B2D"/>
    <w:rsid w:val="00B534F8"/>
    <w:rsid w:val="00B60426"/>
    <w:rsid w:val="00B614A3"/>
    <w:rsid w:val="00B64DC4"/>
    <w:rsid w:val="00B652E3"/>
    <w:rsid w:val="00B705AE"/>
    <w:rsid w:val="00B75FFC"/>
    <w:rsid w:val="00B81FCD"/>
    <w:rsid w:val="00B84836"/>
    <w:rsid w:val="00B867AC"/>
    <w:rsid w:val="00B93D52"/>
    <w:rsid w:val="00B9650B"/>
    <w:rsid w:val="00BA5AD4"/>
    <w:rsid w:val="00BA6BDE"/>
    <w:rsid w:val="00BB6E8D"/>
    <w:rsid w:val="00BC31E3"/>
    <w:rsid w:val="00BD2388"/>
    <w:rsid w:val="00C01997"/>
    <w:rsid w:val="00C04BF8"/>
    <w:rsid w:val="00C04F45"/>
    <w:rsid w:val="00C2680B"/>
    <w:rsid w:val="00C27D09"/>
    <w:rsid w:val="00C30955"/>
    <w:rsid w:val="00C311BA"/>
    <w:rsid w:val="00C344DB"/>
    <w:rsid w:val="00C35185"/>
    <w:rsid w:val="00C41DF9"/>
    <w:rsid w:val="00C4722E"/>
    <w:rsid w:val="00C51104"/>
    <w:rsid w:val="00C61278"/>
    <w:rsid w:val="00C621C0"/>
    <w:rsid w:val="00C6482D"/>
    <w:rsid w:val="00C651EB"/>
    <w:rsid w:val="00C6741A"/>
    <w:rsid w:val="00C77ABB"/>
    <w:rsid w:val="00C828C2"/>
    <w:rsid w:val="00C83FA9"/>
    <w:rsid w:val="00C95A90"/>
    <w:rsid w:val="00C96D96"/>
    <w:rsid w:val="00CA54D0"/>
    <w:rsid w:val="00CA660A"/>
    <w:rsid w:val="00CD1590"/>
    <w:rsid w:val="00CD4423"/>
    <w:rsid w:val="00CE0802"/>
    <w:rsid w:val="00CE264A"/>
    <w:rsid w:val="00CE270A"/>
    <w:rsid w:val="00CE329A"/>
    <w:rsid w:val="00CF5CF5"/>
    <w:rsid w:val="00CF7CAE"/>
    <w:rsid w:val="00D04455"/>
    <w:rsid w:val="00D16C41"/>
    <w:rsid w:val="00D25B87"/>
    <w:rsid w:val="00D3015B"/>
    <w:rsid w:val="00D31CBF"/>
    <w:rsid w:val="00D351C4"/>
    <w:rsid w:val="00D40CB2"/>
    <w:rsid w:val="00D42C44"/>
    <w:rsid w:val="00D43267"/>
    <w:rsid w:val="00D44C26"/>
    <w:rsid w:val="00D455C2"/>
    <w:rsid w:val="00D554E3"/>
    <w:rsid w:val="00D56A92"/>
    <w:rsid w:val="00D6192D"/>
    <w:rsid w:val="00D64A49"/>
    <w:rsid w:val="00D66D2B"/>
    <w:rsid w:val="00D728C1"/>
    <w:rsid w:val="00D8280A"/>
    <w:rsid w:val="00D84AE7"/>
    <w:rsid w:val="00D869ED"/>
    <w:rsid w:val="00D90750"/>
    <w:rsid w:val="00DA3B8E"/>
    <w:rsid w:val="00DA700C"/>
    <w:rsid w:val="00DD36B3"/>
    <w:rsid w:val="00DD4BB9"/>
    <w:rsid w:val="00DD799E"/>
    <w:rsid w:val="00DE0BCD"/>
    <w:rsid w:val="00DE0EF0"/>
    <w:rsid w:val="00DE12CB"/>
    <w:rsid w:val="00DE3128"/>
    <w:rsid w:val="00DE6857"/>
    <w:rsid w:val="00DF014C"/>
    <w:rsid w:val="00E02C23"/>
    <w:rsid w:val="00E046F6"/>
    <w:rsid w:val="00E06D0D"/>
    <w:rsid w:val="00E07075"/>
    <w:rsid w:val="00E072FC"/>
    <w:rsid w:val="00E20306"/>
    <w:rsid w:val="00E2114E"/>
    <w:rsid w:val="00E24E2E"/>
    <w:rsid w:val="00E27102"/>
    <w:rsid w:val="00E304FC"/>
    <w:rsid w:val="00E42525"/>
    <w:rsid w:val="00E70D54"/>
    <w:rsid w:val="00E75695"/>
    <w:rsid w:val="00E77B8A"/>
    <w:rsid w:val="00E83E2D"/>
    <w:rsid w:val="00E87715"/>
    <w:rsid w:val="00E936FD"/>
    <w:rsid w:val="00E942A5"/>
    <w:rsid w:val="00E95DE1"/>
    <w:rsid w:val="00EA23FB"/>
    <w:rsid w:val="00EA72AD"/>
    <w:rsid w:val="00EB3526"/>
    <w:rsid w:val="00EB6F17"/>
    <w:rsid w:val="00EC7681"/>
    <w:rsid w:val="00ED032B"/>
    <w:rsid w:val="00ED222B"/>
    <w:rsid w:val="00EE21BD"/>
    <w:rsid w:val="00EE3D3E"/>
    <w:rsid w:val="00EF0FAA"/>
    <w:rsid w:val="00F01695"/>
    <w:rsid w:val="00F057BD"/>
    <w:rsid w:val="00F057E0"/>
    <w:rsid w:val="00F05D38"/>
    <w:rsid w:val="00F0691C"/>
    <w:rsid w:val="00F11585"/>
    <w:rsid w:val="00F22245"/>
    <w:rsid w:val="00F27254"/>
    <w:rsid w:val="00F3685E"/>
    <w:rsid w:val="00F3714D"/>
    <w:rsid w:val="00F410C9"/>
    <w:rsid w:val="00F42A14"/>
    <w:rsid w:val="00F43CF6"/>
    <w:rsid w:val="00F45A6D"/>
    <w:rsid w:val="00F6683E"/>
    <w:rsid w:val="00F72A44"/>
    <w:rsid w:val="00F72EA0"/>
    <w:rsid w:val="00F80AAE"/>
    <w:rsid w:val="00F928B3"/>
    <w:rsid w:val="00F94048"/>
    <w:rsid w:val="00FA0ABE"/>
    <w:rsid w:val="00FA1BC0"/>
    <w:rsid w:val="00FB0B78"/>
    <w:rsid w:val="00FB56E1"/>
    <w:rsid w:val="00FB6644"/>
    <w:rsid w:val="00FB7C2A"/>
    <w:rsid w:val="00FD584E"/>
    <w:rsid w:val="00FE04E6"/>
    <w:rsid w:val="00FE2600"/>
    <w:rsid w:val="00FE3BD2"/>
    <w:rsid w:val="00FF0D9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95"/>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rsid w:val="00FB6644"/>
    <w:pPr>
      <w:keepNext/>
      <w:jc w:val="center"/>
      <w:outlineLvl w:val="0"/>
    </w:pPr>
    <w:rPr>
      <w:rFonts w:ascii="Arial Narrow" w:hAnsi="Arial Narrow"/>
      <w:b/>
      <w:bCs/>
    </w:rPr>
  </w:style>
  <w:style w:type="paragraph" w:styleId="Heading2">
    <w:name w:val="heading 2"/>
    <w:basedOn w:val="Normal"/>
    <w:next w:val="Normal"/>
    <w:uiPriority w:val="9"/>
    <w:qFormat/>
    <w:rsid w:val="00FB6644"/>
    <w:pPr>
      <w:keepNext/>
      <w:jc w:val="left"/>
      <w:outlineLvl w:val="1"/>
    </w:pPr>
    <w:rPr>
      <w:rFonts w:ascii="Arial Narrow" w:hAnsi="Arial Narrow"/>
      <w:b/>
      <w:bCs/>
      <w:sz w:val="20"/>
    </w:rPr>
  </w:style>
  <w:style w:type="paragraph" w:styleId="Heading3">
    <w:name w:val="heading 3"/>
    <w:basedOn w:val="Normal"/>
    <w:next w:val="Normal"/>
    <w:uiPriority w:val="9"/>
    <w:qFormat/>
    <w:rsid w:val="00FB6644"/>
    <w:pPr>
      <w:keepNext/>
      <w:spacing w:before="240" w:after="60"/>
      <w:jc w:val="left"/>
      <w:outlineLvl w:val="2"/>
    </w:pPr>
    <w:rPr>
      <w:rFonts w:ascii="Arial" w:hAnsi="Arial" w:cs="Arial"/>
      <w:b/>
      <w:bCs/>
      <w:sz w:val="26"/>
      <w:szCs w:val="26"/>
    </w:rPr>
  </w:style>
  <w:style w:type="paragraph" w:styleId="Heading4">
    <w:name w:val="heading 4"/>
    <w:basedOn w:val="Normal"/>
    <w:next w:val="Normal"/>
    <w:uiPriority w:val="9"/>
    <w:qFormat/>
    <w:rsid w:val="00FB6644"/>
    <w:pPr>
      <w:keepNext/>
      <w:jc w:val="left"/>
      <w:outlineLvl w:val="3"/>
    </w:pPr>
    <w:rPr>
      <w:rFonts w:ascii="Arial Narrow" w:hAnsi="Arial Narrow"/>
      <w:b/>
      <w:bCs/>
      <w:sz w:val="22"/>
    </w:rPr>
  </w:style>
  <w:style w:type="paragraph" w:styleId="Heading5">
    <w:name w:val="heading 5"/>
    <w:basedOn w:val="Normal"/>
    <w:next w:val="Normal"/>
    <w:uiPriority w:val="9"/>
    <w:qFormat/>
    <w:rsid w:val="00FB6644"/>
    <w:pPr>
      <w:keepNext/>
      <w:jc w:val="center"/>
      <w:outlineLvl w:val="4"/>
    </w:pPr>
    <w:rPr>
      <w:rFonts w:ascii="Arial Narrow" w:hAnsi="Arial Narrow"/>
      <w:b/>
      <w:bCs/>
    </w:rPr>
  </w:style>
  <w:style w:type="paragraph" w:styleId="Heading7">
    <w:name w:val="heading 7"/>
    <w:basedOn w:val="Normal"/>
    <w:next w:val="Normal"/>
    <w:uiPriority w:val="9"/>
    <w:qFormat/>
    <w:rsid w:val="00FB6644"/>
    <w:pPr>
      <w:keepNext/>
      <w:jc w:val="center"/>
      <w:outlineLvl w:val="6"/>
    </w:pPr>
    <w:rPr>
      <w:rFonts w:ascii="Arial Narrow" w:hAnsi="Arial Narrow"/>
      <w:b/>
      <w:bCs/>
      <w:color w:val="FFFFFF"/>
      <w:sz w:val="20"/>
    </w:rPr>
  </w:style>
  <w:style w:type="paragraph" w:styleId="Heading8">
    <w:name w:val="heading 8"/>
    <w:basedOn w:val="Normal"/>
    <w:next w:val="Normal"/>
    <w:uiPriority w:val="9"/>
    <w:qFormat/>
    <w:rsid w:val="00FB6644"/>
    <w:pPr>
      <w:keepNext/>
      <w:ind w:firstLine="709"/>
      <w:jc w:val="both"/>
      <w:outlineLvl w:val="7"/>
    </w:pPr>
    <w:rPr>
      <w:rFonts w:ascii="Arial Narrow" w:hAnsi="Arial Narrow"/>
      <w:b/>
      <w:bCs/>
      <w:iCs/>
    </w:rPr>
  </w:style>
  <w:style w:type="paragraph" w:styleId="Heading9">
    <w:name w:val="heading 9"/>
    <w:basedOn w:val="Normal"/>
    <w:next w:val="Normal"/>
    <w:uiPriority w:val="9"/>
    <w:qFormat/>
    <w:rsid w:val="00FB6644"/>
    <w:pPr>
      <w:keepNext/>
      <w:jc w:val="center"/>
      <w:outlineLvl w:val="8"/>
    </w:pPr>
    <w:rPr>
      <w:rFonts w:ascii="Arial Narrow" w:hAnsi="Arial Narrow"/>
      <w:b/>
      <w:bCs/>
      <w:sz w:val="20"/>
    </w:rPr>
  </w:style>
  <w:style w:type="character" w:default="1" w:styleId="DefaultParagraphFont">
    <w:name w:val="Default Paragraph Font"/>
    <w:link w:val="CharCharChar1CharCharChar"/>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CharCharChar1CharCharChar">
    <w:name w:val="Char Char Char1 Char Char Char"/>
    <w:basedOn w:val="Normal"/>
    <w:link w:val="DefaultParagraphFont"/>
    <w:rsid w:val="00FB6644"/>
    <w:pPr>
      <w:spacing w:after="160" w:line="240" w:lineRule="exact"/>
      <w:jc w:val="left"/>
    </w:pPr>
    <w:rPr>
      <w:rFonts w:ascii="Tahoma" w:hAnsi="Tahoma"/>
      <w:sz w:val="20"/>
      <w:szCs w:val="20"/>
      <w:lang w:val="en-US"/>
    </w:rPr>
  </w:style>
  <w:style w:type="paragraph" w:styleId="Footer">
    <w:name w:val="footer"/>
    <w:basedOn w:val="Normal"/>
    <w:rsid w:val="00E75695"/>
    <w:pPr>
      <w:tabs>
        <w:tab w:val="center" w:pos="4320"/>
        <w:tab w:val="right" w:pos="8640"/>
      </w:tabs>
      <w:jc w:val="left"/>
    </w:pPr>
  </w:style>
  <w:style w:type="character" w:styleId="PageNumber">
    <w:name w:val="page number"/>
    <w:basedOn w:val="DefaultParagraphFont"/>
    <w:rsid w:val="00E75695"/>
  </w:style>
  <w:style w:type="table" w:styleId="TableGrid">
    <w:name w:val="Table Grid"/>
    <w:uiPriority w:val="59"/>
    <w:rsid w:val="00E75695"/>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styleId="BodyText2">
    <w:name w:val="Body Text 2"/>
    <w:basedOn w:val="Normal"/>
    <w:rsid w:val="008D2CD3"/>
    <w:pPr>
      <w:autoSpaceDE/>
      <w:autoSpaceDN/>
      <w:jc w:val="left"/>
    </w:pPr>
    <w:rPr>
      <w:b/>
      <w:bCs/>
      <w:sz w:val="32"/>
    </w:rPr>
  </w:style>
  <w:style w:type="paragraph" w:styleId="BodyTextIndent">
    <w:name w:val="Body Text Indent"/>
    <w:basedOn w:val="Normal"/>
    <w:rsid w:val="00FB6644"/>
    <w:pPr>
      <w:spacing w:after="120"/>
      <w:ind w:left="283"/>
      <w:jc w:val="left"/>
    </w:pPr>
  </w:style>
  <w:style w:type="paragraph" w:styleId="BodyTextIndent2">
    <w:name w:val="Body Text Indent 2"/>
    <w:basedOn w:val="Normal"/>
    <w:rsid w:val="00FB6644"/>
    <w:pPr>
      <w:spacing w:after="120" w:line="480" w:lineRule="auto"/>
      <w:ind w:left="283"/>
      <w:jc w:val="left"/>
    </w:pPr>
  </w:style>
  <w:style w:type="paragraph" w:styleId="Title">
    <w:name w:val="Title"/>
    <w:basedOn w:val="Normal"/>
    <w:uiPriority w:val="10"/>
    <w:qFormat/>
    <w:rsid w:val="00FB6644"/>
    <w:pPr>
      <w:jc w:val="center"/>
    </w:pPr>
    <w:rPr>
      <w:rFonts w:ascii="Arial Narrow" w:hAnsi="Arial Narrow"/>
      <w:b/>
      <w:bCs/>
    </w:rPr>
  </w:style>
  <w:style w:type="paragraph" w:styleId="Header">
    <w:name w:val="header"/>
    <w:basedOn w:val="Normal"/>
    <w:rsid w:val="00FB6644"/>
    <w:pPr>
      <w:tabs>
        <w:tab w:val="center" w:pos="4536"/>
        <w:tab w:val="right" w:pos="9072"/>
      </w:tabs>
      <w:jc w:val="left"/>
    </w:pPr>
  </w:style>
  <w:style w:type="paragraph" w:styleId="FootnoteText">
    <w:name w:val="footnote text"/>
    <w:aliases w:val="Footnote Text Char Char1 Char Char Char Char,Footnote Text Char1,Footnote Text Char1 Char,Footnote Text Char1 Char Char Char,Footnote Text Char2,Footnote Text Char2 Char Char,Footnote Text Char2 Char Char Char Char"/>
    <w:basedOn w:val="Normal"/>
    <w:semiHidden/>
    <w:rsid w:val="00FB6644"/>
    <w:pPr>
      <w:jc w:val="left"/>
    </w:pPr>
    <w:rPr>
      <w:sz w:val="20"/>
      <w:szCs w:val="20"/>
    </w:rPr>
  </w:style>
  <w:style w:type="character" w:styleId="FootnoteReference">
    <w:name w:val="footnote reference"/>
    <w:basedOn w:val="DefaultParagraphFont"/>
    <w:semiHidden/>
    <w:rsid w:val="00FB6644"/>
    <w:rPr>
      <w:vertAlign w:val="superscript"/>
    </w:rPr>
  </w:style>
  <w:style w:type="paragraph" w:customStyle="1" w:styleId="Zakladnmtext">
    <w:name w:val="Z&lt;/a&gt;kladn&lt;/m&gt; text"/>
    <w:rsid w:val="00976CDF"/>
    <w:pPr>
      <w:widowControl w:val="0"/>
      <w:autoSpaceDE w:val="0"/>
      <w:autoSpaceDN w:val="0"/>
      <w:bidi w:val="0"/>
      <w:adjustRightInd w:val="0"/>
      <w:ind w:left="0" w:right="0"/>
      <w:jc w:val="left"/>
      <w:textAlignment w:val="auto"/>
    </w:pPr>
    <w:rPr>
      <w:color w:val="000000"/>
      <w:sz w:val="24"/>
      <w:szCs w:val="20"/>
      <w:rtl w:val="0"/>
      <w:lang w:val="en-US" w:bidi="ar-SA"/>
    </w:rPr>
  </w:style>
  <w:style w:type="paragraph" w:customStyle="1" w:styleId="Texttabulky">
    <w:name w:val="Text tabulky"/>
    <w:rsid w:val="00976CDF"/>
    <w:pPr>
      <w:widowControl w:val="0"/>
      <w:autoSpaceDE w:val="0"/>
      <w:autoSpaceDN w:val="0"/>
      <w:bidi w:val="0"/>
      <w:adjustRightInd w:val="0"/>
      <w:ind w:left="0" w:right="0"/>
      <w:jc w:val="left"/>
      <w:textAlignment w:val="auto"/>
    </w:pPr>
    <w:rPr>
      <w:color w:val="000000"/>
      <w:sz w:val="24"/>
      <w:szCs w:val="20"/>
      <w:rtl w:val="0"/>
      <w:lang w:val="en-US" w:bidi="ar-SA"/>
    </w:rPr>
  </w:style>
  <w:style w:type="paragraph" w:styleId="BodyText">
    <w:name w:val="Body Text"/>
    <w:rsid w:val="00976CDF"/>
    <w:pPr>
      <w:widowControl w:val="0"/>
      <w:autoSpaceDE w:val="0"/>
      <w:autoSpaceDN w:val="0"/>
      <w:bidi w:val="0"/>
      <w:adjustRightInd w:val="0"/>
      <w:ind w:left="0" w:right="0"/>
      <w:jc w:val="left"/>
      <w:textAlignment w:val="auto"/>
    </w:pPr>
    <w:rPr>
      <w:rFonts w:ascii="Dutch801 SWC" w:hAnsi="Dutch801 SWC"/>
      <w:color w:val="000000"/>
      <w:sz w:val="24"/>
      <w:szCs w:val="20"/>
      <w:rtl w:val="0"/>
      <w:lang w:val="en-US" w:bidi="ar-SA"/>
    </w:rPr>
  </w:style>
  <w:style w:type="paragraph" w:customStyle="1" w:styleId="Zkladntext">
    <w:name w:val="Základní text"/>
    <w:rsid w:val="00976CDF"/>
    <w:pPr>
      <w:widowControl w:val="0"/>
      <w:autoSpaceDE/>
      <w:autoSpaceDN/>
      <w:bidi w:val="0"/>
      <w:adjustRightInd w:val="0"/>
      <w:ind w:left="0" w:right="0"/>
      <w:jc w:val="left"/>
      <w:textAlignment w:val="auto"/>
    </w:pPr>
    <w:rPr>
      <w:color w:val="000000"/>
      <w:sz w:val="20"/>
      <w:szCs w:val="24"/>
      <w:rtl w:val="0"/>
      <w:lang w:val="sk-SK" w:bidi="ar-SA"/>
    </w:rPr>
  </w:style>
  <w:style w:type="paragraph" w:styleId="BodyText3">
    <w:name w:val="Body Text 3"/>
    <w:basedOn w:val="Normal"/>
    <w:rsid w:val="00B534F8"/>
    <w:pPr>
      <w:jc w:val="left"/>
    </w:pPr>
    <w:rPr>
      <w:szCs w:val="20"/>
    </w:rPr>
  </w:style>
  <w:style w:type="paragraph" w:customStyle="1" w:styleId="VS2">
    <w:name w:val="VS2"/>
    <w:basedOn w:val="Normal"/>
    <w:rsid w:val="00A74F9A"/>
    <w:pPr>
      <w:spacing w:before="120" w:after="120"/>
      <w:jc w:val="left"/>
    </w:pPr>
    <w:rPr>
      <w:rFonts w:ascii="Arial Narrow" w:hAnsi="Arial Narrow" w:cs="Arial Narrow"/>
      <w:b/>
      <w:bCs/>
      <w:color w:val="333399"/>
      <w:sz w:val="22"/>
      <w:szCs w:val="22"/>
    </w:rPr>
  </w:style>
  <w:style w:type="character" w:customStyle="1" w:styleId="ZkladntextodsazenChar">
    <w:name w:val="Základní text odsazený Char"/>
    <w:basedOn w:val="DefaultParagraphFont"/>
    <w:rsid w:val="00CE270A"/>
    <w:rPr>
      <w:rFonts w:ascii="AT* Times New Roman" w:hAnsi="AT* Times New Roman"/>
      <w:noProof/>
      <w:sz w:val="24"/>
      <w:rtl w:val="0"/>
      <w:lang w:val="sk-SK" w:bidi="ar-SA"/>
    </w:rPr>
  </w:style>
  <w:style w:type="paragraph" w:customStyle="1" w:styleId="CharCharChar2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w:basedOn w:val="Normal"/>
    <w:rsid w:val="00DD799E"/>
    <w:pPr>
      <w:spacing w:after="160" w:line="240" w:lineRule="exact"/>
      <w:jc w:val="left"/>
    </w:pPr>
    <w:rPr>
      <w:rFonts w:ascii="Tahoma" w:hAnsi="Tahoma"/>
      <w:sz w:val="20"/>
      <w:szCs w:val="20"/>
      <w:lang w:val="en-US"/>
    </w:rPr>
  </w:style>
  <w:style w:type="paragraph" w:styleId="List">
    <w:name w:val="List"/>
    <w:basedOn w:val="Normal"/>
    <w:rsid w:val="00DE3128"/>
    <w:pPr>
      <w:ind w:left="283" w:hanging="283"/>
      <w:jc w:val="left"/>
    </w:pPr>
    <w:rPr>
      <w:rFonts w:ascii="Arial" w:hAnsi="Arial"/>
      <w:szCs w:val="20"/>
    </w:rPr>
  </w:style>
  <w:style w:type="paragraph" w:customStyle="1" w:styleId="d">
    <w:name w:val="d"/>
    <w:rsid w:val="00DE3128"/>
    <w:pPr>
      <w:widowControl w:val="0"/>
      <w:autoSpaceDE w:val="0"/>
      <w:autoSpaceDN w:val="0"/>
      <w:bidi w:val="0"/>
      <w:adjustRightInd w:val="0"/>
      <w:spacing w:after="120"/>
      <w:ind w:left="0" w:right="0" w:firstLine="708"/>
      <w:jc w:val="both"/>
      <w:textAlignment w:val="auto"/>
    </w:pPr>
    <w:rPr>
      <w:sz w:val="26"/>
      <w:szCs w:val="20"/>
      <w:rtl w:val="0"/>
      <w:lang w:val="sk-SK" w:bidi="ar-SA"/>
    </w:rPr>
  </w:style>
  <w:style w:type="paragraph" w:styleId="BodyTextIndent3">
    <w:name w:val="Body Text Indent 3"/>
    <w:basedOn w:val="Normal"/>
    <w:rsid w:val="00DE3128"/>
    <w:pPr>
      <w:ind w:left="1" w:firstLine="1"/>
      <w:jc w:val="both"/>
    </w:pPr>
    <w:rPr>
      <w:sz w:val="26"/>
      <w:szCs w:val="26"/>
    </w:rPr>
  </w:style>
  <w:style w:type="paragraph" w:styleId="BalloonText">
    <w:name w:val="Balloon Text"/>
    <w:basedOn w:val="Normal"/>
    <w:semiHidden/>
    <w:rsid w:val="00DE3128"/>
    <w:pPr>
      <w:jc w:val="left"/>
    </w:pPr>
    <w:rPr>
      <w:rFonts w:ascii="Tahoma" w:hAnsi="Tahoma" w:cs="Tahoma"/>
      <w:sz w:val="16"/>
      <w:szCs w:val="16"/>
    </w:rPr>
  </w:style>
  <w:style w:type="paragraph" w:customStyle="1" w:styleId="VStabulky">
    <w:name w:val="VStabulky"/>
    <w:basedOn w:val="Normal"/>
    <w:rsid w:val="00DE3128"/>
    <w:pPr>
      <w:jc w:val="both"/>
    </w:pPr>
    <w:rPr>
      <w:rFonts w:ascii="Arial Narrow" w:hAnsi="Arial Narrow" w:cs="Arial Narrow"/>
      <w:color w:val="000000"/>
      <w:sz w:val="18"/>
      <w:szCs w:val="18"/>
    </w:rPr>
  </w:style>
  <w:style w:type="paragraph" w:customStyle="1" w:styleId="VStext">
    <w:name w:val="VStext"/>
    <w:basedOn w:val="Normal"/>
    <w:rsid w:val="00DE3128"/>
    <w:pPr>
      <w:spacing w:before="120"/>
      <w:jc w:val="both"/>
    </w:pPr>
    <w:rPr>
      <w:rFonts w:ascii="Arial Narrow" w:hAnsi="Arial Narrow" w:cs="Arial Narrow"/>
      <w:color w:val="000000"/>
      <w:sz w:val="22"/>
      <w:szCs w:val="22"/>
    </w:rPr>
  </w:style>
  <w:style w:type="paragraph" w:customStyle="1" w:styleId="CharChar1">
    <w:name w:val="Char Char1"/>
    <w:basedOn w:val="Normal"/>
    <w:rsid w:val="00672D42"/>
    <w:pPr>
      <w:spacing w:after="160" w:line="240" w:lineRule="exact"/>
      <w:jc w:val="left"/>
    </w:pPr>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5.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wmf"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1056</TotalTime>
  <Pages>1</Pages>
  <Words>45701</Words>
  <Characters>260498</Characters>
  <Application>Microsoft Office Word</Application>
  <DocSecurity>0</DocSecurity>
  <Lines>0</Lines>
  <Paragraphs>0</Paragraphs>
  <ScaleCrop>false</ScaleCrop>
  <Company/>
  <LinksUpToDate>false</LinksUpToDate>
  <CharactersWithSpaces>305588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478</cp:revision>
  <cp:lastPrinted>2007-04-24T12:03:00Z</cp:lastPrinted>
  <dcterms:created xsi:type="dcterms:W3CDTF">2007-04-03T15:01:00Z</dcterms:created>
  <dcterms:modified xsi:type="dcterms:W3CDTF">2007-05-15T12:08:00Z</dcterms:modified>
</cp:coreProperties>
</file>