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533B">
      <w:pPr>
        <w:pStyle w:val="Title"/>
        <w:rPr>
          <w:rFonts w:ascii="Times New Roman" w:hAnsi="Times New Roman" w:cs="Times New Roman"/>
          <w:sz w:val="24"/>
        </w:rPr>
      </w:pPr>
      <w:r>
        <w:rPr>
          <w:rFonts w:ascii="Times New Roman" w:hAnsi="Times New Roman" w:cs="Times New Roman"/>
          <w:sz w:val="24"/>
        </w:rPr>
        <w:t>NÁRODNÁ RADA SLOVENSKEJ REPUBLIKY</w:t>
      </w:r>
    </w:p>
    <w:p w:rsidR="0030533B">
      <w:pPr>
        <w:jc w:val="center"/>
        <w:rPr>
          <w:rFonts w:ascii="Times New Roman" w:hAnsi="Times New Roman" w:cs="Times New Roman"/>
          <w:b/>
          <w:bCs/>
        </w:rPr>
      </w:pPr>
    </w:p>
    <w:p w:rsidR="0030533B">
      <w:pPr>
        <w:jc w:val="center"/>
        <w:rPr>
          <w:rFonts w:ascii="Times New Roman" w:hAnsi="Times New Roman" w:cs="Times New Roman"/>
        </w:rPr>
      </w:pPr>
    </w:p>
    <w:p w:rsidR="0030533B">
      <w:pPr>
        <w:jc w:val="center"/>
        <w:rPr>
          <w:rFonts w:ascii="Times New Roman" w:hAnsi="Times New Roman" w:cs="Times New Roman"/>
        </w:rPr>
      </w:pPr>
      <w:r>
        <w:rPr>
          <w:rFonts w:ascii="Times New Roman" w:hAnsi="Times New Roman" w:cs="Times New Roman"/>
        </w:rPr>
        <w:t>III. volebné obdobie</w:t>
      </w:r>
    </w:p>
    <w:p w:rsidR="0030533B">
      <w:pPr>
        <w:jc w:val="center"/>
        <w:rPr>
          <w:rFonts w:ascii="Times New Roman" w:hAnsi="Times New Roman" w:cs="Times New Roman"/>
        </w:rPr>
      </w:pPr>
      <w:r>
        <w:rPr>
          <w:rFonts w:ascii="Times New Roman" w:hAnsi="Times New Roman" w:cs="Times New Roman"/>
        </w:rPr>
        <w:t xml:space="preserve">   </w:t>
      </w:r>
    </w:p>
    <w:p w:rsidR="0030533B">
      <w:pPr>
        <w:jc w:val="center"/>
        <w:rPr>
          <w:rFonts w:ascii="Times New Roman" w:hAnsi="Times New Roman" w:cs="Times New Roman"/>
        </w:rPr>
      </w:pPr>
    </w:p>
    <w:p w:rsidR="0030533B">
      <w:pPr>
        <w:jc w:val="center"/>
        <w:rPr>
          <w:rFonts w:ascii="Times New Roman" w:hAnsi="Times New Roman" w:cs="Times New Roman"/>
        </w:rPr>
      </w:pPr>
    </w:p>
    <w:p w:rsidR="0030533B">
      <w:pPr>
        <w:jc w:val="center"/>
        <w:rPr>
          <w:rFonts w:ascii="Times New Roman" w:hAnsi="Times New Roman" w:cs="Times New Roman"/>
          <w:b/>
          <w:bCs/>
        </w:rPr>
      </w:pPr>
      <w:r>
        <w:rPr>
          <w:rFonts w:ascii="Times New Roman" w:hAnsi="Times New Roman" w:cs="Times New Roman"/>
          <w:b/>
          <w:bCs/>
        </w:rPr>
        <w:t>Zákon</w:t>
      </w:r>
    </w:p>
    <w:p w:rsidR="0030533B">
      <w:pPr>
        <w:jc w:val="center"/>
        <w:rPr>
          <w:rFonts w:ascii="Times New Roman" w:hAnsi="Times New Roman" w:cs="Times New Roman"/>
          <w:b/>
          <w:bCs/>
        </w:rPr>
      </w:pPr>
    </w:p>
    <w:p w:rsidR="0030533B">
      <w:pPr>
        <w:jc w:val="center"/>
        <w:rPr>
          <w:rFonts w:ascii="Times New Roman" w:hAnsi="Times New Roman" w:cs="Times New Roman"/>
          <w:b/>
          <w:bCs/>
        </w:rPr>
      </w:pPr>
      <w:r>
        <w:rPr>
          <w:rFonts w:ascii="Times New Roman" w:hAnsi="Times New Roman" w:cs="Times New Roman"/>
          <w:b/>
          <w:bCs/>
        </w:rPr>
        <w:t xml:space="preserve"> z................. 2003,</w:t>
      </w:r>
    </w:p>
    <w:p w:rsidR="0030533B">
      <w:pPr>
        <w:jc w:val="center"/>
        <w:rPr>
          <w:rFonts w:ascii="Times New Roman" w:hAnsi="Times New Roman" w:cs="Times New Roman"/>
          <w:b/>
          <w:bCs/>
        </w:rPr>
      </w:pPr>
    </w:p>
    <w:p w:rsidR="0030533B">
      <w:pPr>
        <w:jc w:val="center"/>
        <w:rPr>
          <w:rFonts w:ascii="Times New Roman" w:hAnsi="Times New Roman" w:cs="Times New Roman"/>
          <w:b/>
          <w:bCs/>
        </w:rPr>
      </w:pPr>
      <w:r>
        <w:rPr>
          <w:rFonts w:ascii="Times New Roman" w:hAnsi="Times New Roman" w:cs="Times New Roman"/>
          <w:b/>
          <w:bCs/>
        </w:rPr>
        <w:t>ktorým sa mení a dopĺňa zákon Národnej rady Slovenskej republiky č. 289/1995 Z.z. o dani z pridanej hodnoty v znení neskorších predpisov</w:t>
      </w:r>
    </w:p>
    <w:p w:rsidR="0030533B">
      <w:pPr>
        <w:jc w:val="center"/>
        <w:rPr>
          <w:rFonts w:ascii="Times New Roman" w:hAnsi="Times New Roman" w:cs="Times New Roman"/>
        </w:rPr>
      </w:pPr>
      <w:r>
        <w:rPr>
          <w:rFonts w:ascii="Times New Roman" w:hAnsi="Times New Roman" w:cs="Times New Roman"/>
        </w:rPr>
        <w:t>(tlač ...)</w:t>
      </w:r>
    </w:p>
    <w:p w:rsidR="0030533B">
      <w:pPr>
        <w:jc w:val="center"/>
        <w:rPr>
          <w:rFonts w:ascii="Times New Roman" w:hAnsi="Times New Roman" w:cs="Times New Roman"/>
        </w:rPr>
      </w:pPr>
    </w:p>
    <w:p w:rsidR="0030533B">
      <w:pPr>
        <w:jc w:val="center"/>
        <w:rPr>
          <w:rFonts w:ascii="Times New Roman" w:hAnsi="Times New Roman" w:cs="Times New Roman"/>
        </w:rPr>
      </w:pPr>
    </w:p>
    <w:p w:rsidR="0030533B">
      <w:pPr>
        <w:jc w:val="center"/>
        <w:rPr>
          <w:rFonts w:ascii="Times New Roman" w:hAnsi="Times New Roman" w:cs="Times New Roman"/>
        </w:rPr>
      </w:pPr>
      <w:r>
        <w:rPr>
          <w:rFonts w:ascii="Times New Roman" w:hAnsi="Times New Roman" w:cs="Times New Roman"/>
        </w:rPr>
        <w:t>Národná r</w:t>
      </w:r>
      <w:r>
        <w:rPr>
          <w:rFonts w:ascii="Times New Roman" w:hAnsi="Times New Roman" w:cs="Times New Roman"/>
        </w:rPr>
        <w:t>ada Slovenskej republiky sa uzniesla na tomto zákone:</w:t>
      </w:r>
    </w:p>
    <w:p w:rsidR="0030533B">
      <w:pPr>
        <w:jc w:val="center"/>
        <w:rPr>
          <w:rFonts w:ascii="Times New Roman" w:hAnsi="Times New Roman" w:cs="Times New Roman"/>
        </w:rPr>
      </w:pPr>
    </w:p>
    <w:p w:rsidR="0030533B">
      <w:pPr>
        <w:jc w:val="center"/>
        <w:rPr>
          <w:rFonts w:ascii="Times New Roman" w:hAnsi="Times New Roman" w:cs="Times New Roman"/>
        </w:rPr>
      </w:pPr>
    </w:p>
    <w:p w:rsidR="0030533B">
      <w:pPr>
        <w:pStyle w:val="Heading1"/>
        <w:rPr>
          <w:rFonts w:ascii="Times New Roman" w:hAnsi="Times New Roman" w:cs="Times New Roman"/>
        </w:rPr>
      </w:pPr>
      <w:r>
        <w:rPr>
          <w:rFonts w:ascii="Times New Roman" w:hAnsi="Times New Roman" w:cs="Times New Roman"/>
        </w:rPr>
        <w:t>Čl. I</w:t>
      </w:r>
    </w:p>
    <w:p w:rsidR="0030533B">
      <w:pPr>
        <w:jc w:val="both"/>
        <w:rPr>
          <w:rFonts w:ascii="Times New Roman" w:hAnsi="Times New Roman" w:cs="Times New Roman"/>
        </w:rPr>
      </w:pPr>
    </w:p>
    <w:p w:rsidR="0030533B">
      <w:pPr>
        <w:pStyle w:val="Zkladntext"/>
        <w:spacing w:line="240" w:lineRule="atLeast"/>
        <w:jc w:val="both"/>
        <w:rPr>
          <w:rFonts w:ascii="Times New Roman" w:hAnsi="Times New Roman" w:cs="Times New Roman"/>
          <w:sz w:val="24"/>
        </w:rPr>
      </w:pPr>
      <w:r>
        <w:rPr>
          <w:rFonts w:ascii="Times New Roman" w:hAnsi="Times New Roman" w:cs="Times New Roman"/>
          <w:sz w:val="24"/>
        </w:rPr>
        <w:t>Zákon Národnej rady Slovenskej republiky č. 289/1995 Z.z. o dani z pridanej hodnoty v znení zákona Národnej rady Slovenskej republiky č. 200/1996 Z.z., zákona Národnej rady Slovenskej republiky č. 386/1996 Z.z., zákona č. 371/1997 Z.z., zákona č. 60/1999 Z.z., zákona č. 153/1999 Z.z., zákona č. 342/1999 Z.z., zákona č. 246/2000 Z.z., zákona č. 524 /2001 Z.z., zákona č. 555/2001 Z.z., zákona č. 511/2002 Z.z. a zákona č. 637/2002 Z.z. sa mení a dopĺňa takto:</w:t>
      </w:r>
    </w:p>
    <w:p w:rsidR="0030533B">
      <w:pPr>
        <w:jc w:val="both"/>
        <w:rPr>
          <w:rFonts w:ascii="Times New Roman" w:hAnsi="Times New Roman" w:cs="Times New Roman"/>
        </w:rPr>
      </w:pPr>
    </w:p>
    <w:p w:rsidR="0030533B">
      <w:pPr>
        <w:jc w:val="both"/>
        <w:rPr>
          <w:rFonts w:ascii="Times New Roman" w:hAnsi="Times New Roman" w:cs="Times New Roman"/>
        </w:rPr>
      </w:pPr>
    </w:p>
    <w:p w:rsidR="0030533B">
      <w:pPr>
        <w:jc w:val="both"/>
        <w:rPr>
          <w:rFonts w:ascii="Times New Roman" w:hAnsi="Times New Roman" w:cs="Times New Roman"/>
        </w:rPr>
      </w:pPr>
      <w:r>
        <w:rPr>
          <w:rFonts w:ascii="Times New Roman" w:hAnsi="Times New Roman" w:cs="Times New Roman"/>
        </w:rPr>
        <w:t>1. V § 23 ods. 2 písmeno c) znie:</w:t>
      </w:r>
    </w:p>
    <w:p w:rsidR="0030533B">
      <w:pPr>
        <w:jc w:val="both"/>
        <w:rPr>
          <w:rFonts w:ascii="Times New Roman" w:hAnsi="Times New Roman" w:cs="Times New Roman"/>
        </w:rPr>
      </w:pPr>
      <w:r>
        <w:rPr>
          <w:rFonts w:ascii="Times New Roman" w:hAnsi="Times New Roman" w:cs="Times New Roman"/>
        </w:rPr>
        <w:t xml:space="preserve">“c) platiteľ v príslušnom zdaňovacom období odpočítava daň alebo sumy dane, ktoré sú celkovo vyššie ako 100 000 Sk a ktoré sa viažu na ceny nadobúdaného investičného majetku (§ 21a ods. 4) alebo technického zhodnotenia (§ 21a ods. 6), a súčasne táto odpočítavaná daň alebo sumy dane predstavujú viac ako 50 % celkového súčtu súm dane na výstupe za príslušné zdaňovacie obdobie.” </w:t>
      </w:r>
    </w:p>
    <w:p w:rsidR="0030533B">
      <w:pPr>
        <w:jc w:val="both"/>
        <w:rPr>
          <w:rFonts w:ascii="Times New Roman" w:hAnsi="Times New Roman" w:cs="Times New Roman"/>
        </w:rPr>
      </w:pPr>
    </w:p>
    <w:p w:rsidR="0030533B">
      <w:pPr>
        <w:jc w:val="both"/>
        <w:rPr>
          <w:rFonts w:ascii="Times New Roman" w:hAnsi="Times New Roman" w:cs="Times New Roman"/>
        </w:rPr>
      </w:pPr>
    </w:p>
    <w:p w:rsidR="0030533B">
      <w:pPr>
        <w:jc w:val="both"/>
        <w:rPr>
          <w:rFonts w:ascii="Times New Roman" w:hAnsi="Times New Roman" w:cs="Times New Roman"/>
        </w:rPr>
      </w:pPr>
      <w:r>
        <w:rPr>
          <w:rFonts w:ascii="Times New Roman" w:hAnsi="Times New Roman" w:cs="Times New Roman"/>
        </w:rPr>
        <w:t>2. Za § 55d sa vkladá § 55e, ktorý vrátane nadpisu znie:</w:t>
      </w:r>
    </w:p>
    <w:p w:rsidR="0030533B">
      <w:pPr>
        <w:jc w:val="both"/>
        <w:rPr>
          <w:rFonts w:ascii="Times New Roman" w:hAnsi="Times New Roman" w:cs="Times New Roman"/>
        </w:rPr>
      </w:pPr>
    </w:p>
    <w:p w:rsidR="0030533B">
      <w:pPr>
        <w:jc w:val="center"/>
        <w:rPr>
          <w:rFonts w:ascii="Times New Roman" w:hAnsi="Times New Roman" w:cs="Times New Roman"/>
        </w:rPr>
      </w:pPr>
      <w:r>
        <w:rPr>
          <w:rFonts w:ascii="Times New Roman" w:hAnsi="Times New Roman" w:cs="Times New Roman"/>
        </w:rPr>
        <w:t>“§ 55e</w:t>
      </w:r>
    </w:p>
    <w:p w:rsidR="0030533B">
      <w:pPr>
        <w:jc w:val="center"/>
        <w:rPr>
          <w:rFonts w:ascii="Times New Roman" w:hAnsi="Times New Roman" w:cs="Times New Roman"/>
        </w:rPr>
      </w:pPr>
    </w:p>
    <w:p w:rsidR="0030533B">
      <w:pPr>
        <w:jc w:val="center"/>
        <w:rPr>
          <w:rFonts w:ascii="Times New Roman" w:hAnsi="Times New Roman" w:cs="Times New Roman"/>
        </w:rPr>
      </w:pPr>
      <w:r>
        <w:rPr>
          <w:rFonts w:ascii="Times New Roman" w:hAnsi="Times New Roman" w:cs="Times New Roman"/>
        </w:rPr>
        <w:t>Prechodné ustanovenie k úpravám účinným od 1. júna 2003</w:t>
      </w:r>
    </w:p>
    <w:p w:rsidR="0030533B">
      <w:pPr>
        <w:jc w:val="center"/>
        <w:rPr>
          <w:rFonts w:ascii="Times New Roman" w:hAnsi="Times New Roman" w:cs="Times New Roman"/>
        </w:rPr>
      </w:pPr>
    </w:p>
    <w:p w:rsidR="0030533B">
      <w:pPr>
        <w:pStyle w:val="BodyText"/>
        <w:jc w:val="both"/>
        <w:rPr>
          <w:rFonts w:ascii="Times New Roman" w:hAnsi="Times New Roman" w:cs="Times New Roman"/>
          <w:b w:val="0"/>
          <w:bCs w:val="0"/>
        </w:rPr>
      </w:pPr>
      <w:r>
        <w:rPr>
          <w:rFonts w:ascii="Times New Roman" w:hAnsi="Times New Roman" w:cs="Times New Roman"/>
          <w:b w:val="0"/>
          <w:bCs w:val="0"/>
        </w:rPr>
        <w:t>Nadmerné odpočty uplatnené za zdaňovacie obdobia január až máj 2003 daňový úrad vráti do 31. júla 2003, ak sú splnené podmienky podľa § 23 ods. 2 písmeno c) zákona účinného od 1. júna  2003. Ustanovenie § 23 odsek 3</w:t>
      </w:r>
      <w:r>
        <w:rPr>
          <w:rFonts w:ascii="Times New Roman" w:hAnsi="Times New Roman" w:cs="Times New Roman"/>
          <w:b w:val="0"/>
          <w:bCs w:val="0"/>
        </w:rPr>
        <w:t xml:space="preserve"> sa uplatní primerane.”.</w:t>
      </w:r>
    </w:p>
    <w:p w:rsidR="0030533B">
      <w:pPr>
        <w:jc w:val="both"/>
        <w:rPr>
          <w:rFonts w:ascii="Times New Roman" w:hAnsi="Times New Roman" w:cs="Times New Roman"/>
        </w:rPr>
      </w:pPr>
      <w:r>
        <w:rPr>
          <w:rFonts w:ascii="Times New Roman" w:hAnsi="Times New Roman" w:cs="Times New Roman"/>
        </w:rPr>
        <w:t xml:space="preserve"> </w:t>
      </w:r>
    </w:p>
    <w:p w:rsidR="0030533B">
      <w:pPr>
        <w:pStyle w:val="BodyText"/>
        <w:jc w:val="both"/>
        <w:rPr>
          <w:rFonts w:ascii="Times New Roman" w:hAnsi="Times New Roman" w:cs="Times New Roman"/>
          <w:b w:val="0"/>
          <w:bCs w:val="0"/>
        </w:rPr>
      </w:pPr>
      <w:r>
        <w:rPr>
          <w:rFonts w:ascii="Times New Roman" w:hAnsi="Times New Roman" w:cs="Times New Roman"/>
          <w:b w:val="0"/>
          <w:bCs w:val="0"/>
        </w:rPr>
        <w:t>3.</w:t>
      </w:r>
      <w:r>
        <w:rPr>
          <w:rFonts w:ascii="Times New Roman" w:hAnsi="Times New Roman" w:cs="Times New Roman"/>
        </w:rPr>
        <w:t xml:space="preserve"> </w:t>
      </w:r>
      <w:r>
        <w:rPr>
          <w:rFonts w:ascii="Times New Roman" w:hAnsi="Times New Roman" w:cs="Times New Roman"/>
          <w:b w:val="0"/>
          <w:bCs w:val="0"/>
        </w:rPr>
        <w:t xml:space="preserve">V prílohe č. 1 sa za položku „15121999 – Požltový olej“ vkladá položka „151419 –  </w:t>
      </w:r>
    </w:p>
    <w:p w:rsidR="0030533B">
      <w:pPr>
        <w:pStyle w:val="BodyText"/>
        <w:jc w:val="both"/>
        <w:rPr>
          <w:rFonts w:ascii="Times New Roman" w:hAnsi="Times New Roman" w:cs="Times New Roman"/>
          <w:b w:val="0"/>
          <w:bCs w:val="0"/>
        </w:rPr>
      </w:pPr>
      <w:r>
        <w:rPr>
          <w:rFonts w:ascii="Times New Roman" w:hAnsi="Times New Roman" w:cs="Times New Roman"/>
          <w:b w:val="0"/>
          <w:bCs w:val="0"/>
        </w:rPr>
        <w:t xml:space="preserve">    Ostatné“</w:t>
      </w:r>
    </w:p>
    <w:p w:rsidR="0030533B">
      <w:pPr>
        <w:pStyle w:val="BodyText"/>
        <w:ind w:left="360"/>
        <w:jc w:val="both"/>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rPr>
          <w:rFonts w:ascii="Times New Roman" w:hAnsi="Times New Roman" w:cs="Times New Roman"/>
        </w:rPr>
      </w:pPr>
      <w:r>
        <w:rPr>
          <w:rFonts w:ascii="Times New Roman" w:hAnsi="Times New Roman" w:cs="Times New Roman"/>
        </w:rPr>
        <w:t>Čl. II</w:t>
      </w:r>
    </w:p>
    <w:p w:rsidR="0030533B">
      <w:pPr>
        <w:pStyle w:val="BodyText"/>
        <w:ind w:left="360"/>
        <w:jc w:val="left"/>
        <w:rPr>
          <w:rFonts w:ascii="Times New Roman" w:hAnsi="Times New Roman" w:cs="Times New Roman"/>
          <w:b w:val="0"/>
          <w:bCs w:val="0"/>
        </w:rPr>
      </w:pPr>
    </w:p>
    <w:p w:rsidR="0030533B">
      <w:pPr>
        <w:pStyle w:val="BodyText"/>
        <w:ind w:left="360"/>
        <w:jc w:val="both"/>
        <w:rPr>
          <w:rFonts w:ascii="Times New Roman" w:hAnsi="Times New Roman" w:cs="Times New Roman"/>
          <w:b w:val="0"/>
          <w:bCs w:val="0"/>
        </w:rPr>
      </w:pPr>
      <w:r>
        <w:rPr>
          <w:rFonts w:ascii="Times New Roman" w:hAnsi="Times New Roman" w:cs="Times New Roman"/>
          <w:b w:val="0"/>
          <w:bCs w:val="0"/>
        </w:rPr>
        <w:tab/>
        <w:t>Predseda Národnej rady Slovenskej republiky sa splnomocňuje, aby v Zbierke zákonov Slovenskej republiky vyhlásil úplné znenie zákona Národnej rady Slovenskej republiky č. 289/1995 Z. z., ako vyplýva zo zmien a doplnení vykonaných zákonov Národnej  rady Slovenskej republiky č. 200/1996 Z. z., zákonom Národnej rady Slovenskej republiky č. 386/1996 Z. z., zákonom č. 371/1997 Z. z., zákonom č. 60/1999 Z. z., zákonom č. 153/1999 Z. z., zákonom č. 342/1999 Z. z., zákonom č. 246/2000 Z. z., zákona č. 524/2001 Z. z., zákona č. 555/2001 Z. z., zákona č. 511/2002 Z. z., zákona č. 637/2002 Z. z. a týmto zákonom.</w:t>
      </w: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rPr>
          <w:rFonts w:ascii="Times New Roman" w:hAnsi="Times New Roman" w:cs="Times New Roman"/>
        </w:rPr>
      </w:pPr>
      <w:r>
        <w:rPr>
          <w:rFonts w:ascii="Times New Roman" w:hAnsi="Times New Roman" w:cs="Times New Roman"/>
        </w:rPr>
        <w:t>Čl. III</w:t>
      </w:r>
    </w:p>
    <w:p w:rsidR="0030533B">
      <w:pPr>
        <w:pStyle w:val="BodyText"/>
        <w:ind w:left="360"/>
        <w:rPr>
          <w:rFonts w:ascii="Times New Roman" w:hAnsi="Times New Roman" w:cs="Times New Roman"/>
        </w:rPr>
      </w:pPr>
    </w:p>
    <w:p w:rsidR="0030533B">
      <w:pPr>
        <w:pStyle w:val="BodyText"/>
        <w:ind w:left="360"/>
        <w:jc w:val="left"/>
        <w:rPr>
          <w:rFonts w:ascii="Times New Roman" w:hAnsi="Times New Roman" w:cs="Times New Roman"/>
          <w:b w:val="0"/>
          <w:bCs w:val="0"/>
        </w:rPr>
      </w:pPr>
      <w:r>
        <w:rPr>
          <w:rFonts w:ascii="Times New Roman" w:hAnsi="Times New Roman" w:cs="Times New Roman"/>
          <w:b w:val="0"/>
          <w:bCs w:val="0"/>
        </w:rPr>
        <w:t>Tento zákon nadobúda účinnosť  1. júna  2003.</w:t>
      </w: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rPr>
          <w:rFonts w:ascii="Times New Roman" w:hAnsi="Times New Roman" w:cs="Times New Roman"/>
          <w:b w:val="0"/>
          <w:bCs w:val="0"/>
          <w:caps/>
          <w:sz w:val="32"/>
        </w:rPr>
      </w:pPr>
      <w:r>
        <w:rPr>
          <w:rFonts w:ascii="Times New Roman" w:hAnsi="Times New Roman" w:cs="Times New Roman"/>
          <w:b w:val="0"/>
          <w:bCs w:val="0"/>
          <w:caps/>
          <w:sz w:val="32"/>
        </w:rPr>
        <w:t>Dôvodová   správa</w:t>
      </w:r>
    </w:p>
    <w:p w:rsidR="0030533B">
      <w:pPr>
        <w:pStyle w:val="BodyText"/>
        <w:jc w:val="left"/>
        <w:rPr>
          <w:rFonts w:ascii="Times New Roman" w:hAnsi="Times New Roman" w:cs="Times New Roman"/>
          <w:b w:val="0"/>
          <w:bCs w:val="0"/>
          <w:caps/>
          <w:sz w:val="32"/>
        </w:rPr>
      </w:pPr>
    </w:p>
    <w:p w:rsidR="0030533B">
      <w:pPr>
        <w:pStyle w:val="BodyText"/>
        <w:numPr>
          <w:ilvl w:val="0"/>
          <w:numId w:val="1"/>
        </w:numPr>
        <w:tabs>
          <w:tab w:val="left" w:pos="720"/>
        </w:tabs>
        <w:jc w:val="left"/>
        <w:rPr>
          <w:rFonts w:ascii="Times New Roman" w:hAnsi="Times New Roman" w:cs="Times New Roman"/>
          <w:i/>
          <w:iCs/>
          <w:sz w:val="28"/>
        </w:rPr>
      </w:pPr>
      <w:r>
        <w:rPr>
          <w:rFonts w:ascii="Times New Roman" w:hAnsi="Times New Roman" w:cs="Times New Roman"/>
          <w:i/>
          <w:iCs/>
          <w:sz w:val="28"/>
        </w:rPr>
        <w:t>všeobecná  časť</w:t>
      </w:r>
    </w:p>
    <w:p w:rsidR="0030533B">
      <w:pPr>
        <w:jc w:val="center"/>
        <w:rPr>
          <w:rFonts w:ascii="Times New Roman" w:hAnsi="Times New Roman" w:cs="Times New Roman"/>
        </w:rPr>
      </w:pPr>
    </w:p>
    <w:p w:rsidR="0030533B">
      <w:pPr>
        <w:pStyle w:val="BodyText"/>
        <w:ind w:firstLine="360"/>
        <w:jc w:val="both"/>
        <w:rPr>
          <w:rFonts w:ascii="Times New Roman" w:hAnsi="Times New Roman" w:cs="Times New Roman"/>
          <w:b w:val="0"/>
          <w:bCs w:val="0"/>
        </w:rPr>
      </w:pPr>
      <w:r>
        <w:rPr>
          <w:rFonts w:ascii="Times New Roman" w:hAnsi="Times New Roman" w:cs="Times New Roman"/>
          <w:b w:val="0"/>
          <w:bCs w:val="0"/>
        </w:rPr>
        <w:t xml:space="preserve">Dňom 1. januára 2003 nadobudol účinnosť zákon Národnej rady SR č. 637/2002 Z.z., ktorým sa mení a dopĺňa zákon č. 289/1995 Z.z. o dani z pridanej hodnoty v znení neskorších predpisov. Tento zákon  rieši úpravu sadzieb DPH tak, že doterajšia základná sadzba sa znižuje z 23% na 20% a doterajšia znížená sadzba sa upravuje z 10% na 14%. </w:t>
      </w:r>
    </w:p>
    <w:p w:rsidR="0030533B">
      <w:pPr>
        <w:pStyle w:val="BodyText"/>
        <w:jc w:val="both"/>
        <w:rPr>
          <w:rFonts w:ascii="Times New Roman" w:hAnsi="Times New Roman" w:cs="Times New Roman"/>
          <w:b w:val="0"/>
          <w:bCs w:val="0"/>
        </w:rPr>
      </w:pPr>
    </w:p>
    <w:p w:rsidR="0030533B">
      <w:pPr>
        <w:ind w:firstLine="708"/>
        <w:jc w:val="both"/>
        <w:rPr>
          <w:rFonts w:ascii="Times New Roman" w:hAnsi="Times New Roman" w:cs="Times New Roman"/>
        </w:rPr>
      </w:pPr>
      <w:r>
        <w:rPr>
          <w:rFonts w:ascii="Times New Roman" w:hAnsi="Times New Roman" w:cs="Times New Roman"/>
        </w:rPr>
        <w:t xml:space="preserve">Zásadná zmena sa dotýka aj spôsobu riešenia odpočtov dane. Táto problematika po publikovaní bola podrobne prediskutovaná v podnikateľskej sfére. Na diskusiách sa zúčastnili nielen zástupcovia podnikateľských subjektov, ale aj odborníci z oblasti daňového poradenstva. Ich výsledkom je, že novela, popri zásadnej systémovej zmene, ktorá má v princípe  podporu, prináša aj niektoré prvky, ktoré vytvárajú rozdiely pri podnikaní v hospodárskej súťaži namiesto toho, aby všetci, ktorí chcú dodržiavať stanovené pravidlá mali rovnaké podmienky. </w:t>
      </w:r>
    </w:p>
    <w:p w:rsidR="0030533B">
      <w:pPr>
        <w:jc w:val="both"/>
        <w:rPr>
          <w:rFonts w:ascii="Times New Roman" w:hAnsi="Times New Roman" w:cs="Times New Roman"/>
        </w:rPr>
      </w:pPr>
      <w:r>
        <w:rPr>
          <w:rFonts w:ascii="Times New Roman" w:hAnsi="Times New Roman" w:cs="Times New Roman"/>
        </w:rPr>
        <w:t xml:space="preserve">      Novou administratívne stanovenou hranicou pri vrátení nadmerného odpočtu dane v zákone je postup pri nákupe hmotného majetku (HM). V tomto prípade daňový úrad vráti nadmerný odpočet len takému podnikateľskému subjektu, ktorý si obstará stroj, dodávkový automobil, či iný prostriedok na výkon a zlepšenie kvality predmetu podnikania, avšak iba v cene vyššej ako 600 tis. Sk, kde daň z pridanej hodnoty presahuje viac ako 100 tis. Sk, pričom táto daň súčasne predstavuje viac než 50% celkovej dane na výstupe. </w:t>
      </w:r>
    </w:p>
    <w:p w:rsidR="0030533B">
      <w:pPr>
        <w:jc w:val="both"/>
        <w:rPr>
          <w:rFonts w:ascii="Times New Roman" w:hAnsi="Times New Roman" w:cs="Times New Roman"/>
        </w:rPr>
      </w:pPr>
      <w:r>
        <w:rPr>
          <w:rFonts w:ascii="Times New Roman" w:hAnsi="Times New Roman" w:cs="Times New Roman"/>
        </w:rPr>
        <w:t xml:space="preserve">     Je správna myšlienka, že ten, kto si obstará HM a bude prostredníctvom neho vyrábať výrobky a poskytovať služby viac rokov, čiže aj zdaniteľné plnenia budú uskutočňované počas viacerých rokov, by mal mať túto skutočnosť zohľadnenú vo vratke DPH. Metodické výklady uvádzajú, že u platiteľa dane má DPH len evidenčný charakter, nezaťažuje majetok, ani jeho dôchodok (príjem), pričom platiteľ je v skutočnosti iba výberca tejto dane. Tomu však protirečí fakt, že platiteľ, ktorý kúpi HM vo vyššej cene, než subjektívne určil zákon, má výhodu voči tomu, kto kúpi lacnejší HM, napríklad iba o 1 000 Sk. Pritom vznikne taký paradox, že podnik, ktorý kúpi stroj v cene 800 tis. Sk, bude vo výhodnejšom postavení na trhu z hľadiska nákladov (cash flow) než ten, ktorý kúpi 2 stroje za 400 tis. Sk a pritom zamestná aj viac ľudí.</w:t>
      </w:r>
    </w:p>
    <w:p w:rsidR="0030533B">
      <w:pPr>
        <w:jc w:val="both"/>
        <w:rPr>
          <w:rFonts w:ascii="Times New Roman" w:hAnsi="Times New Roman" w:cs="Times New Roman"/>
        </w:rPr>
      </w:pPr>
      <w:r>
        <w:rPr>
          <w:rFonts w:ascii="Times New Roman" w:hAnsi="Times New Roman" w:cs="Times New Roman"/>
        </w:rPr>
        <w:t xml:space="preserve">     Navyše táto podmie</w:t>
      </w:r>
      <w:r>
        <w:rPr>
          <w:rFonts w:ascii="Times New Roman" w:hAnsi="Times New Roman" w:cs="Times New Roman"/>
        </w:rPr>
        <w:t xml:space="preserve">nka obsahuje ďalší nesystémový prvok v zákone, keď sa vytrhne časť zdaniteľného plnenia na vstupe a porovnáva sa s celkovým plnením na výstupe, pričom v súčte môžu mať oba porovnávané podnikateľské subjekty celkom zhodné ekonomické ukazovatele. </w:t>
      </w:r>
    </w:p>
    <w:p w:rsidR="0030533B">
      <w:pPr>
        <w:jc w:val="both"/>
        <w:rPr>
          <w:rFonts w:ascii="Times New Roman" w:hAnsi="Times New Roman" w:cs="Times New Roman"/>
        </w:rPr>
      </w:pPr>
      <w:r>
        <w:rPr>
          <w:rFonts w:ascii="Times New Roman" w:hAnsi="Times New Roman" w:cs="Times New Roman"/>
        </w:rPr>
        <w:t xml:space="preserve">     Je treba zdôrazniť, že vrátenie nadmerného odpočtu nie je podporou štátu pre platiteľa, ale iba potvrdenie zásady neutrality</w:t>
      </w:r>
      <w:r>
        <w:rPr>
          <w:rFonts w:ascii="Times New Roman" w:hAnsi="Times New Roman" w:cs="Times New Roman"/>
          <w:b/>
          <w:bCs/>
        </w:rPr>
        <w:t xml:space="preserve"> </w:t>
      </w:r>
      <w:r>
        <w:rPr>
          <w:rFonts w:ascii="Times New Roman" w:hAnsi="Times New Roman" w:cs="Times New Roman"/>
        </w:rPr>
        <w:t xml:space="preserve">dane, keďže sa vracia iba tá časť dane, ktorú platiteľ zaplatil inému podnikateľovi a ten ju v rámci rovnakých a štandardných pravidiel zaplatil do štátneho rozpočtu. </w:t>
      </w:r>
    </w:p>
    <w:p w:rsidR="0030533B">
      <w:pPr>
        <w:jc w:val="both"/>
        <w:rPr>
          <w:rFonts w:ascii="Times New Roman" w:hAnsi="Times New Roman" w:cs="Times New Roman"/>
        </w:rPr>
      </w:pPr>
      <w:r>
        <w:rPr>
          <w:rFonts w:ascii="Times New Roman" w:hAnsi="Times New Roman" w:cs="Times New Roman"/>
        </w:rPr>
        <w:t xml:space="preserve">     Novelizáciou zákona sa ustanoví, že nadmerný odpočet, ktorý vznikol štandardným spôsobom v súlade so zákonom, bude platiteľovi po splnení stanovených podmienok vrátený v prípade nákupu hmotného majetku. </w:t>
      </w:r>
    </w:p>
    <w:p w:rsidR="0030533B">
      <w:pPr>
        <w:jc w:val="both"/>
        <w:rPr>
          <w:rFonts w:ascii="Times New Roman" w:hAnsi="Times New Roman" w:cs="Times New Roman"/>
        </w:rPr>
      </w:pPr>
    </w:p>
    <w:p w:rsidR="0030533B">
      <w:pPr>
        <w:pStyle w:val="BodyText"/>
        <w:ind w:firstLine="708"/>
        <w:jc w:val="both"/>
        <w:rPr>
          <w:rFonts w:ascii="Times New Roman" w:hAnsi="Times New Roman" w:cs="Times New Roman"/>
          <w:b w:val="0"/>
          <w:bCs w:val="0"/>
        </w:rPr>
      </w:pPr>
      <w:r>
        <w:rPr>
          <w:rFonts w:ascii="Times New Roman" w:hAnsi="Times New Roman" w:cs="Times New Roman"/>
          <w:b w:val="0"/>
          <w:bCs w:val="0"/>
        </w:rPr>
        <w:t>Súčasťou zákona je i príloha č. 1 „Zoznam tovarov a služieb podliehajúcich sadzbe dane 14%.“  Obsahom tejto prílohy je zoznam tovarov a služieb, u ktorých sa uplatňuje sadzba dane 14%. Okrem iných položiek sú v tomto zozname zaradené všetky základné potraviny. I v doterajšom období boli základné potraviny zaradené vždy medzi tovarmi so zníženou sadzbou DPH.  Pri zostavovaní prílohy č. 1 došlo nedopatrením k tomu, že  do tohto zoznamu nebol zaradený tovar pod číslom CS 151419 – ostatné (repkový olej so zníženým obsahom KE -  ostatné), čo podľa metodiky zákona o DPH znamená automatické zaradenie tohto tovaru do základnej, 20% sadzby dane:</w:t>
      </w:r>
    </w:p>
    <w:p w:rsidR="0030533B">
      <w:pPr>
        <w:jc w:val="both"/>
        <w:rPr>
          <w:rFonts w:ascii="Times New Roman" w:hAnsi="Times New Roman" w:cs="Times New Roman"/>
        </w:rPr>
      </w:pPr>
      <w:r>
        <w:rPr>
          <w:rFonts w:ascii="Times New Roman" w:hAnsi="Times New Roman" w:cs="Times New Roman"/>
        </w:rPr>
        <w:t xml:space="preserve">Repkový olej nomenklatúry </w:t>
      </w:r>
      <w:r>
        <w:rPr>
          <w:rFonts w:ascii="Times New Roman" w:hAnsi="Times New Roman" w:cs="Times New Roman"/>
          <w:b/>
          <w:bCs/>
        </w:rPr>
        <w:t xml:space="preserve">151419 </w:t>
      </w:r>
      <w:r>
        <w:rPr>
          <w:rFonts w:ascii="Times New Roman" w:hAnsi="Times New Roman" w:cs="Times New Roman"/>
        </w:rPr>
        <w:t xml:space="preserve">je </w:t>
      </w:r>
      <w:r>
        <w:rPr>
          <w:rFonts w:ascii="Times New Roman" w:hAnsi="Times New Roman" w:cs="Times New Roman"/>
          <w:b/>
          <w:bCs/>
          <w:u w:val="single"/>
        </w:rPr>
        <w:t>1</w:t>
      </w:r>
      <w:r>
        <w:rPr>
          <w:rFonts w:ascii="Times New Roman" w:hAnsi="Times New Roman" w:cs="Times New Roman"/>
          <w:u w:val="single"/>
        </w:rPr>
        <w:t xml:space="preserve">/. </w:t>
      </w:r>
      <w:r>
        <w:rPr>
          <w:rFonts w:ascii="Times New Roman" w:hAnsi="Times New Roman" w:cs="Times New Roman"/>
          <w:b/>
          <w:bCs/>
          <w:u w:val="single"/>
        </w:rPr>
        <w:t>základnou potravinou</w:t>
      </w:r>
      <w:r>
        <w:rPr>
          <w:rFonts w:ascii="Times New Roman" w:hAnsi="Times New Roman" w:cs="Times New Roman"/>
        </w:rPr>
        <w:t xml:space="preserve"> a v skupine rastlinných olejov pre spotrebu obyvateľstva predstavuje jeho podiel viac ako 70% (ďalšie druhy olejov sú slnečnicový olej, sójový olej a stolové zmesné oleje) a je aj </w:t>
      </w:r>
      <w:r>
        <w:rPr>
          <w:rFonts w:ascii="Times New Roman" w:hAnsi="Times New Roman" w:cs="Times New Roman"/>
          <w:b/>
          <w:bCs/>
          <w:u w:val="single"/>
        </w:rPr>
        <w:t>2/. základnou surovinou</w:t>
      </w:r>
      <w:r>
        <w:rPr>
          <w:rFonts w:ascii="Times New Roman" w:hAnsi="Times New Roman" w:cs="Times New Roman"/>
        </w:rPr>
        <w:t xml:space="preserve"> pre potravinársky priemysel (výroba majonéz, pekárstvo, konzervárstvo, výroba cukroviniek a trvanlivého pečiva apod.) ako aj </w:t>
      </w:r>
      <w:r>
        <w:rPr>
          <w:rFonts w:ascii="Times New Roman" w:hAnsi="Times New Roman" w:cs="Times New Roman"/>
          <w:b/>
          <w:bCs/>
          <w:u w:val="single"/>
        </w:rPr>
        <w:t>3</w:t>
      </w:r>
      <w:r>
        <w:rPr>
          <w:rFonts w:ascii="Times New Roman" w:hAnsi="Times New Roman" w:cs="Times New Roman"/>
          <w:u w:val="single"/>
        </w:rPr>
        <w:t>/.</w:t>
      </w:r>
      <w:r>
        <w:rPr>
          <w:rFonts w:ascii="Times New Roman" w:hAnsi="Times New Roman" w:cs="Times New Roman"/>
          <w:b/>
          <w:bCs/>
          <w:u w:val="single"/>
        </w:rPr>
        <w:t>najrozšírenejším používaným rastlinným olejom v gastronomických službách</w:t>
      </w:r>
      <w:r>
        <w:rPr>
          <w:rFonts w:ascii="Times New Roman" w:hAnsi="Times New Roman" w:cs="Times New Roman"/>
        </w:rPr>
        <w:t xml:space="preserve"> (školy, hotely, závodové stravovanie, nemocnice, armáda, reštaurácie).</w:t>
      </w:r>
    </w:p>
    <w:p w:rsidR="0030533B">
      <w:pPr>
        <w:pStyle w:val="BodyText"/>
        <w:jc w:val="both"/>
        <w:rPr>
          <w:rFonts w:ascii="Times New Roman" w:hAnsi="Times New Roman" w:cs="Times New Roman"/>
          <w:b w:val="0"/>
          <w:bCs w:val="0"/>
        </w:rPr>
      </w:pPr>
      <w:r>
        <w:rPr>
          <w:rFonts w:ascii="Times New Roman" w:hAnsi="Times New Roman" w:cs="Times New Roman"/>
          <w:b w:val="0"/>
          <w:bCs w:val="0"/>
        </w:rPr>
        <w:t xml:space="preserve">Rastlinné oleje všeobecne a tiež repkový olej sú preferované v používaní oproti živočíšnym </w:t>
      </w:r>
    </w:p>
    <w:p w:rsidR="0030533B">
      <w:pPr>
        <w:pStyle w:val="BodyText"/>
        <w:jc w:val="both"/>
        <w:rPr>
          <w:rFonts w:ascii="Times New Roman" w:hAnsi="Times New Roman" w:cs="Times New Roman"/>
          <w:b w:val="0"/>
          <w:bCs w:val="0"/>
        </w:rPr>
      </w:pPr>
      <w:r>
        <w:rPr>
          <w:rFonts w:ascii="Times New Roman" w:hAnsi="Times New Roman" w:cs="Times New Roman"/>
          <w:b w:val="0"/>
          <w:bCs w:val="0"/>
        </w:rPr>
        <w:t>tukom, teda majú aj dôležitú úlohu v zdravotnej prevencii, predovšetkým v oblasti kardiovaskulárnych ochorení.</w:t>
      </w:r>
    </w:p>
    <w:p w:rsidR="0030533B">
      <w:pPr>
        <w:pStyle w:val="BodyText3"/>
        <w:rPr>
          <w:rFonts w:ascii="Times New Roman" w:hAnsi="Times New Roman" w:cs="Times New Roman"/>
        </w:rPr>
      </w:pPr>
      <w:r>
        <w:rPr>
          <w:rFonts w:ascii="Times New Roman" w:hAnsi="Times New Roman" w:cs="Times New Roman"/>
        </w:rPr>
        <w:t>Zaradenie repkového oleja do základnej – 20% nej – sadzby dane prinieslo aj ďalšie neprimerané zvýšenie spotrebiteľských cien o ďalších 6% (rozdiel medzi 20% a 14 % DPH) ako aj dochádza k paradoxu, že slnečnicový olej (zaradený do 14% DPH) je lacnejší ako repkový olej.</w:t>
      </w:r>
    </w:p>
    <w:p w:rsidR="0030533B">
      <w:pPr>
        <w:pStyle w:val="BodyText2"/>
        <w:rPr>
          <w:rFonts w:ascii="Times New Roman" w:hAnsi="Times New Roman" w:cs="Times New Roman"/>
        </w:rPr>
      </w:pPr>
      <w:r>
        <w:rPr>
          <w:rFonts w:ascii="Times New Roman" w:hAnsi="Times New Roman" w:cs="Times New Roman"/>
        </w:rPr>
        <w:t xml:space="preserve">Odstrániť uvedené dopady a neprimeranú tvrdosť zákona si vyžaduje prijať zmenu zákona o DPH t.j. </w:t>
      </w:r>
      <w:r>
        <w:rPr>
          <w:rFonts w:ascii="Times New Roman" w:hAnsi="Times New Roman" w:cs="Times New Roman"/>
          <w:u w:val="single"/>
        </w:rPr>
        <w:t>doplniť v prílohe č. 1</w:t>
      </w:r>
      <w:r>
        <w:rPr>
          <w:rFonts w:ascii="Times New Roman" w:hAnsi="Times New Roman" w:cs="Times New Roman"/>
        </w:rPr>
        <w:t xml:space="preserve"> ( „Zoznam tovarov a služieb podliehajúcich sadzbe dane 14%“ ) zákona 637/2002 Z.z. resp. zákona 511/2002 Z.z. </w:t>
      </w:r>
      <w:r>
        <w:rPr>
          <w:rFonts w:ascii="Times New Roman" w:hAnsi="Times New Roman" w:cs="Times New Roman"/>
          <w:u w:val="single"/>
        </w:rPr>
        <w:t>o položku podľa CS „151419 ostatné“.</w:t>
      </w: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pStyle w:val="Heading1"/>
        <w:jc w:val="left"/>
        <w:rPr>
          <w:rFonts w:ascii="Times New Roman" w:hAnsi="Times New Roman" w:cs="Times New Roman"/>
          <w:i/>
          <w:iCs/>
          <w:sz w:val="28"/>
        </w:rPr>
      </w:pPr>
      <w:r>
        <w:rPr>
          <w:rFonts w:ascii="Times New Roman" w:hAnsi="Times New Roman" w:cs="Times New Roman"/>
          <w:i/>
          <w:iCs/>
          <w:sz w:val="28"/>
        </w:rPr>
        <w:t>B. osobitná časť</w:t>
      </w:r>
    </w:p>
    <w:p w:rsidR="0030533B">
      <w:pPr>
        <w:jc w:val="center"/>
        <w:rPr>
          <w:rFonts w:ascii="Times New Roman" w:hAnsi="Times New Roman" w:cs="Times New Roman"/>
          <w:b/>
          <w:bCs/>
        </w:rPr>
      </w:pPr>
    </w:p>
    <w:p w:rsidR="0030533B">
      <w:pPr>
        <w:pStyle w:val="Heading2"/>
        <w:rPr>
          <w:rFonts w:ascii="Times New Roman" w:hAnsi="Times New Roman" w:cs="Times New Roman"/>
          <w:sz w:val="24"/>
        </w:rPr>
      </w:pPr>
      <w:r>
        <w:rPr>
          <w:rFonts w:ascii="Times New Roman" w:hAnsi="Times New Roman" w:cs="Times New Roman"/>
          <w:sz w:val="24"/>
        </w:rPr>
        <w:t>K Čl. I</w:t>
      </w:r>
    </w:p>
    <w:p w:rsidR="0030533B">
      <w:pPr>
        <w:jc w:val="center"/>
        <w:rPr>
          <w:rFonts w:ascii="Times New Roman" w:hAnsi="Times New Roman" w:cs="Times New Roman"/>
          <w:b/>
          <w:bCs/>
        </w:rPr>
      </w:pPr>
    </w:p>
    <w:p w:rsidR="0030533B">
      <w:pPr>
        <w:rPr>
          <w:rFonts w:ascii="Times New Roman" w:hAnsi="Times New Roman" w:cs="Times New Roman"/>
        </w:rPr>
      </w:pPr>
    </w:p>
    <w:p w:rsidR="0030533B">
      <w:pPr>
        <w:pStyle w:val="Heading3"/>
        <w:rPr>
          <w:rFonts w:ascii="Times New Roman" w:hAnsi="Times New Roman" w:cs="Times New Roman"/>
          <w:sz w:val="24"/>
          <w:lang w:val="sk-SK"/>
        </w:rPr>
      </w:pPr>
      <w:r>
        <w:rPr>
          <w:rFonts w:ascii="Times New Roman" w:hAnsi="Times New Roman" w:cs="Times New Roman"/>
          <w:sz w:val="24"/>
          <w:lang w:val="sk-SK"/>
        </w:rPr>
        <w:t>K bodu 1</w:t>
      </w:r>
    </w:p>
    <w:p w:rsidR="0030533B">
      <w:pPr>
        <w:pStyle w:val="BodyText3"/>
        <w:rPr>
          <w:rFonts w:ascii="Times New Roman" w:hAnsi="Times New Roman" w:cs="Times New Roman"/>
        </w:rPr>
      </w:pPr>
      <w:r>
        <w:rPr>
          <w:rFonts w:ascii="Times New Roman" w:hAnsi="Times New Roman" w:cs="Times New Roman"/>
        </w:rPr>
        <w:t xml:space="preserve">Návrh zákona umožňuje každému platiteľovi, ktorý nakupuje hmotný majetok v hodnote viac ako 100 tis. Sk, aby mu bol vrátený v prípade splnenia ďalšej podmienky, t. j. viac ako 50 % dane na výstupe, riadne uplatnený nadmerný odpočet, čím sa vytvárajú rovnaké podmienky pre hospodársku súťaž bez ohľadu na štruktúru nakúpeného majetku. Navyše sa upresňuje metodická zhoda v pojmoch so zákonom o daniach z príjmov. </w:t>
      </w:r>
    </w:p>
    <w:p w:rsidR="0030533B">
      <w:pPr>
        <w:pStyle w:val="BodyText3"/>
        <w:rPr>
          <w:rFonts w:ascii="Times New Roman" w:hAnsi="Times New Roman" w:cs="Times New Roman"/>
        </w:rPr>
      </w:pPr>
      <w:r>
        <w:rPr>
          <w:rFonts w:ascii="Times New Roman" w:hAnsi="Times New Roman" w:cs="Times New Roman"/>
        </w:rPr>
        <w:t> </w:t>
      </w:r>
    </w:p>
    <w:p w:rsidR="0030533B">
      <w:pPr>
        <w:pStyle w:val="BodyText3"/>
        <w:rPr>
          <w:rFonts w:ascii="Times New Roman" w:hAnsi="Times New Roman" w:cs="Times New Roman"/>
          <w:b/>
          <w:bCs/>
        </w:rPr>
      </w:pPr>
      <w:r>
        <w:rPr>
          <w:rFonts w:ascii="Times New Roman" w:hAnsi="Times New Roman" w:cs="Times New Roman"/>
          <w:b/>
          <w:bCs/>
        </w:rPr>
        <w:t> K bodu  2</w:t>
      </w:r>
    </w:p>
    <w:p w:rsidR="0030533B">
      <w:pPr>
        <w:pStyle w:val="BodyText3"/>
        <w:rPr>
          <w:rFonts w:ascii="Times New Roman" w:hAnsi="Times New Roman" w:cs="Times New Roman"/>
        </w:rPr>
      </w:pPr>
      <w:r>
        <w:rPr>
          <w:rFonts w:ascii="Times New Roman" w:hAnsi="Times New Roman" w:cs="Times New Roman"/>
        </w:rPr>
        <w:t xml:space="preserve">Zavádzajú sa prechodné ustanovenia pre prípady splnenia stanovených podmienok v prechode od pôvodného systému k novému. </w:t>
      </w:r>
    </w:p>
    <w:p w:rsidR="0030533B">
      <w:pPr>
        <w:pStyle w:val="BodyText3"/>
        <w:rPr>
          <w:rFonts w:ascii="Times New Roman" w:hAnsi="Times New Roman" w:cs="Times New Roman"/>
        </w:rPr>
      </w:pPr>
      <w:r>
        <w:rPr>
          <w:rFonts w:ascii="Times New Roman" w:hAnsi="Times New Roman" w:cs="Times New Roman"/>
        </w:rPr>
        <w:t> </w:t>
      </w:r>
    </w:p>
    <w:p w:rsidR="0030533B">
      <w:pPr>
        <w:pStyle w:val="Heading3"/>
        <w:rPr>
          <w:rFonts w:ascii="Times New Roman" w:hAnsi="Times New Roman" w:cs="Times New Roman"/>
          <w:sz w:val="24"/>
          <w:lang w:val="sk-SK"/>
        </w:rPr>
      </w:pPr>
      <w:r>
        <w:rPr>
          <w:rFonts w:ascii="Times New Roman" w:hAnsi="Times New Roman" w:cs="Times New Roman"/>
          <w:sz w:val="24"/>
          <w:lang w:val="sk-SK"/>
        </w:rPr>
        <w:t>K bodu 3</w:t>
      </w:r>
    </w:p>
    <w:p w:rsidR="0030533B">
      <w:pPr>
        <w:pStyle w:val="BodyText"/>
        <w:jc w:val="both"/>
        <w:rPr>
          <w:rFonts w:ascii="Times New Roman" w:hAnsi="Times New Roman" w:cs="Times New Roman"/>
          <w:b w:val="0"/>
          <w:bCs w:val="0"/>
        </w:rPr>
      </w:pPr>
      <w:r>
        <w:rPr>
          <w:rFonts w:ascii="Times New Roman" w:hAnsi="Times New Roman" w:cs="Times New Roman"/>
          <w:b w:val="0"/>
          <w:bCs w:val="0"/>
        </w:rPr>
        <w:t>Podľa navrhovaného ustanovenia sa odstráni neprimeraná tvrdosť zákona a repkový olej sa zaradí v prílohe č. 1 medzi položky so 14 % DPH, ako základná potravina.</w:t>
      </w:r>
    </w:p>
    <w:p w:rsidR="0030533B">
      <w:pPr>
        <w:rPr>
          <w:rFonts w:ascii="Times New Roman" w:hAnsi="Times New Roman" w:cs="Times New Roman"/>
        </w:rPr>
      </w:pPr>
    </w:p>
    <w:p w:rsidR="0030533B">
      <w:pPr>
        <w:pStyle w:val="Heading2"/>
        <w:rPr>
          <w:rFonts w:ascii="Times New Roman" w:hAnsi="Times New Roman" w:cs="Times New Roman"/>
          <w:sz w:val="24"/>
        </w:rPr>
      </w:pPr>
      <w:r>
        <w:rPr>
          <w:rFonts w:ascii="Times New Roman" w:hAnsi="Times New Roman" w:cs="Times New Roman"/>
          <w:sz w:val="24"/>
        </w:rPr>
        <w:t>K Čl. II</w:t>
      </w:r>
    </w:p>
    <w:p w:rsidR="0030533B">
      <w:pPr>
        <w:pStyle w:val="BodyText"/>
        <w:jc w:val="both"/>
        <w:rPr>
          <w:rFonts w:ascii="Times New Roman" w:hAnsi="Times New Roman" w:cs="Times New Roman"/>
          <w:b w:val="0"/>
          <w:bCs w:val="0"/>
        </w:rPr>
      </w:pPr>
      <w:r>
        <w:rPr>
          <w:rFonts w:ascii="Times New Roman" w:hAnsi="Times New Roman" w:cs="Times New Roman"/>
          <w:b w:val="0"/>
          <w:bCs w:val="0"/>
        </w:rPr>
        <w:t>Vzhľadom na množstvo doterajších noviel zákona o DPH sa predseda  NR SR splnomocňuje, aby v Zbierke zákonov SR vyhlásil úplné znenie zákona o DPH.</w:t>
      </w:r>
    </w:p>
    <w:p w:rsidR="0030533B">
      <w:pPr>
        <w:jc w:val="both"/>
        <w:rPr>
          <w:rFonts w:ascii="Times New Roman" w:hAnsi="Times New Roman" w:cs="Times New Roman"/>
          <w:b/>
          <w:bCs/>
        </w:rPr>
      </w:pPr>
      <w:r>
        <w:rPr>
          <w:rFonts w:ascii="Times New Roman" w:hAnsi="Times New Roman" w:cs="Times New Roman"/>
          <w:b/>
          <w:bCs/>
        </w:rPr>
        <w:t xml:space="preserve"> </w:t>
      </w:r>
    </w:p>
    <w:p w:rsidR="0030533B">
      <w:pPr>
        <w:jc w:val="both"/>
        <w:rPr>
          <w:rFonts w:ascii="Times New Roman" w:hAnsi="Times New Roman" w:cs="Times New Roman"/>
          <w:b/>
          <w:bCs/>
        </w:rPr>
      </w:pPr>
      <w:r>
        <w:rPr>
          <w:rFonts w:ascii="Times New Roman" w:hAnsi="Times New Roman" w:cs="Times New Roman"/>
          <w:b/>
          <w:bCs/>
        </w:rPr>
        <w:t>K Čl. III</w:t>
      </w:r>
    </w:p>
    <w:p w:rsidR="0030533B">
      <w:pPr>
        <w:jc w:val="both"/>
        <w:rPr>
          <w:rFonts w:ascii="Times New Roman" w:hAnsi="Times New Roman" w:cs="Times New Roman"/>
        </w:rPr>
      </w:pPr>
      <w:r>
        <w:rPr>
          <w:rFonts w:ascii="Times New Roman" w:hAnsi="Times New Roman" w:cs="Times New Roman"/>
        </w:rPr>
        <w:t>Navrhuje sa dátum účinnosti, ktorý sa javí ako najbližší možný reálny termín.</w:t>
      </w:r>
    </w:p>
    <w:p w:rsidR="0030533B">
      <w:pPr>
        <w:pStyle w:val="BodyText"/>
        <w:jc w:val="both"/>
        <w:rPr>
          <w:rFonts w:ascii="Times New Roman" w:hAnsi="Times New Roman" w:cs="Times New Roman"/>
          <w:b w:val="0"/>
          <w:bCs w:val="0"/>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jc w:val="left"/>
        <w:rPr>
          <w:rFonts w:ascii="Times New Roman" w:hAnsi="Times New Roman" w:cs="Times New Roman"/>
          <w:b w:val="0"/>
          <w:bCs w:val="0"/>
        </w:rPr>
      </w:pPr>
    </w:p>
    <w:p w:rsidR="0030533B">
      <w:pPr>
        <w:pStyle w:val="BodyText"/>
        <w:ind w:left="360"/>
        <w:rPr>
          <w:rFonts w:ascii="Times New Roman" w:hAnsi="Times New Roman" w:cs="Times New Roman"/>
          <w:caps/>
        </w:rPr>
      </w:pPr>
      <w:r>
        <w:rPr>
          <w:rFonts w:ascii="Times New Roman" w:hAnsi="Times New Roman" w:cs="Times New Roman"/>
          <w:caps/>
        </w:rPr>
        <w:t>Doložka  Zlučiteľnosti</w:t>
      </w:r>
    </w:p>
    <w:p w:rsidR="0030533B">
      <w:pPr>
        <w:pStyle w:val="BodyText"/>
        <w:ind w:left="360"/>
        <w:rPr>
          <w:rFonts w:ascii="Times New Roman" w:hAnsi="Times New Roman" w:cs="Times New Roman"/>
        </w:rPr>
      </w:pPr>
      <w:r>
        <w:rPr>
          <w:rFonts w:ascii="Times New Roman" w:hAnsi="Times New Roman" w:cs="Times New Roman"/>
        </w:rPr>
        <w:t>návrhu zákona s právom Európskej únie</w:t>
      </w:r>
    </w:p>
    <w:p w:rsidR="0030533B">
      <w:pPr>
        <w:pStyle w:val="BodyText"/>
        <w:ind w:left="360"/>
        <w:jc w:val="left"/>
        <w:rPr>
          <w:rFonts w:ascii="Times New Roman" w:hAnsi="Times New Roman" w:cs="Times New Roman"/>
        </w:rPr>
      </w:pPr>
    </w:p>
    <w:p w:rsidR="0030533B">
      <w:pPr>
        <w:pStyle w:val="BodyText"/>
        <w:numPr>
          <w:ilvl w:val="0"/>
          <w:numId w:val="2"/>
        </w:numPr>
        <w:tabs>
          <w:tab w:val="left" w:pos="720"/>
        </w:tabs>
        <w:jc w:val="left"/>
        <w:rPr>
          <w:rFonts w:ascii="Times New Roman" w:hAnsi="Times New Roman" w:cs="Times New Roman"/>
          <w:b w:val="0"/>
          <w:bCs w:val="0"/>
        </w:rPr>
      </w:pPr>
      <w:r>
        <w:rPr>
          <w:rFonts w:ascii="Times New Roman" w:hAnsi="Times New Roman" w:cs="Times New Roman"/>
        </w:rPr>
        <w:t xml:space="preserve">Navrhovateľ zákona: </w:t>
      </w:r>
      <w:r>
        <w:rPr>
          <w:rFonts w:ascii="Times New Roman" w:hAnsi="Times New Roman" w:cs="Times New Roman"/>
          <w:b w:val="0"/>
          <w:bCs w:val="0"/>
        </w:rPr>
        <w:t>skupina</w:t>
      </w:r>
      <w:r>
        <w:rPr>
          <w:rFonts w:ascii="Times New Roman" w:hAnsi="Times New Roman" w:cs="Times New Roman"/>
        </w:rPr>
        <w:t xml:space="preserve"> </w:t>
      </w:r>
      <w:r>
        <w:rPr>
          <w:rFonts w:ascii="Times New Roman" w:hAnsi="Times New Roman" w:cs="Times New Roman"/>
          <w:b w:val="0"/>
          <w:bCs w:val="0"/>
        </w:rPr>
        <w:t>poslancov Národnej rady Slovenskej republiky</w:t>
      </w:r>
    </w:p>
    <w:p w:rsidR="0030533B">
      <w:pPr>
        <w:pStyle w:val="BodyText"/>
        <w:ind w:left="360"/>
        <w:jc w:val="left"/>
        <w:rPr>
          <w:rFonts w:ascii="Times New Roman" w:hAnsi="Times New Roman" w:cs="Times New Roman"/>
          <w:b w:val="0"/>
          <w:bCs w:val="0"/>
        </w:rPr>
      </w:pPr>
    </w:p>
    <w:p w:rsidR="0030533B">
      <w:pPr>
        <w:pStyle w:val="BodyText"/>
        <w:numPr>
          <w:ilvl w:val="0"/>
          <w:numId w:val="2"/>
        </w:numPr>
        <w:tabs>
          <w:tab w:val="left" w:pos="720"/>
        </w:tabs>
        <w:jc w:val="left"/>
        <w:rPr>
          <w:rFonts w:ascii="Times New Roman" w:hAnsi="Times New Roman" w:cs="Times New Roman"/>
          <w:b w:val="0"/>
          <w:bCs w:val="0"/>
        </w:rPr>
      </w:pPr>
      <w:r>
        <w:rPr>
          <w:rFonts w:ascii="Times New Roman" w:hAnsi="Times New Roman" w:cs="Times New Roman"/>
        </w:rPr>
        <w:t xml:space="preserve">Názov návrhu zákona : </w:t>
      </w:r>
      <w:r>
        <w:rPr>
          <w:rFonts w:ascii="Times New Roman" w:hAnsi="Times New Roman" w:cs="Times New Roman"/>
          <w:b w:val="0"/>
          <w:bCs w:val="0"/>
        </w:rPr>
        <w:t>Návrh skupiny poslancov na vydanie zákona, ktorým sa mení a dopĺňa zákon Národnej rady Slovenskej republiky č. 289/1995 Z. z. o dani z pridanej hodnoty v znení neskorších predpisov.</w:t>
      </w:r>
    </w:p>
    <w:p w:rsidR="0030533B">
      <w:pPr>
        <w:pStyle w:val="BodyText"/>
        <w:jc w:val="left"/>
        <w:rPr>
          <w:rFonts w:ascii="Times New Roman" w:hAnsi="Times New Roman" w:cs="Times New Roman"/>
          <w:b w:val="0"/>
          <w:bCs w:val="0"/>
        </w:rPr>
      </w:pPr>
    </w:p>
    <w:p w:rsidR="0030533B">
      <w:pPr>
        <w:pStyle w:val="BodyText"/>
        <w:numPr>
          <w:ilvl w:val="0"/>
          <w:numId w:val="2"/>
        </w:numPr>
        <w:tabs>
          <w:tab w:val="left" w:pos="720"/>
        </w:tabs>
        <w:jc w:val="left"/>
        <w:rPr>
          <w:rFonts w:ascii="Times New Roman" w:hAnsi="Times New Roman" w:cs="Times New Roman"/>
          <w:b w:val="0"/>
          <w:bCs w:val="0"/>
        </w:rPr>
      </w:pPr>
      <w:r>
        <w:rPr>
          <w:rFonts w:ascii="Times New Roman" w:hAnsi="Times New Roman" w:cs="Times New Roman"/>
        </w:rPr>
        <w:t>V práve Európskej únie je problematika návrhu zákona :</w:t>
      </w:r>
    </w:p>
    <w:p w:rsidR="0030533B">
      <w:pPr>
        <w:pStyle w:val="BodyText"/>
        <w:jc w:val="left"/>
        <w:rPr>
          <w:rFonts w:ascii="Times New Roman" w:hAnsi="Times New Roman" w:cs="Times New Roman"/>
          <w:b w:val="0"/>
          <w:bCs w:val="0"/>
        </w:rPr>
      </w:pPr>
    </w:p>
    <w:p w:rsidR="0030533B">
      <w:pPr>
        <w:pStyle w:val="BodyText"/>
        <w:ind w:left="2124"/>
        <w:jc w:val="left"/>
        <w:rPr>
          <w:rFonts w:ascii="Times New Roman" w:hAnsi="Times New Roman" w:cs="Times New Roman"/>
          <w:b w:val="0"/>
          <w:bCs w:val="0"/>
        </w:rPr>
      </w:pPr>
      <w:r>
        <w:rPr>
          <w:rFonts w:ascii="Times New Roman" w:hAnsi="Times New Roman" w:cs="Times New Roman"/>
          <w:b w:val="0"/>
          <w:bCs w:val="0"/>
        </w:rPr>
        <w:t>- upravená</w:t>
      </w:r>
    </w:p>
    <w:p w:rsidR="0030533B">
      <w:pPr>
        <w:pStyle w:val="BodyText"/>
        <w:jc w:val="left"/>
        <w:rPr>
          <w:rFonts w:ascii="Times New Roman" w:hAnsi="Times New Roman" w:cs="Times New Roman"/>
          <w:b w:val="0"/>
          <w:bCs w:val="0"/>
        </w:rPr>
      </w:pPr>
    </w:p>
    <w:p w:rsidR="0030533B">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Návrh zákona svojou problematikou</w:t>
      </w:r>
    </w:p>
    <w:p w:rsidR="0030533B">
      <w:pPr>
        <w:pStyle w:val="BodyText"/>
        <w:ind w:left="360"/>
        <w:jc w:val="left"/>
        <w:rPr>
          <w:rFonts w:ascii="Times New Roman" w:hAnsi="Times New Roman" w:cs="Times New Roman"/>
        </w:rPr>
      </w:pPr>
    </w:p>
    <w:p w:rsidR="0030533B">
      <w:pPr>
        <w:pStyle w:val="BodyText"/>
        <w:ind w:left="708"/>
        <w:jc w:val="both"/>
        <w:rPr>
          <w:rFonts w:ascii="Times New Roman" w:hAnsi="Times New Roman" w:cs="Times New Roman"/>
          <w:b w:val="0"/>
          <w:bCs w:val="0"/>
        </w:rPr>
      </w:pPr>
      <w:r>
        <w:rPr>
          <w:rFonts w:ascii="Times New Roman" w:hAnsi="Times New Roman" w:cs="Times New Roman"/>
          <w:b w:val="0"/>
          <w:bCs w:val="0"/>
        </w:rPr>
        <w:tab/>
        <w:t xml:space="preserve">patrí medzi prioritné oblasti aproximácie práva uvedené v čl. 70 Európskej dohody o pridružení (nepriame dane) a je aj predmetom odporúčaní v Príprave asociovaných krajín strednej a východnej Európy na integráciu do vnútorného trhu únie (Biela kniha) v 22. sekcii (Nepriame zdaňovanie). </w:t>
      </w:r>
    </w:p>
    <w:p w:rsidR="0030533B">
      <w:pPr>
        <w:pStyle w:val="BodyText"/>
        <w:jc w:val="left"/>
        <w:rPr>
          <w:rFonts w:ascii="Times New Roman" w:hAnsi="Times New Roman" w:cs="Times New Roman"/>
          <w:b w:val="0"/>
          <w:bCs w:val="0"/>
        </w:rPr>
      </w:pPr>
    </w:p>
    <w:p w:rsidR="0030533B">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Charakteristika právnych noriem Európskej únie, ktorými je upravená problematika návrhu zákona :</w:t>
      </w:r>
    </w:p>
    <w:p w:rsidR="0030533B">
      <w:pPr>
        <w:pStyle w:val="BodyText"/>
        <w:ind w:left="360"/>
        <w:jc w:val="left"/>
        <w:rPr>
          <w:rFonts w:ascii="Times New Roman" w:hAnsi="Times New Roman" w:cs="Times New Roman"/>
        </w:rPr>
      </w:pPr>
    </w:p>
    <w:p w:rsidR="0030533B">
      <w:pPr>
        <w:pStyle w:val="BodyText"/>
        <w:ind w:left="1416"/>
        <w:jc w:val="both"/>
        <w:rPr>
          <w:rFonts w:ascii="Times New Roman" w:hAnsi="Times New Roman" w:cs="Times New Roman"/>
          <w:b w:val="0"/>
          <w:bCs w:val="0"/>
        </w:rPr>
      </w:pPr>
      <w:r>
        <w:rPr>
          <w:rFonts w:ascii="Times New Roman" w:hAnsi="Times New Roman" w:cs="Times New Roman"/>
          <w:b w:val="0"/>
          <w:bCs w:val="0"/>
        </w:rPr>
        <w:t>šiesta smernica Rady EÚ 77/388/EHS z 17. 5. 1977 v znení jej zmien</w:t>
      </w:r>
    </w:p>
    <w:p w:rsidR="0030533B">
      <w:pPr>
        <w:pStyle w:val="BodyText"/>
        <w:ind w:left="708"/>
        <w:jc w:val="both"/>
        <w:rPr>
          <w:rFonts w:ascii="Times New Roman" w:hAnsi="Times New Roman" w:cs="Times New Roman"/>
          <w:b w:val="0"/>
          <w:bCs w:val="0"/>
        </w:rPr>
      </w:pPr>
      <w:r>
        <w:rPr>
          <w:rFonts w:ascii="Times New Roman" w:hAnsi="Times New Roman" w:cs="Times New Roman"/>
          <w:b w:val="0"/>
          <w:bCs w:val="0"/>
        </w:rPr>
        <w:t>a doplnkov, o harmonizácii zákonov členských štátov o dani z obratu (OJL 145 z 13. 6. 1977 s I), ktorá zavádza spoločný systém pre daň z pridanej hodnoty. Smernica spôsob odpočtov DPH ponecháva na úpravu členským štátom.</w:t>
      </w:r>
    </w:p>
    <w:p w:rsidR="0030533B">
      <w:pPr>
        <w:pStyle w:val="BodyText"/>
        <w:jc w:val="left"/>
        <w:rPr>
          <w:rFonts w:ascii="Times New Roman" w:hAnsi="Times New Roman" w:cs="Times New Roman"/>
          <w:b w:val="0"/>
          <w:bCs w:val="0"/>
        </w:rPr>
      </w:pPr>
    </w:p>
    <w:p w:rsidR="0030533B">
      <w:pPr>
        <w:pStyle w:val="BodyText"/>
        <w:numPr>
          <w:ilvl w:val="0"/>
          <w:numId w:val="2"/>
        </w:numPr>
        <w:tabs>
          <w:tab w:val="left" w:pos="720"/>
        </w:tabs>
        <w:jc w:val="left"/>
        <w:rPr>
          <w:rFonts w:ascii="Times New Roman" w:hAnsi="Times New Roman" w:cs="Times New Roman"/>
        </w:rPr>
      </w:pPr>
      <w:r>
        <w:rPr>
          <w:rFonts w:ascii="Times New Roman" w:hAnsi="Times New Roman" w:cs="Times New Roman"/>
        </w:rPr>
        <w:t>Vyjadrenie stupňa kompatibility s právnou normou Európskej únie :</w:t>
      </w:r>
    </w:p>
    <w:p w:rsidR="0030533B">
      <w:pPr>
        <w:pStyle w:val="BodyText"/>
        <w:ind w:left="360"/>
        <w:jc w:val="left"/>
        <w:rPr>
          <w:rFonts w:ascii="Times New Roman" w:hAnsi="Times New Roman" w:cs="Times New Roman"/>
        </w:rPr>
      </w:pPr>
    </w:p>
    <w:p w:rsidR="0030533B">
      <w:pPr>
        <w:pStyle w:val="BodyText"/>
        <w:ind w:left="720"/>
        <w:jc w:val="left"/>
        <w:rPr>
          <w:rFonts w:ascii="Times New Roman" w:hAnsi="Times New Roman" w:cs="Times New Roman"/>
          <w:b w:val="0"/>
          <w:bCs w:val="0"/>
        </w:rPr>
      </w:pPr>
      <w:r>
        <w:rPr>
          <w:rFonts w:ascii="Times New Roman" w:hAnsi="Times New Roman" w:cs="Times New Roman"/>
          <w:b w:val="0"/>
          <w:bCs w:val="0"/>
        </w:rPr>
        <w:t>- úplná</w:t>
      </w:r>
    </w:p>
    <w:p w:rsidR="0030533B">
      <w:pPr>
        <w:pStyle w:val="BodyText"/>
        <w:jc w:val="left"/>
        <w:rPr>
          <w:rFonts w:ascii="Times New Roman" w:hAnsi="Times New Roman" w:cs="Times New Roman"/>
        </w:rPr>
      </w:pPr>
    </w:p>
    <w:p w:rsidR="0030533B">
      <w:pPr>
        <w:pStyle w:val="BodyText"/>
        <w:jc w:val="left"/>
        <w:rPr>
          <w:rFonts w:ascii="Times New Roman" w:hAnsi="Times New Roman" w:cs="Times New Roman"/>
          <w:b w:val="0"/>
          <w:bCs w:val="0"/>
        </w:rPr>
      </w:pPr>
    </w:p>
    <w:p w:rsidR="0030533B">
      <w:pPr>
        <w:pStyle w:val="BodyText"/>
        <w:jc w:val="left"/>
        <w:rPr>
          <w:rFonts w:ascii="Times New Roman" w:hAnsi="Times New Roman" w:cs="Times New Roman"/>
        </w:rPr>
      </w:pPr>
    </w:p>
    <w:p w:rsidR="0030533B">
      <w:pPr>
        <w:pStyle w:val="BodyText"/>
        <w:jc w:val="left"/>
        <w:rPr>
          <w:rFonts w:ascii="Times New Roman" w:hAnsi="Times New Roman" w:cs="Times New Roman"/>
        </w:rPr>
      </w:pPr>
    </w:p>
    <w:p w:rsidR="0030533B">
      <w:pPr>
        <w:pStyle w:val="BodyText"/>
        <w:jc w:val="left"/>
        <w:rPr>
          <w:rFonts w:ascii="Times New Roman" w:hAnsi="Times New Roman" w:cs="Times New Roman"/>
        </w:rPr>
      </w:pPr>
    </w:p>
    <w:p w:rsidR="0030533B">
      <w:pPr>
        <w:rPr>
          <w:rFonts w:ascii="Times New Roman" w:hAnsi="Times New Roman" w:cs="Times New Roman"/>
        </w:rPr>
      </w:pPr>
    </w:p>
    <w:p w:rsidR="0030533B">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035E1"/>
    <w:multiLevelType w:val="hybridMultilevel"/>
    <w:tmpl w:val="A8AC7D2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20916CF"/>
    <w:multiLevelType w:val="hybridMultilevel"/>
    <w:tmpl w:val="7C34716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0533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autoSpaceDE/>
      <w:autoSpaceDN/>
      <w:jc w:val="both"/>
      <w:outlineLvl w:val="1"/>
    </w:pPr>
    <w:rPr>
      <w:b/>
      <w:bCs/>
      <w:sz w:val="20"/>
    </w:rPr>
  </w:style>
  <w:style w:type="paragraph" w:styleId="Heading3">
    <w:name w:val="heading 3"/>
    <w:basedOn w:val="Normal"/>
    <w:next w:val="Normal"/>
    <w:uiPriority w:val="9"/>
    <w:qFormat/>
    <w:pPr>
      <w:keepNext/>
      <w:autoSpaceDE/>
      <w:autoSpaceDN/>
      <w:jc w:val="left"/>
      <w:outlineLvl w:val="2"/>
    </w:pPr>
    <w:rPr>
      <w:b/>
      <w:bCs/>
      <w:sz w:val="20"/>
      <w:lang w:val="cs-CZ"/>
    </w:rPr>
  </w:style>
  <w:style w:type="character" w:default="1" w:styleId="DefaultParagraphFont">
    <w:name w:val="Default Paragraph Font"/>
    <w:semiHidden/>
  </w:style>
  <w:style w:type="paragraph" w:styleId="Title">
    <w:name w:val="Title"/>
    <w:basedOn w:val="Normal"/>
    <w:uiPriority w:val="10"/>
    <w:qFormat/>
    <w:pPr>
      <w:jc w:val="center"/>
    </w:pPr>
    <w:rPr>
      <w:b/>
      <w:bCs/>
      <w:caps/>
      <w:sz w:val="28"/>
      <w:u w:val="single"/>
    </w:rPr>
  </w:style>
  <w:style w:type="paragraph" w:styleId="BodyText">
    <w:name w:val="Body Text"/>
    <w:basedOn w:val="Normal"/>
    <w:pPr>
      <w:jc w:val="center"/>
    </w:pPr>
    <w:rPr>
      <w:b/>
      <w:bCs/>
    </w:rPr>
  </w:style>
  <w:style w:type="paragraph" w:customStyle="1" w:styleId="Zkladntext">
    <w:name w:val="Základní text"/>
    <w:pPr>
      <w:widowControl w:val="0"/>
      <w:autoSpaceDE/>
      <w:autoSpaceDN/>
      <w:bidi w:val="0"/>
      <w:adjustRightInd w:val="0"/>
      <w:ind w:left="0" w:right="0"/>
      <w:jc w:val="left"/>
      <w:textAlignment w:val="auto"/>
    </w:pPr>
    <w:rPr>
      <w:color w:val="000000"/>
      <w:sz w:val="20"/>
      <w:szCs w:val="24"/>
      <w:rtl w:val="0"/>
      <w:lang w:val="sk-SK" w:bidi="ar-SA"/>
    </w:rPr>
  </w:style>
  <w:style w:type="paragraph" w:styleId="BodyText2">
    <w:name w:val="Body Text 2"/>
    <w:basedOn w:val="Normal"/>
    <w:pPr>
      <w:jc w:val="both"/>
    </w:pPr>
    <w:rPr>
      <w:b/>
      <w:bCs/>
      <w:szCs w:val="20"/>
    </w:rPr>
  </w:style>
  <w:style w:type="paragraph" w:styleId="BodyText3">
    <w:name w:val="Body Text 3"/>
    <w:basedOn w:val="Normal"/>
    <w:pPr>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6</Pages>
  <Words>1431</Words>
  <Characters>8157</Characters>
  <Application>Microsoft Office Word</Application>
  <DocSecurity>0</DocSecurity>
  <Lines>0</Lines>
  <Paragraphs>0</Paragraphs>
  <ScaleCrop>false</ScaleCrop>
  <Company>Kancelária NR SR</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GaspJarm</cp:lastModifiedBy>
  <cp:revision>4</cp:revision>
  <cp:lastPrinted>2003-02-07T14:38:00Z</cp:lastPrinted>
  <dcterms:created xsi:type="dcterms:W3CDTF">2003-02-11T09:35:00Z</dcterms:created>
  <dcterms:modified xsi:type="dcterms:W3CDTF">2003-02-11T09:36:00Z</dcterms:modified>
</cp:coreProperties>
</file>