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1E75A" w14:textId="77777777" w:rsidR="007375F5" w:rsidRDefault="007375F5" w:rsidP="007375F5">
      <w:pPr>
        <w:pStyle w:val="Nadpis1"/>
      </w:pPr>
      <w:r>
        <w:t>NÁRODNÁ RADA SLOVENSKEJ REPUBLIKY</w:t>
      </w:r>
    </w:p>
    <w:p w14:paraId="59156234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4653E22" w14:textId="44E0CA00" w:rsidR="007375F5" w:rsidRPr="00C42F65" w:rsidRDefault="00E976A1" w:rsidP="007375F5">
      <w:pPr>
        <w:pStyle w:val="Protokoln"/>
      </w:pPr>
      <w:r w:rsidRPr="00C42F65">
        <w:t xml:space="preserve">Číslo: </w:t>
      </w:r>
      <w:r w:rsidR="00231642" w:rsidRPr="00231642">
        <w:t>KNR-ORGA-</w:t>
      </w:r>
      <w:r w:rsidR="005C16D6">
        <w:t>5</w:t>
      </w:r>
      <w:r w:rsidR="00380C55">
        <w:t>911</w:t>
      </w:r>
      <w:r w:rsidR="005C16D6">
        <w:t>/2025</w:t>
      </w:r>
    </w:p>
    <w:p w14:paraId="5B0D5EA4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20A0384B" wp14:editId="75101F5E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48D93" w14:textId="610475FC" w:rsidR="007375F5" w:rsidRDefault="00380C55" w:rsidP="007375F5">
      <w:pPr>
        <w:pStyle w:val="uznesenia"/>
      </w:pPr>
      <w:r>
        <w:t>1248</w:t>
      </w:r>
    </w:p>
    <w:p w14:paraId="02E80BA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B13076B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441044E0" w14:textId="77777777" w:rsidR="007375F5" w:rsidRDefault="007375F5" w:rsidP="007375F5">
      <w:pPr>
        <w:keepNext w:val="0"/>
        <w:keepLines w:val="0"/>
        <w:widowControl w:val="0"/>
      </w:pPr>
    </w:p>
    <w:p w14:paraId="3F2F2E46" w14:textId="0613F33E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380C55">
        <w:rPr>
          <w:spacing w:val="0"/>
        </w:rPr>
        <w:t>28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231642">
        <w:rPr>
          <w:spacing w:val="0"/>
        </w:rPr>
        <w:t>októbra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100F18A9" w14:textId="77777777" w:rsidR="007375F5" w:rsidRDefault="007375F5" w:rsidP="007375F5">
      <w:pPr>
        <w:keepNext w:val="0"/>
        <w:keepLines w:val="0"/>
        <w:widowControl w:val="0"/>
      </w:pPr>
    </w:p>
    <w:p w14:paraId="2E31CE15" w14:textId="1ED05465" w:rsidR="00911C04" w:rsidRDefault="00380C55" w:rsidP="0037079C">
      <w:pPr>
        <w:jc w:val="both"/>
      </w:pPr>
      <w:r w:rsidRPr="00380C55">
        <w:t>k negatívnemu vplyvu rozšírenia systému obchodovania s emisnými kvótami pre budovy a cestnú dopravu (ETS2) na sociálnu a hospodársku situáciu domácností v Slovenskej republike</w:t>
      </w:r>
      <w:r w:rsidR="00231642" w:rsidRPr="00231642">
        <w:t xml:space="preserve"> (tlač </w:t>
      </w:r>
      <w:r w:rsidR="00231642">
        <w:t>1</w:t>
      </w:r>
      <w:r>
        <w:t>069</w:t>
      </w:r>
      <w:r w:rsidR="00231642" w:rsidRPr="00231642">
        <w:t>)</w:t>
      </w:r>
    </w:p>
    <w:p w14:paraId="47BBC86E" w14:textId="77777777" w:rsidR="00645C1A" w:rsidRDefault="00645C1A" w:rsidP="007375F5">
      <w:pPr>
        <w:jc w:val="both"/>
      </w:pPr>
    </w:p>
    <w:p w14:paraId="0A0504C6" w14:textId="77777777" w:rsidR="005C313D" w:rsidRPr="00FC13BA" w:rsidRDefault="005C313D" w:rsidP="007375F5">
      <w:pPr>
        <w:jc w:val="both"/>
      </w:pPr>
    </w:p>
    <w:p w14:paraId="7D94C71D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4FA7A3A9" w14:textId="77777777" w:rsidR="007375F5" w:rsidRDefault="007375F5" w:rsidP="007375F5">
      <w:pPr>
        <w:jc w:val="both"/>
        <w:rPr>
          <w:rFonts w:cs="Arial"/>
        </w:rPr>
      </w:pPr>
    </w:p>
    <w:p w14:paraId="612878EA" w14:textId="77777777" w:rsidR="00380C55" w:rsidRPr="00380C55" w:rsidRDefault="00380C55" w:rsidP="00163293">
      <w:pPr>
        <w:keepNext w:val="0"/>
        <w:keepLines w:val="0"/>
        <w:widowControl w:val="0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so zreteľom na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čl. 5 ods. 1 až 4 Zmluvy o Európskej únii</w:t>
      </w:r>
      <w:r w:rsidRPr="00380C55">
        <w:rPr>
          <w:rFonts w:eastAsia="NSimSun" w:cs="Arial"/>
          <w:bCs/>
          <w:iCs/>
          <w:kern w:val="2"/>
          <w:lang w:eastAsia="zh-CN" w:bidi="hi-IN"/>
        </w:rPr>
        <w:t>, ktoré stanovujú zásady prenesenia právomocí, subsidiarity a proporcionality,</w:t>
      </w:r>
    </w:p>
    <w:p w14:paraId="68B3840B" w14:textId="77777777" w:rsidR="00380C55" w:rsidRPr="00380C55" w:rsidRDefault="00380C55" w:rsidP="00163293">
      <w:pPr>
        <w:keepNext w:val="0"/>
        <w:keepLines w:val="0"/>
        <w:widowControl w:val="0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so zreteľom na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čl. 4 ods. 2 písm. e) a i) Zmluvy o fungovaní Európskej únie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, ktoré ustanovujú spoločnú právomoc Európskej únie s členskými štátmi v oblasti životného prostredia a energetiky, </w:t>
      </w:r>
    </w:p>
    <w:p w14:paraId="49DD8E6F" w14:textId="77777777" w:rsidR="00380C55" w:rsidRPr="00380C55" w:rsidRDefault="00380C55" w:rsidP="00163293">
      <w:pPr>
        <w:keepNext w:val="0"/>
        <w:keepLines w:val="0"/>
        <w:widowControl w:val="0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so zreteľom na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čl. 9 a 11 Zmluvy o fungovaní Európskej únie,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ktoré vyžadujú, aby sa sociálna ochrana, zamestnanosť, zdravie a udržateľný rozvoj zohľadňovali vo všetkých politikách a činnostiach Európskej únie,</w:t>
      </w:r>
    </w:p>
    <w:p w14:paraId="53AE1C81" w14:textId="77777777" w:rsidR="00380C55" w:rsidRPr="00380C55" w:rsidRDefault="00380C55" w:rsidP="00163293">
      <w:pPr>
        <w:keepNext w:val="0"/>
        <w:keepLines w:val="0"/>
        <w:widowControl w:val="0"/>
        <w:numPr>
          <w:ilvl w:val="0"/>
          <w:numId w:val="2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so zreteľom na ustanovenia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Ústavy Slovenskej republiky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, ktoré definujú Slovenskú republiku ako zvrchovaný štát so sociálne orientovanou trhovou ekonomikou,  </w:t>
      </w:r>
    </w:p>
    <w:p w14:paraId="59885515" w14:textId="30072B67" w:rsidR="00380C55" w:rsidRP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>vzhľadom na to, že smernica (EÚ) 2023/959 z 10. mája 2023 mení smernicu 2003/87/ES s cieľom zriadiť nový systém obchodovania s emisnými kvótami, ktorý sa vzťahuje na budovy a palivá používané v cestnej doprave (ETS2)</w:t>
      </w:r>
      <w:r>
        <w:rPr>
          <w:rFonts w:eastAsia="NSimSun" w:cs="Arial"/>
          <w:bCs/>
          <w:iCs/>
          <w:kern w:val="2"/>
          <w:lang w:eastAsia="zh-CN" w:bidi="hi-IN"/>
        </w:rPr>
        <w:t>,</w:t>
      </w:r>
    </w:p>
    <w:p w14:paraId="5E34E6C3" w14:textId="38BEC9C0" w:rsidR="00380C55" w:rsidRP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vzhľadom na to, že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Európska únia sama uznáva, že právna úprava pravdepodobne povedie k zvýšeniu nákladov domácností</w:t>
      </w:r>
      <w:r w:rsidRPr="00380C55">
        <w:rPr>
          <w:rFonts w:eastAsia="NSimSun" w:cs="Arial"/>
          <w:bCs/>
          <w:iCs/>
          <w:kern w:val="2"/>
          <w:lang w:eastAsia="zh-CN" w:bidi="hi-IN"/>
        </w:rPr>
        <w:t>, keďže dodávatelia palív prenášajú emisné náklady na konečných spotrebiteľov</w:t>
      </w:r>
      <w:r>
        <w:rPr>
          <w:rFonts w:eastAsia="NSimSun" w:cs="Arial"/>
          <w:bCs/>
          <w:iCs/>
          <w:kern w:val="2"/>
          <w:lang w:eastAsia="zh-CN" w:bidi="hi-IN"/>
        </w:rPr>
        <w:t>,</w:t>
      </w:r>
    </w:p>
    <w:p w14:paraId="2E85A267" w14:textId="03DC7FC0" w:rsidR="00380C55" w:rsidRP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vzhľadom na to, že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Európska rada a právne predpisy Európskej únie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v súlade so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zásadou č. 20 Európskeho piliera sociálnych práv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potvrdili, že prechod na klimaticky neutrálnu ekonomiku musí byť spravodlivý a inkluzívny, založený na solidarite a spravodlivosti, pričom sa musí zabezpečiť, aby mali všetci občania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prístup k cenovo dostupnej energii</w:t>
      </w:r>
      <w:r w:rsidRPr="00163293">
        <w:rPr>
          <w:rFonts w:eastAsia="NSimSun" w:cs="Arial"/>
          <w:iCs/>
          <w:kern w:val="2"/>
          <w:lang w:eastAsia="zh-CN" w:bidi="hi-IN"/>
        </w:rPr>
        <w:t>,</w:t>
      </w:r>
    </w:p>
    <w:p w14:paraId="57B421E8" w14:textId="33A05303" w:rsidR="00380C55" w:rsidRP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lastRenderedPageBreak/>
        <w:t xml:space="preserve">vzhľadom na to, že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text smernice (EÚ) 2023/959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výslovne uznáva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, že náklady, ktoré znášajú domácnosti a používatelia dopravy sa v dôsledku systému ETS2 pravdepodobne zvýšia, a konštatuje, že zvýšenie cien palív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 xml:space="preserve">môže neprimerane ovplyvniť zraniteľné domácnosti a </w:t>
      </w:r>
      <w:proofErr w:type="spellStart"/>
      <w:r w:rsidRPr="00380C55">
        <w:rPr>
          <w:rFonts w:eastAsia="NSimSun" w:cs="Arial"/>
          <w:b/>
          <w:bCs/>
          <w:iCs/>
          <w:kern w:val="2"/>
          <w:lang w:eastAsia="zh-CN" w:bidi="hi-IN"/>
        </w:rPr>
        <w:t>mikropodniky</w:t>
      </w:r>
      <w:proofErr w:type="spellEnd"/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, ktoré nemajú alternatívy, čím naznačuje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riziko regresívnych dôsledkov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v rozpore so zásadou sociálnej spravodlivosti</w:t>
      </w:r>
      <w:r>
        <w:rPr>
          <w:rFonts w:eastAsia="NSimSun" w:cs="Arial"/>
          <w:bCs/>
          <w:iCs/>
          <w:kern w:val="2"/>
          <w:lang w:eastAsia="zh-CN" w:bidi="hi-IN"/>
        </w:rPr>
        <w:t>,</w:t>
      </w:r>
    </w:p>
    <w:p w14:paraId="3485AEFA" w14:textId="38C6420B" w:rsidR="00380C55" w:rsidRP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vzhľadom na to, že napriek navrhovaným ochranným opatreniam by podľa viacerých nezávislých analýz mohla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cena emisií v rámci ETS2 do roku 2030 výrazne prekročiť úroveň predpokladanú v oficiálnych prognózach a výpočtoch inštitúcií Európskej únie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, čo by viedlo k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podstatnému zvýšeniu nákladov domácností na benzín, naftu, zemný plyn a vykurovací olej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– vývoju, ktorý je vo všeobecnosti považovaný za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politicky a sociálne neudržateľný</w:t>
      </w:r>
      <w:r>
        <w:rPr>
          <w:rFonts w:eastAsia="NSimSun" w:cs="Arial"/>
          <w:bCs/>
          <w:iCs/>
          <w:kern w:val="2"/>
          <w:lang w:eastAsia="zh-CN" w:bidi="hi-IN"/>
        </w:rPr>
        <w:t>,</w:t>
      </w:r>
    </w:p>
    <w:p w14:paraId="079683AA" w14:textId="44BD8ECA" w:rsidR="00380C55" w:rsidRP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vzhľadom na to, že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viaceré členské štáty Európskej únie formálne vyjadrili nesúhlas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alebo sa usilovali o zmenu systému ETS2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v záujme ochrany verejného záujmu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— pričom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Česká republika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signalizovala zámer zablokovať jeho vnútroštátnu transpozíciu,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Poľsko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požaduje trojročné odloženie do roku 2030,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Estónsky parlament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vyzval na odklad 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šestnásť členských štátov Európskej únie rátane Nemecka a Talianska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navrhlo prísnejšie cenové stropy a rezervné mechanizmy na obmedzenie nárastu spotrebiteľských nákladov — čo odráža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celoeurópske obavy</w:t>
      </w:r>
      <w:r w:rsidRPr="00380C55">
        <w:rPr>
          <w:rFonts w:eastAsia="NSimSun" w:cs="Arial"/>
          <w:bCs/>
          <w:iCs/>
          <w:kern w:val="2"/>
          <w:lang w:eastAsia="zh-CN" w:bidi="hi-IN"/>
        </w:rPr>
        <w:t>, že súčasný návrh ETS2 môže ohroziť sociálnu a hospodársku stabilitu</w:t>
      </w:r>
      <w:r>
        <w:rPr>
          <w:rFonts w:eastAsia="NSimSun" w:cs="Arial"/>
          <w:bCs/>
          <w:iCs/>
          <w:kern w:val="2"/>
          <w:lang w:eastAsia="zh-CN" w:bidi="hi-IN"/>
        </w:rPr>
        <w:t>,</w:t>
      </w:r>
    </w:p>
    <w:p w14:paraId="3445D83E" w14:textId="3A8E99B4" w:rsidR="00380C55" w:rsidRP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vzhľadom na to, že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zástupcovia vlády Slovenskej republiky dôrazne namietajú proti vplyvu ETS2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na slovenské domácnosti a hroziacemu drastickému zvýšeniu cien energií, palív a potravín, ktoré v dopade môžu slovenskú domácnosť stáť rádovo tisíce eur ročne</w:t>
      </w:r>
      <w:r>
        <w:rPr>
          <w:rFonts w:eastAsia="NSimSun" w:cs="Arial"/>
          <w:bCs/>
          <w:iCs/>
          <w:kern w:val="2"/>
          <w:lang w:eastAsia="zh-CN" w:bidi="hi-IN"/>
        </w:rPr>
        <w:t>,</w:t>
      </w:r>
    </w:p>
    <w:p w14:paraId="7AB05CC9" w14:textId="605C9FB9" w:rsidR="00380C55" w:rsidRDefault="00380C55" w:rsidP="00163293">
      <w:pPr>
        <w:keepNext w:val="0"/>
        <w:keepLines w:val="0"/>
        <w:widowControl w:val="0"/>
        <w:numPr>
          <w:ilvl w:val="0"/>
          <w:numId w:val="3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vzhľadom na to, že je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právom a povinnosťou Slovenskej republiky</w:t>
      </w:r>
      <w:r w:rsidRPr="00380C55">
        <w:rPr>
          <w:rFonts w:eastAsia="NSimSun" w:cs="Arial"/>
          <w:bCs/>
          <w:iCs/>
          <w:kern w:val="2"/>
          <w:lang w:eastAsia="zh-CN" w:bidi="hi-IN"/>
        </w:rPr>
        <w:t>, ako aj každého zvrchovaného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 xml:space="preserve"> 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členského štátu Európskej únie,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chrániť životnú úroveň a sociálnu súdržnosť svojich občanov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a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vyjadriť svoj názor k právnemu aktu Európskej únie</w:t>
      </w:r>
      <w:r w:rsidRPr="00380C55">
        <w:rPr>
          <w:rFonts w:eastAsia="NSimSun" w:cs="Arial"/>
          <w:bCs/>
          <w:iCs/>
          <w:kern w:val="2"/>
          <w:lang w:eastAsia="zh-CN" w:bidi="hi-IN"/>
        </w:rPr>
        <w:t>, ktoré zásadne odporujú verejnému záujmu</w:t>
      </w:r>
    </w:p>
    <w:p w14:paraId="2C9E2CB3" w14:textId="77777777" w:rsidR="00163293" w:rsidRPr="00380C55" w:rsidRDefault="00163293" w:rsidP="00163293">
      <w:pPr>
        <w:keepNext w:val="0"/>
        <w:keepLines w:val="0"/>
        <w:widowControl w:val="0"/>
        <w:spacing w:after="160" w:line="259" w:lineRule="auto"/>
        <w:ind w:left="284"/>
        <w:jc w:val="both"/>
        <w:rPr>
          <w:rFonts w:eastAsia="NSimSun" w:cs="Arial"/>
          <w:bCs/>
          <w:iCs/>
          <w:kern w:val="2"/>
          <w:lang w:eastAsia="zh-CN" w:bidi="hi-IN"/>
        </w:rPr>
      </w:pPr>
    </w:p>
    <w:p w14:paraId="1D815872" w14:textId="665FC50A" w:rsidR="00380C55" w:rsidRPr="00380C55" w:rsidRDefault="00380C55" w:rsidP="00163293">
      <w:pPr>
        <w:keepNext w:val="0"/>
        <w:keepLines w:val="0"/>
        <w:widowControl w:val="0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>
        <w:rPr>
          <w:rFonts w:eastAsia="NSimSun" w:cs="Arial"/>
          <w:b/>
          <w:bCs/>
          <w:iCs/>
          <w:kern w:val="2"/>
          <w:lang w:eastAsia="zh-CN" w:bidi="hi-IN"/>
        </w:rPr>
        <w:t>v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 xml:space="preserve">yhlasuje, 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že rozšírenie systému obchodovania s emisnými kvótami Európskej únie na budovy a cestnú dopravu 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(ETS2) v jeho súčasnej podobe je v rozpore s verejným a sociálnym záujmom obyvateľov Slovenskej republiky</w:t>
      </w:r>
      <w:r w:rsidRPr="00380C55">
        <w:rPr>
          <w:rFonts w:eastAsia="NSimSun" w:cs="Arial"/>
          <w:bCs/>
          <w:iCs/>
          <w:kern w:val="2"/>
          <w:lang w:eastAsia="zh-CN" w:bidi="hi-IN"/>
        </w:rPr>
        <w:t>, keďže bude neprimerane zaťažovať domácnosti zvýšenými nákladmi na energiu, zvyšuje riziko energetickej chudoby a nie sú zavedené dostatočné alternatívy ani kompenzačné opatrenia na zmiernenie týchto dosahov</w:t>
      </w:r>
      <w:r>
        <w:rPr>
          <w:rFonts w:eastAsia="NSimSun" w:cs="Arial"/>
          <w:bCs/>
          <w:iCs/>
          <w:kern w:val="2"/>
          <w:lang w:eastAsia="zh-CN" w:bidi="hi-IN"/>
        </w:rPr>
        <w:t>;</w:t>
      </w:r>
    </w:p>
    <w:p w14:paraId="062AC53D" w14:textId="30EE44F1" w:rsidR="00380C55" w:rsidRPr="00380C55" w:rsidRDefault="00380C55" w:rsidP="00163293">
      <w:pPr>
        <w:keepNext w:val="0"/>
        <w:keepLines w:val="0"/>
        <w:widowControl w:val="0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>
        <w:rPr>
          <w:rFonts w:eastAsia="NSimSun" w:cs="Arial"/>
          <w:b/>
          <w:bCs/>
          <w:iCs/>
          <w:kern w:val="2"/>
          <w:lang w:eastAsia="zh-CN" w:bidi="hi-IN"/>
        </w:rPr>
        <w:t>p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odporuje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všetky iniciatívy členských štátov Európskej únie, ktoré smerujú k zavedeniu dodatočných sociálnych záruk, kompenzačných fondov, cenových mechanizmov alebo hĺbkovej revízii smernice </w:t>
      </w:r>
      <w:r w:rsidRPr="00380C55">
        <w:rPr>
          <w:rFonts w:eastAsia="NSimSun" w:cs="Arial"/>
          <w:iCs/>
          <w:kern w:val="2"/>
          <w:lang w:eastAsia="zh-CN" w:bidi="hi-IN"/>
        </w:rPr>
        <w:t>(EÚ) 2023/959</w:t>
      </w:r>
      <w:r w:rsidRPr="00380C55">
        <w:rPr>
          <w:rFonts w:eastAsia="NSimSun" w:cs="Arial"/>
          <w:bCs/>
          <w:iCs/>
          <w:kern w:val="2"/>
          <w:lang w:eastAsia="zh-CN" w:bidi="hi-IN"/>
        </w:rPr>
        <w:t>, ktoré zabránia neúmernému nárastu životných nákladov v dôsledku ETS2</w:t>
      </w:r>
      <w:r>
        <w:rPr>
          <w:rFonts w:eastAsia="NSimSun" w:cs="Arial"/>
          <w:bCs/>
          <w:iCs/>
          <w:kern w:val="2"/>
          <w:lang w:eastAsia="zh-CN" w:bidi="hi-IN"/>
        </w:rPr>
        <w:t>;</w:t>
      </w:r>
    </w:p>
    <w:p w14:paraId="31DD7500" w14:textId="0F856E03" w:rsidR="00380C55" w:rsidRPr="00380C55" w:rsidRDefault="00380C55" w:rsidP="00163293">
      <w:pPr>
        <w:keepNext w:val="0"/>
        <w:keepLines w:val="0"/>
        <w:widowControl w:val="0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>
        <w:rPr>
          <w:rFonts w:eastAsia="NSimSun" w:cs="Arial"/>
          <w:b/>
          <w:bCs/>
          <w:iCs/>
          <w:kern w:val="2"/>
          <w:lang w:eastAsia="zh-CN" w:bidi="hi-IN"/>
        </w:rPr>
        <w:t>ž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>iada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vládu Slovenskej republiky, aby na úrovni Rady Európskej únie a Európskej rady presadzovala odloženie účinnosti ETS2 do obdobia, kým nebudú prijaté dostatočné sociálne a ekonomické ochranné mechanizmy pre domácnosti a malé podniky</w:t>
      </w:r>
      <w:r>
        <w:rPr>
          <w:rFonts w:eastAsia="NSimSun" w:cs="Arial"/>
          <w:bCs/>
          <w:iCs/>
          <w:kern w:val="2"/>
          <w:lang w:eastAsia="zh-CN" w:bidi="hi-IN"/>
        </w:rPr>
        <w:t>;</w:t>
      </w:r>
      <w:r w:rsidRPr="00380C55">
        <w:rPr>
          <w:rFonts w:eastAsia="NSimSun" w:cs="Arial"/>
          <w:bCs/>
          <w:iCs/>
          <w:kern w:val="2"/>
          <w:lang w:eastAsia="zh-CN" w:bidi="hi-IN"/>
        </w:rPr>
        <w:t xml:space="preserve"> </w:t>
      </w:r>
    </w:p>
    <w:p w14:paraId="668688C4" w14:textId="54AD63EB" w:rsidR="00380C55" w:rsidRPr="00380C55" w:rsidRDefault="00380C55" w:rsidP="00163293">
      <w:pPr>
        <w:keepNext w:val="0"/>
        <w:keepLines w:val="0"/>
        <w:widowControl w:val="0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>
        <w:rPr>
          <w:rFonts w:eastAsia="NSimSun" w:cs="Arial"/>
          <w:b/>
          <w:bCs/>
          <w:iCs/>
          <w:kern w:val="2"/>
          <w:lang w:eastAsia="zh-CN" w:bidi="hi-IN"/>
        </w:rPr>
        <w:t>p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 xml:space="preserve">ovzbudzuje </w:t>
      </w:r>
      <w:r w:rsidRPr="00380C55">
        <w:rPr>
          <w:rFonts w:eastAsia="NSimSun" w:cs="Arial"/>
          <w:bCs/>
          <w:iCs/>
          <w:kern w:val="2"/>
          <w:lang w:eastAsia="zh-CN" w:bidi="hi-IN"/>
        </w:rPr>
        <w:t>Európsku komisiu, aby predložila revíziu systému ETS2 s cieľom znížiť jeho regresívne účinky, zaviesť cenové stropy na uhlíkové kvóty v sektore budov a cestnej dopravy a zabezpečiť spravodlivé rozdelenie výnosov z predaja emisných povoleniek medzi členské štáty Európskej únie, so zreteľom na úroveň životných nákladov a príjmov domácností</w:t>
      </w:r>
      <w:r>
        <w:rPr>
          <w:rFonts w:eastAsia="NSimSun" w:cs="Arial"/>
          <w:bCs/>
          <w:iCs/>
          <w:kern w:val="2"/>
          <w:lang w:eastAsia="zh-CN" w:bidi="hi-IN"/>
        </w:rPr>
        <w:t>;</w:t>
      </w:r>
    </w:p>
    <w:p w14:paraId="46EB4BD0" w14:textId="0BEBE63E" w:rsidR="00380C55" w:rsidRPr="00380C55" w:rsidRDefault="00380C55" w:rsidP="00163293">
      <w:pPr>
        <w:keepNext w:val="0"/>
        <w:keepLines w:val="0"/>
        <w:widowControl w:val="0"/>
        <w:numPr>
          <w:ilvl w:val="0"/>
          <w:numId w:val="4"/>
        </w:numPr>
        <w:spacing w:after="160" w:line="259" w:lineRule="auto"/>
        <w:ind w:left="284" w:hanging="284"/>
        <w:jc w:val="both"/>
        <w:rPr>
          <w:rFonts w:eastAsia="NSimSun" w:cs="Arial"/>
          <w:bCs/>
          <w:iCs/>
          <w:kern w:val="2"/>
          <w:lang w:eastAsia="zh-CN" w:bidi="hi-IN"/>
        </w:rPr>
      </w:pPr>
      <w:r>
        <w:rPr>
          <w:rFonts w:eastAsia="NSimSun" w:cs="Arial"/>
          <w:b/>
          <w:bCs/>
          <w:iCs/>
          <w:kern w:val="2"/>
          <w:lang w:eastAsia="zh-CN" w:bidi="hi-IN"/>
        </w:rPr>
        <w:lastRenderedPageBreak/>
        <w:t>p</w:t>
      </w:r>
      <w:r w:rsidRPr="00380C55">
        <w:rPr>
          <w:rFonts w:eastAsia="NSimSun" w:cs="Arial"/>
          <w:b/>
          <w:bCs/>
          <w:iCs/>
          <w:kern w:val="2"/>
          <w:lang w:eastAsia="zh-CN" w:bidi="hi-IN"/>
        </w:rPr>
        <w:t xml:space="preserve">overuje </w:t>
      </w:r>
      <w:r w:rsidRPr="00380C55">
        <w:rPr>
          <w:rFonts w:eastAsia="NSimSun" w:cs="Arial"/>
          <w:bCs/>
          <w:iCs/>
          <w:kern w:val="2"/>
          <w:lang w:eastAsia="zh-CN" w:bidi="hi-IN"/>
        </w:rPr>
        <w:t>predsedu Národnej rady Slovenskej republiky na postúpenie tohto uznesenia predsedovi vlády Slovenskej republiky, predsedníčke Európskej komisie a predsedníčke Európskeho parlamentu.</w:t>
      </w:r>
    </w:p>
    <w:p w14:paraId="56E43039" w14:textId="77777777" w:rsidR="007375F5" w:rsidRPr="00380C5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Cs/>
          <w:sz w:val="22"/>
          <w:szCs w:val="22"/>
        </w:rPr>
      </w:pPr>
    </w:p>
    <w:p w14:paraId="0B1ADF57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7A89F54" w14:textId="77777777" w:rsidR="00231642" w:rsidRDefault="00231642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5733719B" w14:textId="77777777" w:rsidR="00380C55" w:rsidRDefault="00380C5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6DED379" w14:textId="77777777" w:rsidR="00380C55" w:rsidRDefault="00380C5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20F6BDE9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34E05B0D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E11DF89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2EB94E22" w14:textId="77777777" w:rsidR="00EE2B02" w:rsidRPr="00EE2B02" w:rsidRDefault="00EE2B02" w:rsidP="00EE2B02">
      <w:pPr>
        <w:keepNext w:val="0"/>
        <w:keepLines w:val="0"/>
        <w:widowControl w:val="0"/>
        <w:ind w:left="4956" w:firstLine="573"/>
        <w:outlineLvl w:val="0"/>
        <w:rPr>
          <w:rFonts w:cs="Arial"/>
        </w:rPr>
      </w:pPr>
      <w:r w:rsidRPr="00EE2B02">
        <w:rPr>
          <w:rFonts w:cs="Arial"/>
        </w:rPr>
        <w:t xml:space="preserve">Richard  R a š i   v. r. </w:t>
      </w:r>
    </w:p>
    <w:p w14:paraId="15F72D25" w14:textId="77777777" w:rsidR="00EE2B02" w:rsidRPr="00EE2B02" w:rsidRDefault="00EE2B02" w:rsidP="00EE2B02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EE2B02">
        <w:rPr>
          <w:rFonts w:cs="Arial"/>
        </w:rPr>
        <w:t xml:space="preserve">   predseda</w:t>
      </w:r>
    </w:p>
    <w:p w14:paraId="468BA029" w14:textId="77777777" w:rsidR="0066353C" w:rsidRDefault="00EE2B02" w:rsidP="00EE2B02">
      <w:pPr>
        <w:keepNext w:val="0"/>
        <w:keepLines w:val="0"/>
        <w:widowControl w:val="0"/>
        <w:ind w:left="4956"/>
        <w:jc w:val="right"/>
        <w:outlineLvl w:val="0"/>
        <w:rPr>
          <w:rFonts w:cs="Arial"/>
        </w:rPr>
      </w:pPr>
      <w:r w:rsidRPr="00EE2B02">
        <w:rPr>
          <w:rFonts w:cs="Arial"/>
        </w:rPr>
        <w:t>Národnej rady Slovenskej republiky</w:t>
      </w:r>
    </w:p>
    <w:p w14:paraId="758C15D0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A2DD35C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B124191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6A4D04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69B76F6" w14:textId="77777777" w:rsidR="00231642" w:rsidRDefault="0023164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E8FD783" w14:textId="77777777" w:rsidR="00231642" w:rsidRDefault="0023164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02A57A5" w14:textId="77777777" w:rsidR="00380C55" w:rsidRDefault="00380C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AD9E0D9" w14:textId="77777777" w:rsidR="00380C55" w:rsidRDefault="00380C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5CA40DE" w14:textId="77777777" w:rsidR="00380C55" w:rsidRDefault="00380C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787C0B3" w14:textId="77777777" w:rsidR="00380C55" w:rsidRDefault="00380C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1B12D14" w14:textId="77777777" w:rsidR="00380C55" w:rsidRDefault="00380C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19E90656" w14:textId="77777777" w:rsidR="00380C55" w:rsidRDefault="00380C55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FFF60D7" w14:textId="77777777" w:rsidR="00231642" w:rsidRDefault="0023164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57F3BA92" w14:textId="77777777" w:rsidR="00231642" w:rsidRDefault="0023164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256A513" w14:textId="77777777" w:rsidR="00231642" w:rsidRDefault="0023164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7195750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12C62DC8" w14:textId="77777777" w:rsidR="000B4363" w:rsidRPr="000B4363" w:rsidRDefault="000B4363" w:rsidP="000B4363">
      <w:pPr>
        <w:keepNext w:val="0"/>
        <w:keepLines w:val="0"/>
        <w:widowControl w:val="0"/>
        <w:jc w:val="both"/>
        <w:rPr>
          <w:rFonts w:cs="Arial"/>
        </w:rPr>
      </w:pPr>
      <w:r w:rsidRPr="000B4363">
        <w:rPr>
          <w:rFonts w:cs="Arial"/>
        </w:rPr>
        <w:t>Zuzana  P l e v í k o v á   v. r.</w:t>
      </w:r>
    </w:p>
    <w:p w14:paraId="57D6FAF1" w14:textId="77777777" w:rsidR="000B4363" w:rsidRPr="000B4363" w:rsidRDefault="000B4363" w:rsidP="000B4363">
      <w:pPr>
        <w:keepNext w:val="0"/>
        <w:keepLines w:val="0"/>
        <w:widowControl w:val="0"/>
        <w:jc w:val="both"/>
        <w:rPr>
          <w:rFonts w:cs="Arial"/>
        </w:rPr>
      </w:pPr>
      <w:r w:rsidRPr="000B4363">
        <w:rPr>
          <w:rFonts w:cs="Arial"/>
        </w:rPr>
        <w:t>František  M a j e r s k ý   v. r.</w:t>
      </w:r>
    </w:p>
    <w:p w14:paraId="73AF215F" w14:textId="72571B7B" w:rsidR="009D75E4" w:rsidRDefault="009D75E4" w:rsidP="000B4363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64BF3A41"/>
    <w:multiLevelType w:val="hybridMultilevel"/>
    <w:tmpl w:val="41141A4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E902F0"/>
    <w:multiLevelType w:val="hybridMultilevel"/>
    <w:tmpl w:val="9FB8D370"/>
    <w:lvl w:ilvl="0" w:tplc="B6428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EFE3784"/>
    <w:multiLevelType w:val="hybridMultilevel"/>
    <w:tmpl w:val="0C325544"/>
    <w:lvl w:ilvl="0" w:tplc="B6428C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07780997">
    <w:abstractNumId w:val="0"/>
    <w:lvlOverride w:ilvl="0">
      <w:startOverride w:val="1"/>
    </w:lvlOverride>
  </w:num>
  <w:num w:numId="2" w16cid:durableId="2133555525">
    <w:abstractNumId w:val="2"/>
  </w:num>
  <w:num w:numId="3" w16cid:durableId="5909274">
    <w:abstractNumId w:val="3"/>
  </w:num>
  <w:num w:numId="4" w16cid:durableId="46608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691E"/>
    <w:rsid w:val="00077D06"/>
    <w:rsid w:val="000900DD"/>
    <w:rsid w:val="000965B4"/>
    <w:rsid w:val="000B4363"/>
    <w:rsid w:val="000F6039"/>
    <w:rsid w:val="00100663"/>
    <w:rsid w:val="00101A9C"/>
    <w:rsid w:val="00112D83"/>
    <w:rsid w:val="001216F8"/>
    <w:rsid w:val="001261EF"/>
    <w:rsid w:val="00130B53"/>
    <w:rsid w:val="00132E15"/>
    <w:rsid w:val="001346D5"/>
    <w:rsid w:val="00135E11"/>
    <w:rsid w:val="00163293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C6CB4"/>
    <w:rsid w:val="001F1033"/>
    <w:rsid w:val="0022714D"/>
    <w:rsid w:val="00231642"/>
    <w:rsid w:val="00257F9E"/>
    <w:rsid w:val="002846B1"/>
    <w:rsid w:val="0029671C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0C55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4F3493"/>
    <w:rsid w:val="004F6E65"/>
    <w:rsid w:val="00514A2A"/>
    <w:rsid w:val="005346C6"/>
    <w:rsid w:val="00546B94"/>
    <w:rsid w:val="00552169"/>
    <w:rsid w:val="00561615"/>
    <w:rsid w:val="00574382"/>
    <w:rsid w:val="005752EF"/>
    <w:rsid w:val="00581DF7"/>
    <w:rsid w:val="00582458"/>
    <w:rsid w:val="005B0A6A"/>
    <w:rsid w:val="005B140E"/>
    <w:rsid w:val="005C16D6"/>
    <w:rsid w:val="005C270B"/>
    <w:rsid w:val="005C313D"/>
    <w:rsid w:val="005C34BE"/>
    <w:rsid w:val="005E562B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93ED1"/>
    <w:rsid w:val="008A4FF4"/>
    <w:rsid w:val="008A552A"/>
    <w:rsid w:val="008E2473"/>
    <w:rsid w:val="008F0855"/>
    <w:rsid w:val="008F69A6"/>
    <w:rsid w:val="0090179E"/>
    <w:rsid w:val="00911C04"/>
    <w:rsid w:val="0092023E"/>
    <w:rsid w:val="00923C90"/>
    <w:rsid w:val="00973F15"/>
    <w:rsid w:val="0099523E"/>
    <w:rsid w:val="009B2BA2"/>
    <w:rsid w:val="009C2A16"/>
    <w:rsid w:val="009D75E4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55ED"/>
    <w:rsid w:val="00B1107E"/>
    <w:rsid w:val="00B31D64"/>
    <w:rsid w:val="00B37C75"/>
    <w:rsid w:val="00B825E9"/>
    <w:rsid w:val="00B87C89"/>
    <w:rsid w:val="00B90B20"/>
    <w:rsid w:val="00B911C9"/>
    <w:rsid w:val="00BA479D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36FC"/>
    <w:rsid w:val="00CB0D4D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23C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E2B02"/>
    <w:rsid w:val="00EF1D2F"/>
    <w:rsid w:val="00EF5E87"/>
    <w:rsid w:val="00F03927"/>
    <w:rsid w:val="00F04C13"/>
    <w:rsid w:val="00F16C69"/>
    <w:rsid w:val="00F51A17"/>
    <w:rsid w:val="00F66DFB"/>
    <w:rsid w:val="00F832F3"/>
    <w:rsid w:val="00F8350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  <w:rsid w:val="00FE6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D034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135</cp:revision>
  <cp:lastPrinted>2025-10-28T11:02:00Z</cp:lastPrinted>
  <dcterms:created xsi:type="dcterms:W3CDTF">2022-11-24T09:04:00Z</dcterms:created>
  <dcterms:modified xsi:type="dcterms:W3CDTF">2025-10-29T11:14:00Z</dcterms:modified>
</cp:coreProperties>
</file>