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31D41">
        <w:rPr>
          <w:sz w:val="22"/>
          <w:szCs w:val="22"/>
        </w:rPr>
        <w:t>486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31D41">
        <w:t>488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31D41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231D41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31D41">
        <w:rPr>
          <w:rFonts w:cs="Arial"/>
          <w:szCs w:val="22"/>
        </w:rPr>
        <w:t>Natálie BLAHOVEJ a Ondreja DOSTÁLA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231D41">
        <w:rPr>
          <w:rFonts w:cs="Arial"/>
          <w:szCs w:val="22"/>
        </w:rPr>
        <w:t>z</w:t>
      </w:r>
      <w:r w:rsidRPr="00E66789">
        <w:rPr>
          <w:rFonts w:cs="Arial"/>
          <w:szCs w:val="22"/>
        </w:rPr>
        <w:t>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1D3570">
        <w:rPr>
          <w:rFonts w:cs="Arial"/>
          <w:szCs w:val="22"/>
        </w:rPr>
        <w:t> dopĺňa</w:t>
      </w:r>
      <w:r w:rsidR="00231D41">
        <w:rPr>
          <w:rFonts w:cs="Arial"/>
          <w:szCs w:val="22"/>
        </w:rPr>
        <w:t xml:space="preserve"> zákon č. 161/2015 Z. z. Civilný mimosporový poriadok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31D41">
        <w:rPr>
          <w:rFonts w:cs="Arial"/>
          <w:szCs w:val="22"/>
        </w:rPr>
        <w:t>476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31D41">
        <w:rPr>
          <w:rFonts w:cs="Arial"/>
          <w:szCs w:val="22"/>
        </w:rPr>
        <w:br/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B18B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B18BF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0B18BF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31D41" w:rsidP="00231D4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2017</w:t>
      </w:r>
      <w:r>
        <w:rPr>
          <w:rFonts w:ascii="Arial" w:hAnsi="Arial" w:cs="Arial"/>
          <w:sz w:val="22"/>
        </w:rPr>
        <w:t>.</w:t>
      </w:r>
    </w:p>
    <w:p w:rsidR="00231D41" w:rsidP="00231D4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231D41" w:rsidP="00231D41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231D41" w:rsidP="00231D41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231D41" w:rsidP="00231D41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231D41" w:rsidP="00231D4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231D41" w:rsidP="00231D4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231D41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B18BF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31D41"/>
    <w:rsid w:val="00240869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70453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2017-03-06T12:16:00Z</cp:lastPrinted>
  <dcterms:created xsi:type="dcterms:W3CDTF">2017-03-07T09:13:00Z</dcterms:created>
  <dcterms:modified xsi:type="dcterms:W3CDTF">2017-03-07T09:13:00Z</dcterms:modified>
</cp:coreProperties>
</file>