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737D6" w:rsidRPr="00904FE2" w:rsidP="00C737D6">
      <w:pPr>
        <w:pBdr>
          <w:bottom w:val="single" w:sz="12" w:space="1" w:color="00000A"/>
        </w:pBdr>
        <w:bidi w:val="0"/>
        <w:spacing w:before="120" w:after="0"/>
        <w:jc w:val="center"/>
        <w:rPr>
          <w:rFonts w:ascii="Book Antiqua" w:hAnsi="Book Antiqua"/>
          <w:color w:val="000000" w:themeColor="tx1" w:themeShade="FF"/>
          <w:spacing w:val="20"/>
        </w:rPr>
      </w:pPr>
      <w:r w:rsidRPr="00904FE2">
        <w:rPr>
          <w:rFonts w:ascii="Book Antiqua" w:hAnsi="Book Antiqua"/>
          <w:b/>
          <w:color w:val="000000" w:themeColor="tx1" w:themeShade="FF"/>
          <w:spacing w:val="20"/>
        </w:rPr>
        <w:t>NÁRODNÁ  RADA  SLOVENSKEJ  REPUBLIKY</w:t>
      </w:r>
    </w:p>
    <w:p w:rsidR="00C5238B" w:rsidRPr="00904FE2" w:rsidP="00C737D6">
      <w:pPr>
        <w:widowControl w:val="0"/>
        <w:tabs>
          <w:tab w:val="left" w:leader="dot" w:pos="3515"/>
        </w:tabs>
        <w:autoSpaceDE w:val="0"/>
        <w:autoSpaceDN w:val="0"/>
        <w:bidi w:val="0"/>
        <w:adjustRightInd w:val="0"/>
        <w:spacing w:after="0" w:line="240" w:lineRule="auto"/>
        <w:jc w:val="center"/>
        <w:rPr>
          <w:rFonts w:ascii="Book Antiqua" w:hAnsi="Book Antiqua"/>
          <w:color w:val="000000" w:themeColor="tx1" w:themeShade="FF"/>
          <w:spacing w:val="20"/>
        </w:rPr>
      </w:pPr>
      <w:r w:rsidRPr="00904FE2" w:rsidR="000B2FAE">
        <w:rPr>
          <w:rFonts w:ascii="Times New Roman" w:hAnsi="Times New Roman"/>
          <w:color w:val="000000" w:themeColor="tx1" w:themeShade="FF"/>
          <w:sz w:val="28"/>
          <w:szCs w:val="28"/>
        </w:rPr>
        <w:br/>
      </w:r>
    </w:p>
    <w:p w:rsidR="00C5238B" w:rsidRPr="00904FE2" w:rsidP="00C5238B">
      <w:pPr>
        <w:bidi w:val="0"/>
        <w:spacing w:before="120" w:after="0"/>
        <w:jc w:val="center"/>
        <w:rPr>
          <w:rFonts w:ascii="Book Antiqua" w:hAnsi="Book Antiqua"/>
          <w:b/>
          <w:color w:val="000000" w:themeColor="tx1" w:themeShade="FF"/>
          <w:spacing w:val="30"/>
        </w:rPr>
      </w:pPr>
      <w:r w:rsidRPr="00904FE2">
        <w:rPr>
          <w:rFonts w:ascii="Book Antiqua" w:hAnsi="Book Antiqua"/>
          <w:color w:val="000000" w:themeColor="tx1" w:themeShade="FF"/>
          <w:spacing w:val="20"/>
        </w:rPr>
        <w:t>VII. volebné obdobie</w:t>
      </w:r>
    </w:p>
    <w:p w:rsidR="00C5238B" w:rsidRPr="00904FE2" w:rsidP="00C5238B">
      <w:pPr>
        <w:bidi w:val="0"/>
        <w:spacing w:before="120" w:after="0"/>
        <w:jc w:val="center"/>
        <w:rPr>
          <w:rFonts w:ascii="Book Antiqua" w:hAnsi="Book Antiqua"/>
          <w:b/>
          <w:color w:val="000000" w:themeColor="tx1" w:themeShade="FF"/>
          <w:spacing w:val="30"/>
        </w:rPr>
      </w:pPr>
    </w:p>
    <w:p w:rsidR="00C5238B" w:rsidRPr="00904FE2" w:rsidP="00C5238B">
      <w:pPr>
        <w:bidi w:val="0"/>
        <w:spacing w:before="120" w:after="0"/>
        <w:jc w:val="center"/>
        <w:rPr>
          <w:rFonts w:ascii="Book Antiqua" w:hAnsi="Book Antiqua"/>
          <w:b/>
          <w:color w:val="000000" w:themeColor="tx1" w:themeShade="FF"/>
          <w:spacing w:val="30"/>
        </w:rPr>
      </w:pPr>
      <w:r w:rsidRPr="00904FE2">
        <w:rPr>
          <w:rFonts w:ascii="Book Antiqua" w:hAnsi="Book Antiqua"/>
          <w:b/>
          <w:color w:val="000000" w:themeColor="tx1" w:themeShade="FF"/>
          <w:spacing w:val="30"/>
        </w:rPr>
        <w:t>Návrh</w:t>
      </w:r>
    </w:p>
    <w:p w:rsidR="00C5238B" w:rsidRPr="00904FE2" w:rsidP="00C5238B">
      <w:pPr>
        <w:bidi w:val="0"/>
        <w:spacing w:before="120" w:after="0"/>
        <w:jc w:val="center"/>
        <w:rPr>
          <w:rFonts w:ascii="Book Antiqua" w:hAnsi="Book Antiqua"/>
          <w:b/>
          <w:color w:val="000000" w:themeColor="tx1" w:themeShade="FF"/>
          <w:spacing w:val="30"/>
        </w:rPr>
      </w:pPr>
    </w:p>
    <w:p w:rsidR="00C5238B" w:rsidRPr="00904FE2" w:rsidP="00C5238B">
      <w:pPr>
        <w:bidi w:val="0"/>
        <w:spacing w:before="120" w:after="0"/>
        <w:jc w:val="center"/>
        <w:rPr>
          <w:rFonts w:ascii="Book Antiqua" w:hAnsi="Book Antiqua"/>
          <w:color w:val="000000" w:themeColor="tx1" w:themeShade="FF"/>
        </w:rPr>
      </w:pPr>
      <w:r w:rsidRPr="00904FE2">
        <w:rPr>
          <w:rFonts w:ascii="Book Antiqua" w:hAnsi="Book Antiqua"/>
          <w:b/>
          <w:caps/>
          <w:color w:val="000000" w:themeColor="tx1" w:themeShade="FF"/>
          <w:spacing w:val="30"/>
        </w:rPr>
        <w:t>zákon</w:t>
      </w:r>
    </w:p>
    <w:p w:rsidR="00C5238B" w:rsidRPr="00904FE2" w:rsidP="00C5238B">
      <w:pPr>
        <w:bidi w:val="0"/>
        <w:spacing w:before="120" w:after="0"/>
        <w:jc w:val="center"/>
        <w:rPr>
          <w:rFonts w:ascii="Book Antiqua" w:hAnsi="Book Antiqua"/>
          <w:color w:val="000000" w:themeColor="tx1" w:themeShade="FF"/>
        </w:rPr>
      </w:pPr>
    </w:p>
    <w:p w:rsidR="00C5238B" w:rsidRPr="00904FE2" w:rsidP="00C5238B">
      <w:pPr>
        <w:bidi w:val="0"/>
        <w:spacing w:before="120" w:after="0"/>
        <w:jc w:val="center"/>
        <w:rPr>
          <w:rFonts w:ascii="Book Antiqua" w:hAnsi="Book Antiqua"/>
          <w:b/>
          <w:color w:val="000000" w:themeColor="tx1" w:themeShade="FF"/>
        </w:rPr>
      </w:pPr>
      <w:r w:rsidRPr="00904FE2">
        <w:rPr>
          <w:rFonts w:ascii="Book Antiqua" w:hAnsi="Book Antiqua"/>
          <w:color w:val="000000" w:themeColor="tx1" w:themeShade="FF"/>
        </w:rPr>
        <w:t>z ... 201</w:t>
      </w:r>
      <w:r w:rsidRPr="00904FE2" w:rsidR="00162D55">
        <w:rPr>
          <w:rFonts w:ascii="Book Antiqua" w:hAnsi="Book Antiqua"/>
          <w:color w:val="000000" w:themeColor="tx1" w:themeShade="FF"/>
        </w:rPr>
        <w:t>7</w:t>
      </w:r>
      <w:r w:rsidRPr="00904FE2">
        <w:rPr>
          <w:rFonts w:ascii="Book Antiqua" w:hAnsi="Book Antiqua"/>
          <w:color w:val="000000" w:themeColor="tx1" w:themeShade="FF"/>
        </w:rPr>
        <w:t>,</w:t>
      </w:r>
    </w:p>
    <w:p w:rsidR="00C5238B" w:rsidRPr="00904FE2" w:rsidP="00C5238B">
      <w:pPr>
        <w:bidi w:val="0"/>
        <w:spacing w:before="120" w:after="0"/>
        <w:jc w:val="center"/>
        <w:rPr>
          <w:rFonts w:ascii="Book Antiqua" w:hAnsi="Book Antiqua"/>
          <w:b/>
          <w:color w:val="000000" w:themeColor="tx1" w:themeShade="FF"/>
        </w:rPr>
      </w:pPr>
    </w:p>
    <w:p w:rsidR="00591AE0" w:rsidRPr="00904FE2" w:rsidP="00591AE0">
      <w:pPr>
        <w:pStyle w:val="TextBody"/>
        <w:bidi w:val="0"/>
        <w:rPr>
          <w:rFonts w:ascii="Book Antiqua" w:hAnsi="Book Antiqua"/>
          <w:b/>
          <w:color w:themeColor="tx1" w:themeShade="FF"/>
          <w:u w:val="single"/>
        </w:rPr>
      </w:pPr>
      <w:r w:rsidRPr="00904FE2" w:rsidR="009436E6">
        <w:rPr>
          <w:rFonts w:ascii="Book Antiqua" w:hAnsi="Book Antiqua" w:cs="Times New Roman"/>
          <w:b/>
          <w:color w:themeColor="tx1" w:themeShade="FF"/>
          <w:sz w:val="22"/>
          <w:szCs w:val="22"/>
        </w:rPr>
        <w:t>ktorým sa</w:t>
      </w:r>
      <w:r w:rsidRPr="00904FE2">
        <w:rPr>
          <w:rFonts w:ascii="Book Antiqua" w:hAnsi="Book Antiqua" w:cs="Times New Roman"/>
          <w:b/>
          <w:color w:themeColor="tx1" w:themeShade="FF"/>
          <w:sz w:val="22"/>
          <w:szCs w:val="22"/>
        </w:rPr>
        <w:t xml:space="preserve"> mení a </w:t>
      </w:r>
      <w:r w:rsidRPr="00904FE2" w:rsidR="009436E6">
        <w:rPr>
          <w:rFonts w:ascii="Book Antiqua" w:hAnsi="Book Antiqua" w:cs="Times New Roman"/>
          <w:b/>
          <w:color w:themeColor="tx1" w:themeShade="FF"/>
          <w:sz w:val="22"/>
          <w:szCs w:val="22"/>
        </w:rPr>
        <w:t>dopĺňa</w:t>
      </w:r>
      <w:r w:rsidRPr="00904FE2" w:rsidR="00C5238B">
        <w:rPr>
          <w:rFonts w:ascii="Book Antiqua" w:hAnsi="Book Antiqua" w:cs="Times New Roman"/>
          <w:b/>
          <w:color w:themeColor="tx1" w:themeShade="FF"/>
          <w:sz w:val="22"/>
          <w:szCs w:val="22"/>
        </w:rPr>
        <w:t xml:space="preserve"> </w:t>
      </w:r>
      <w:r w:rsidRPr="00904FE2">
        <w:rPr>
          <w:rFonts w:ascii="Book Antiqua" w:hAnsi="Book Antiqua" w:cs="Times New Roman"/>
          <w:b/>
          <w:color w:themeColor="tx1" w:themeShade="FF"/>
          <w:sz w:val="22"/>
          <w:szCs w:val="22"/>
        </w:rPr>
        <w:t>zákon č. 343/2015 Z. z. o verejnom obstarávaní a o zmene a doplnení niektorých zákonov v znení neskorších predpisov</w:t>
      </w:r>
    </w:p>
    <w:p w:rsidR="00C5238B" w:rsidRPr="00904FE2" w:rsidP="00591AE0">
      <w:pPr>
        <w:pStyle w:val="TextBody"/>
        <w:bidi w:val="0"/>
        <w:rPr>
          <w:rFonts w:ascii="Book Antiqua" w:hAnsi="Book Antiqua" w:cs="Times New Roman"/>
          <w:b/>
          <w:color w:themeColor="tx1" w:themeShade="FF"/>
          <w:sz w:val="22"/>
          <w:szCs w:val="22"/>
        </w:rPr>
      </w:pPr>
    </w:p>
    <w:p w:rsidR="00C5238B" w:rsidRPr="00904FE2" w:rsidP="00C5238B">
      <w:pPr>
        <w:pStyle w:val="TextBody"/>
        <w:bidi w:val="0"/>
        <w:jc w:val="center"/>
        <w:rPr>
          <w:rFonts w:ascii="Book Antiqua" w:hAnsi="Book Antiqua" w:cs="Times New Roman"/>
          <w:color w:themeColor="tx1" w:themeShade="FF"/>
          <w:sz w:val="22"/>
          <w:szCs w:val="22"/>
        </w:rPr>
      </w:pPr>
    </w:p>
    <w:p w:rsidR="00C5238B" w:rsidRPr="00904FE2" w:rsidP="00C5238B">
      <w:pPr>
        <w:pStyle w:val="TextBody"/>
        <w:bidi w:val="0"/>
        <w:rPr>
          <w:rFonts w:ascii="Book Antiqua" w:hAnsi="Book Antiqua" w:cs="Times New Roman"/>
          <w:color w:themeColor="tx1" w:themeShade="FF"/>
          <w:sz w:val="22"/>
          <w:szCs w:val="22"/>
        </w:rPr>
      </w:pPr>
      <w:r w:rsidRPr="00904FE2">
        <w:rPr>
          <w:rFonts w:ascii="Book Antiqua" w:hAnsi="Book Antiqua" w:cs="Times New Roman"/>
          <w:color w:themeColor="tx1" w:themeShade="FF"/>
          <w:sz w:val="22"/>
          <w:szCs w:val="22"/>
        </w:rPr>
        <w:t>Národná rada Slovenskej republiky sa uzniesla na tomto</w:t>
      </w:r>
      <w:r w:rsidRPr="00904FE2" w:rsidR="0032109D">
        <w:rPr>
          <w:rFonts w:ascii="Book Antiqua" w:hAnsi="Book Antiqua" w:cs="Times New Roman"/>
          <w:color w:themeColor="tx1" w:themeShade="FF"/>
          <w:sz w:val="22"/>
          <w:szCs w:val="22"/>
        </w:rPr>
        <w:t xml:space="preserve"> </w:t>
      </w:r>
      <w:r w:rsidRPr="00904FE2">
        <w:rPr>
          <w:rFonts w:ascii="Book Antiqua" w:hAnsi="Book Antiqua" w:cs="Times New Roman"/>
          <w:color w:themeColor="tx1" w:themeShade="FF"/>
          <w:sz w:val="22"/>
          <w:szCs w:val="22"/>
        </w:rPr>
        <w:t>zákone:</w:t>
      </w:r>
    </w:p>
    <w:p w:rsidR="00C5238B" w:rsidRPr="00904FE2" w:rsidP="00C5238B">
      <w:pPr>
        <w:pStyle w:val="Default"/>
        <w:bidi w:val="0"/>
        <w:rPr>
          <w:rFonts w:ascii="Book Antiqua" w:hAnsi="Book Antiqua" w:cs="Times New Roman"/>
          <w:color w:themeColor="tx1" w:themeShade="FF"/>
          <w:sz w:val="22"/>
          <w:szCs w:val="22"/>
          <w:lang w:bidi="ar-SA"/>
        </w:rPr>
      </w:pPr>
    </w:p>
    <w:p w:rsidR="00C5238B" w:rsidRPr="00904FE2" w:rsidP="00C5238B">
      <w:pPr>
        <w:pStyle w:val="Default"/>
        <w:bidi w:val="0"/>
        <w:jc w:val="center"/>
        <w:rPr>
          <w:rFonts w:ascii="Book Antiqua" w:hAnsi="Book Antiqua" w:cs="Times New Roman"/>
          <w:color w:themeColor="tx1" w:themeShade="FF"/>
          <w:sz w:val="22"/>
          <w:szCs w:val="22"/>
          <w:lang w:bidi="ar-SA"/>
        </w:rPr>
      </w:pPr>
      <w:r w:rsidRPr="00904FE2">
        <w:rPr>
          <w:rFonts w:ascii="Book Antiqua" w:hAnsi="Book Antiqua" w:cs="Times New Roman"/>
          <w:b/>
          <w:color w:themeColor="tx1" w:themeShade="FF"/>
          <w:sz w:val="22"/>
          <w:szCs w:val="22"/>
          <w:lang w:eastAsia="en-US" w:bidi="ar-SA"/>
        </w:rPr>
        <w:t>Čl. I</w:t>
      </w:r>
    </w:p>
    <w:p w:rsidR="00C5238B" w:rsidRPr="00904FE2" w:rsidP="00C5238B">
      <w:pPr>
        <w:pStyle w:val="Default"/>
        <w:bidi w:val="0"/>
        <w:rPr>
          <w:rFonts w:ascii="Book Antiqua" w:hAnsi="Book Antiqua" w:cs="Times New Roman"/>
          <w:color w:themeColor="tx1" w:themeShade="FF"/>
          <w:sz w:val="22"/>
          <w:szCs w:val="22"/>
          <w:lang w:bidi="ar-SA"/>
        </w:rPr>
      </w:pPr>
    </w:p>
    <w:p w:rsidR="00C5238B" w:rsidRPr="00904FE2" w:rsidP="00C5238B">
      <w:pPr>
        <w:pStyle w:val="Default"/>
        <w:bidi w:val="0"/>
        <w:jc w:val="both"/>
        <w:rPr>
          <w:rFonts w:ascii="Book Antiqua" w:hAnsi="Book Antiqua" w:cs="Times New Roman"/>
          <w:color w:themeColor="tx1" w:themeShade="FF"/>
          <w:sz w:val="22"/>
          <w:szCs w:val="22"/>
        </w:rPr>
      </w:pPr>
      <w:r w:rsidRPr="00904FE2" w:rsidR="00591AE0">
        <w:rPr>
          <w:rFonts w:ascii="Book Antiqua" w:hAnsi="Book Antiqua" w:cs="Times New Roman"/>
          <w:color w:themeColor="tx1" w:themeShade="FF"/>
          <w:sz w:val="22"/>
          <w:szCs w:val="22"/>
        </w:rPr>
        <w:t xml:space="preserve">Zákon č. 343/2015 Z. z. o verejnom obstarávaní a o zmene a doplnení niektorých zákonov v znení zákona č. </w:t>
      </w:r>
      <w:hyperlink r:id="rId5" w:history="1">
        <w:r w:rsidRPr="00904FE2" w:rsidR="00591AE0">
          <w:rPr>
            <w:rStyle w:val="Hyperlink"/>
            <w:rFonts w:ascii="Book Antiqua" w:hAnsi="Book Antiqua"/>
            <w:color w:val="000000" w:themeColor="tx1"/>
            <w:sz w:val="22"/>
            <w:szCs w:val="22"/>
            <w:u w:val="none"/>
          </w:rPr>
          <w:t>438/2015 Z. z.</w:t>
        </w:r>
      </w:hyperlink>
      <w:r w:rsidRPr="00904FE2" w:rsidR="00591AE0">
        <w:rPr>
          <w:rFonts w:ascii="Book Antiqua" w:hAnsi="Book Antiqua" w:cs="Times New Roman"/>
          <w:color w:themeColor="tx1" w:themeShade="FF"/>
          <w:sz w:val="22"/>
          <w:szCs w:val="22"/>
        </w:rPr>
        <w:t xml:space="preserve">, zákona č. </w:t>
      </w:r>
      <w:hyperlink r:id="rId6" w:history="1">
        <w:r w:rsidRPr="00904FE2" w:rsidR="00591AE0">
          <w:rPr>
            <w:rStyle w:val="Hyperlink"/>
            <w:rFonts w:ascii="Book Antiqua" w:hAnsi="Book Antiqua"/>
            <w:color w:val="000000" w:themeColor="tx1"/>
            <w:sz w:val="22"/>
            <w:szCs w:val="22"/>
            <w:u w:val="none"/>
          </w:rPr>
          <w:t>315/2016 Z. z.</w:t>
        </w:r>
      </w:hyperlink>
      <w:r w:rsidRPr="00904FE2" w:rsidR="00591AE0">
        <w:rPr>
          <w:rFonts w:ascii="Book Antiqua" w:hAnsi="Book Antiqua" w:cs="Times New Roman"/>
          <w:color w:themeColor="tx1" w:themeShade="FF"/>
          <w:sz w:val="22"/>
          <w:szCs w:val="22"/>
        </w:rPr>
        <w:t xml:space="preserve"> a zákona č. </w:t>
      </w:r>
      <w:hyperlink r:id="rId7" w:history="1">
        <w:r w:rsidRPr="00904FE2" w:rsidR="00591AE0">
          <w:rPr>
            <w:rStyle w:val="Hyperlink"/>
            <w:rFonts w:ascii="Book Antiqua" w:hAnsi="Book Antiqua"/>
            <w:color w:val="000000" w:themeColor="tx1"/>
            <w:sz w:val="22"/>
            <w:szCs w:val="22"/>
            <w:u w:val="none"/>
          </w:rPr>
          <w:t>93/2017 Z. z.</w:t>
        </w:r>
      </w:hyperlink>
      <w:r w:rsidRPr="00904FE2" w:rsidR="00591AE0">
        <w:rPr>
          <w:rFonts w:ascii="Book Antiqua" w:hAnsi="Book Antiqua" w:cs="Times New Roman"/>
          <w:color w:themeColor="tx1" w:themeShade="FF"/>
          <w:sz w:val="22"/>
          <w:szCs w:val="22"/>
        </w:rPr>
        <w:t xml:space="preserve"> </w:t>
      </w:r>
      <w:r w:rsidRPr="00904FE2" w:rsidR="0032109D">
        <w:rPr>
          <w:rFonts w:ascii="Book Antiqua" w:hAnsi="Book Antiqua" w:cs="Times New Roman"/>
          <w:color w:themeColor="tx1" w:themeShade="FF"/>
          <w:sz w:val="22"/>
          <w:szCs w:val="22"/>
        </w:rPr>
        <w:t>sa</w:t>
      </w:r>
      <w:r w:rsidRPr="00904FE2" w:rsidR="00591AE0">
        <w:rPr>
          <w:rFonts w:ascii="Book Antiqua" w:hAnsi="Book Antiqua" w:cs="Times New Roman"/>
          <w:color w:themeColor="tx1" w:themeShade="FF"/>
          <w:sz w:val="22"/>
          <w:szCs w:val="22"/>
        </w:rPr>
        <w:t xml:space="preserve"> mení a</w:t>
      </w:r>
      <w:r w:rsidRPr="00904FE2" w:rsidR="009436E6">
        <w:rPr>
          <w:rFonts w:ascii="Book Antiqua" w:hAnsi="Book Antiqua" w:cs="Times New Roman"/>
          <w:color w:themeColor="tx1" w:themeShade="FF"/>
          <w:sz w:val="22"/>
          <w:szCs w:val="22"/>
          <w:lang w:eastAsia="en-US" w:bidi="ar-SA"/>
        </w:rPr>
        <w:t xml:space="preserve"> dopĺňa</w:t>
      </w:r>
      <w:r w:rsidRPr="00904FE2">
        <w:rPr>
          <w:rFonts w:ascii="Book Antiqua" w:hAnsi="Book Antiqua" w:cs="Times New Roman"/>
          <w:color w:themeColor="tx1" w:themeShade="FF"/>
          <w:sz w:val="22"/>
          <w:szCs w:val="22"/>
          <w:lang w:eastAsia="en-US" w:bidi="ar-SA"/>
        </w:rPr>
        <w:t xml:space="preserve"> takto:</w:t>
      </w:r>
    </w:p>
    <w:p w:rsidR="00170248" w:rsidRPr="00904FE2" w:rsidP="00C5238B">
      <w:pPr>
        <w:pStyle w:val="Default"/>
        <w:bidi w:val="0"/>
        <w:jc w:val="both"/>
        <w:rPr>
          <w:rFonts w:ascii="Book Antiqua" w:hAnsi="Book Antiqua" w:cs="Times New Roman"/>
          <w:color w:themeColor="tx1" w:themeShade="FF"/>
          <w:sz w:val="22"/>
          <w:szCs w:val="22"/>
          <w:lang w:eastAsia="en-US" w:bidi="ar-SA"/>
        </w:rPr>
      </w:pPr>
    </w:p>
    <w:p w:rsidR="00C5238B" w:rsidRPr="00904FE2" w:rsidP="00C5238B">
      <w:pPr>
        <w:pStyle w:val="Default"/>
        <w:bidi w:val="0"/>
        <w:jc w:val="both"/>
        <w:rPr>
          <w:rFonts w:ascii="Book Antiqua" w:hAnsi="Book Antiqua" w:cs="Times New Roman"/>
          <w:color w:themeColor="tx1" w:themeShade="FF"/>
          <w:sz w:val="22"/>
          <w:szCs w:val="22"/>
          <w:lang w:eastAsia="en-US" w:bidi="ar-SA"/>
        </w:rPr>
      </w:pPr>
    </w:p>
    <w:p w:rsidR="00885E13" w:rsidRPr="00904FE2" w:rsidP="00300633">
      <w:pPr>
        <w:pStyle w:val="Default"/>
        <w:numPr>
          <w:numId w:val="5"/>
        </w:numPr>
        <w:bidi w:val="0"/>
        <w:spacing w:after="200" w:line="276" w:lineRule="auto"/>
        <w:jc w:val="both"/>
        <w:rPr>
          <w:rFonts w:ascii="Book Antiqua" w:hAnsi="Book Antiqua"/>
          <w:color w:themeColor="tx1" w:themeShade="FF"/>
          <w:sz w:val="22"/>
          <w:szCs w:val="22"/>
          <w:lang w:eastAsia="en-US"/>
        </w:rPr>
      </w:pPr>
      <w:r w:rsidRPr="00904FE2" w:rsidR="00E43ADB">
        <w:rPr>
          <w:rFonts w:ascii="Book Antiqua" w:hAnsi="Book Antiqua"/>
          <w:color w:themeColor="tx1" w:themeShade="FF"/>
          <w:sz w:val="22"/>
          <w:szCs w:val="22"/>
          <w:lang w:eastAsia="en-US"/>
        </w:rPr>
        <w:t>V </w:t>
      </w:r>
      <w:r w:rsidRPr="00904FE2" w:rsidR="004C5E2D">
        <w:rPr>
          <w:rFonts w:ascii="Book Antiqua" w:hAnsi="Book Antiqua"/>
          <w:color w:themeColor="tx1" w:themeShade="FF"/>
          <w:sz w:val="22"/>
          <w:szCs w:val="22"/>
          <w:lang w:eastAsia="en-US"/>
        </w:rPr>
        <w:t>§ 2 ods. 5</w:t>
      </w:r>
      <w:r w:rsidRPr="00904FE2" w:rsidR="00E43ADB">
        <w:rPr>
          <w:rFonts w:ascii="Book Antiqua" w:hAnsi="Book Antiqua"/>
          <w:color w:themeColor="tx1" w:themeShade="FF"/>
          <w:sz w:val="22"/>
          <w:szCs w:val="22"/>
          <w:lang w:eastAsia="en-US"/>
        </w:rPr>
        <w:t xml:space="preserve"> sa dopĺňa písmeno </w:t>
      </w:r>
      <w:r w:rsidRPr="00904FE2" w:rsidR="00A63B57">
        <w:rPr>
          <w:rFonts w:ascii="Book Antiqua" w:hAnsi="Book Antiqua"/>
          <w:color w:themeColor="tx1" w:themeShade="FF"/>
          <w:sz w:val="22"/>
          <w:szCs w:val="22"/>
          <w:lang w:eastAsia="en-US"/>
        </w:rPr>
        <w:t>p</w:t>
      </w:r>
      <w:r w:rsidRPr="00904FE2" w:rsidR="00E43ADB">
        <w:rPr>
          <w:rFonts w:ascii="Book Antiqua" w:hAnsi="Book Antiqua"/>
          <w:color w:themeColor="tx1" w:themeShade="FF"/>
          <w:sz w:val="22"/>
          <w:szCs w:val="22"/>
          <w:lang w:eastAsia="en-US"/>
        </w:rPr>
        <w:t>)</w:t>
      </w:r>
      <w:r w:rsidRPr="00904FE2" w:rsidR="0032109D">
        <w:rPr>
          <w:rFonts w:ascii="Book Antiqua" w:hAnsi="Book Antiqua"/>
          <w:color w:themeColor="tx1" w:themeShade="FF"/>
          <w:sz w:val="22"/>
          <w:szCs w:val="22"/>
          <w:lang w:eastAsia="en-US"/>
        </w:rPr>
        <w:t>, ktor</w:t>
      </w:r>
      <w:r w:rsidRPr="00904FE2" w:rsidR="00E43ADB">
        <w:rPr>
          <w:rFonts w:ascii="Book Antiqua" w:hAnsi="Book Antiqua"/>
          <w:color w:themeColor="tx1" w:themeShade="FF"/>
          <w:sz w:val="22"/>
          <w:szCs w:val="22"/>
          <w:lang w:eastAsia="en-US"/>
        </w:rPr>
        <w:t>é</w:t>
      </w:r>
      <w:r w:rsidRPr="00904FE2" w:rsidR="009436E6">
        <w:rPr>
          <w:rFonts w:ascii="Book Antiqua" w:hAnsi="Book Antiqua"/>
          <w:color w:themeColor="tx1" w:themeShade="FF"/>
          <w:sz w:val="22"/>
          <w:szCs w:val="22"/>
          <w:lang w:eastAsia="en-US"/>
        </w:rPr>
        <w:t xml:space="preserve"> znie</w:t>
      </w:r>
      <w:r w:rsidRPr="00904FE2">
        <w:rPr>
          <w:rFonts w:ascii="Book Antiqua" w:hAnsi="Book Antiqua"/>
          <w:color w:themeColor="tx1" w:themeShade="FF"/>
          <w:sz w:val="22"/>
          <w:szCs w:val="22"/>
          <w:lang w:eastAsia="en-US"/>
        </w:rPr>
        <w:t>: „</w:t>
      </w:r>
      <w:r w:rsidRPr="00904FE2" w:rsidR="00A63B57">
        <w:rPr>
          <w:rFonts w:ascii="Book Antiqua" w:hAnsi="Book Antiqua"/>
          <w:color w:themeColor="tx1" w:themeShade="FF"/>
          <w:sz w:val="22"/>
          <w:szCs w:val="22"/>
          <w:lang w:eastAsia="en-US"/>
        </w:rPr>
        <w:t>slovenským výrobkom slovenský poľnohospodársky produkt</w:t>
      </w:r>
      <w:r w:rsidRPr="00904FE2" w:rsidR="002C47FB">
        <w:rPr>
          <w:rFonts w:ascii="Book Antiqua" w:hAnsi="Book Antiqua"/>
          <w:color w:themeColor="tx1" w:themeShade="FF"/>
          <w:sz w:val="22"/>
          <w:szCs w:val="22"/>
          <w:lang w:eastAsia="en-US"/>
        </w:rPr>
        <w:t xml:space="preserve"> </w:t>
      </w:r>
      <w:r w:rsidRPr="00904FE2" w:rsidR="002C47FB">
        <w:rPr>
          <w:rFonts w:ascii="Book Antiqua" w:hAnsi="Book Antiqua"/>
          <w:color w:themeColor="tx1" w:themeShade="FF"/>
          <w:sz w:val="22"/>
          <w:szCs w:val="22"/>
          <w:vertAlign w:val="superscript"/>
          <w:lang w:eastAsia="en-US"/>
        </w:rPr>
        <w:t>26a</w:t>
      </w:r>
      <w:r w:rsidRPr="00904FE2" w:rsidR="002C47FB">
        <w:rPr>
          <w:rFonts w:ascii="Book Antiqua" w:hAnsi="Book Antiqua"/>
          <w:color w:themeColor="tx1" w:themeShade="FF"/>
          <w:sz w:val="22"/>
          <w:szCs w:val="22"/>
          <w:lang w:eastAsia="en-US"/>
        </w:rPr>
        <w:t>)</w:t>
      </w:r>
      <w:r w:rsidRPr="00904FE2" w:rsidR="00A63B57">
        <w:rPr>
          <w:rFonts w:ascii="Book Antiqua" w:hAnsi="Book Antiqua"/>
          <w:color w:themeColor="tx1" w:themeShade="FF"/>
          <w:sz w:val="22"/>
          <w:szCs w:val="22"/>
          <w:lang w:eastAsia="en-US"/>
        </w:rPr>
        <w:t>, slovenská potravina</w:t>
      </w:r>
      <w:r w:rsidRPr="00904FE2" w:rsidR="002C47FB">
        <w:rPr>
          <w:rFonts w:ascii="Book Antiqua" w:hAnsi="Book Antiqua"/>
          <w:color w:themeColor="tx1" w:themeShade="FF"/>
          <w:sz w:val="22"/>
          <w:szCs w:val="22"/>
          <w:lang w:eastAsia="en-US"/>
        </w:rPr>
        <w:t xml:space="preserve"> </w:t>
      </w:r>
      <w:r w:rsidRPr="00904FE2" w:rsidR="002C47FB">
        <w:rPr>
          <w:rFonts w:ascii="Book Antiqua" w:hAnsi="Book Antiqua"/>
          <w:color w:themeColor="tx1" w:themeShade="FF"/>
          <w:sz w:val="22"/>
          <w:szCs w:val="22"/>
          <w:vertAlign w:val="superscript"/>
          <w:lang w:eastAsia="en-US"/>
        </w:rPr>
        <w:t>26b</w:t>
      </w:r>
      <w:r w:rsidRPr="00904FE2" w:rsidR="002C47FB">
        <w:rPr>
          <w:rFonts w:ascii="Book Antiqua" w:hAnsi="Book Antiqua"/>
          <w:color w:themeColor="tx1" w:themeShade="FF"/>
          <w:sz w:val="22"/>
          <w:szCs w:val="22"/>
          <w:lang w:eastAsia="en-US"/>
        </w:rPr>
        <w:t>)</w:t>
      </w:r>
      <w:r w:rsidRPr="00904FE2" w:rsidR="00A63B57">
        <w:rPr>
          <w:rFonts w:ascii="Book Antiqua" w:hAnsi="Book Antiqua"/>
          <w:color w:themeColor="tx1" w:themeShade="FF"/>
          <w:sz w:val="22"/>
          <w:szCs w:val="22"/>
          <w:lang w:eastAsia="en-US"/>
        </w:rPr>
        <w:t xml:space="preserve"> alebo</w:t>
      </w:r>
      <w:r w:rsidRPr="00904FE2" w:rsidR="002C47FB">
        <w:rPr>
          <w:rFonts w:ascii="Book Antiqua" w:hAnsi="Book Antiqua"/>
          <w:color w:themeColor="tx1" w:themeShade="FF"/>
          <w:sz w:val="22"/>
          <w:szCs w:val="22"/>
          <w:lang w:eastAsia="en-US"/>
        </w:rPr>
        <w:t xml:space="preserve"> výrobok, ktorý obsahuje najmenej </w:t>
      </w:r>
      <w:r w:rsidR="006F2586">
        <w:rPr>
          <w:rFonts w:ascii="Book Antiqua" w:hAnsi="Book Antiqua"/>
          <w:color w:themeColor="tx1" w:themeShade="FF"/>
          <w:sz w:val="22"/>
          <w:szCs w:val="22"/>
          <w:lang w:eastAsia="en-US"/>
        </w:rPr>
        <w:t xml:space="preserve">75 </w:t>
      </w:r>
      <w:r w:rsidR="00922C21">
        <w:rPr>
          <w:rFonts w:ascii="Book Antiqua" w:hAnsi="Book Antiqua"/>
          <w:color w:themeColor="tx1" w:themeShade="FF"/>
          <w:sz w:val="22"/>
          <w:szCs w:val="22"/>
          <w:lang w:eastAsia="en-US"/>
        </w:rPr>
        <w:t xml:space="preserve">% surovín a </w:t>
      </w:r>
      <w:r w:rsidRPr="00904FE2" w:rsidR="002C47FB">
        <w:rPr>
          <w:rFonts w:ascii="Book Antiqua" w:hAnsi="Book Antiqua"/>
          <w:color w:themeColor="tx1" w:themeShade="FF"/>
          <w:sz w:val="22"/>
          <w:szCs w:val="22"/>
          <w:lang w:eastAsia="en-US"/>
        </w:rPr>
        <w:t>prísad pochádzaj</w:t>
      </w:r>
      <w:r w:rsidR="00643142">
        <w:rPr>
          <w:rFonts w:ascii="Book Antiqua" w:hAnsi="Book Antiqua"/>
          <w:color w:themeColor="tx1" w:themeShade="FF"/>
          <w:sz w:val="22"/>
          <w:szCs w:val="22"/>
          <w:lang w:eastAsia="en-US"/>
        </w:rPr>
        <w:t xml:space="preserve">úcich zo Slovenskej republiky a </w:t>
      </w:r>
      <w:r w:rsidRPr="00904FE2" w:rsidR="002C47FB">
        <w:rPr>
          <w:rFonts w:ascii="Book Antiqua" w:hAnsi="Book Antiqua"/>
          <w:color w:themeColor="tx1" w:themeShade="FF"/>
          <w:sz w:val="22"/>
          <w:szCs w:val="22"/>
          <w:lang w:eastAsia="en-US"/>
        </w:rPr>
        <w:t xml:space="preserve">všetky fázy </w:t>
      </w:r>
      <w:r w:rsidRPr="00904FE2" w:rsidR="00040DE1">
        <w:rPr>
          <w:rFonts w:ascii="Book Antiqua" w:hAnsi="Book Antiqua"/>
          <w:color w:themeColor="tx1" w:themeShade="FF"/>
          <w:sz w:val="22"/>
          <w:szCs w:val="22"/>
          <w:lang w:eastAsia="en-US"/>
        </w:rPr>
        <w:br/>
      </w:r>
      <w:r w:rsidRPr="00904FE2" w:rsidR="002C47FB">
        <w:rPr>
          <w:rFonts w:ascii="Book Antiqua" w:hAnsi="Book Antiqua"/>
          <w:color w:themeColor="tx1" w:themeShade="FF"/>
          <w:sz w:val="22"/>
          <w:szCs w:val="22"/>
          <w:lang w:eastAsia="en-US"/>
        </w:rPr>
        <w:t xml:space="preserve">jeho výrobného procesu sa uskutočňujú v Slovenskej republike. </w:t>
      </w:r>
      <w:r w:rsidRPr="00904FE2" w:rsidR="00E43ADB">
        <w:rPr>
          <w:rFonts w:ascii="Book Antiqua" w:hAnsi="Book Antiqua"/>
          <w:color w:themeColor="tx1" w:themeShade="FF"/>
          <w:sz w:val="22"/>
          <w:szCs w:val="22"/>
          <w:lang w:eastAsia="en-US"/>
        </w:rPr>
        <w:t>“</w:t>
      </w:r>
      <w:r w:rsidRPr="00904FE2" w:rsidR="00361BB3">
        <w:rPr>
          <w:rFonts w:ascii="Book Antiqua" w:hAnsi="Book Antiqua"/>
          <w:color w:themeColor="tx1" w:themeShade="FF"/>
          <w:sz w:val="22"/>
          <w:szCs w:val="22"/>
          <w:lang w:eastAsia="en-US"/>
        </w:rPr>
        <w:t>.</w:t>
      </w:r>
    </w:p>
    <w:p w:rsidR="002C47FB" w:rsidRPr="00904FE2" w:rsidP="002C47FB">
      <w:pPr>
        <w:pStyle w:val="Default"/>
        <w:bidi w:val="0"/>
        <w:spacing w:after="200" w:line="276" w:lineRule="auto"/>
        <w:ind w:left="360"/>
        <w:jc w:val="both"/>
        <w:rPr>
          <w:rFonts w:ascii="Book Antiqua" w:hAnsi="Book Antiqua"/>
          <w:color w:themeColor="tx1" w:themeShade="FF"/>
          <w:sz w:val="22"/>
          <w:szCs w:val="22"/>
          <w:lang w:eastAsia="en-US"/>
        </w:rPr>
      </w:pPr>
      <w:r w:rsidRPr="00904FE2">
        <w:rPr>
          <w:rFonts w:ascii="Book Antiqua" w:hAnsi="Book Antiqua"/>
          <w:color w:themeColor="tx1" w:themeShade="FF"/>
          <w:sz w:val="22"/>
          <w:szCs w:val="22"/>
          <w:lang w:eastAsia="en-US"/>
        </w:rPr>
        <w:t>Poznámky pod čiarou k odkazom 26a a 26b znejú:</w:t>
      </w:r>
    </w:p>
    <w:p w:rsidR="002C47FB" w:rsidRPr="00904FE2" w:rsidP="002C47FB">
      <w:pPr>
        <w:pStyle w:val="Default"/>
        <w:bidi w:val="0"/>
        <w:spacing w:after="200" w:line="276" w:lineRule="auto"/>
        <w:ind w:left="360"/>
        <w:jc w:val="both"/>
        <w:rPr>
          <w:rFonts w:ascii="Book Antiqua" w:hAnsi="Book Antiqua"/>
          <w:color w:themeColor="tx1" w:themeShade="FF"/>
          <w:sz w:val="22"/>
          <w:szCs w:val="22"/>
          <w:lang w:eastAsia="en-US"/>
        </w:rPr>
      </w:pPr>
      <w:r w:rsidRPr="00904FE2">
        <w:rPr>
          <w:rFonts w:ascii="Book Antiqua" w:hAnsi="Book Antiqua"/>
          <w:color w:themeColor="tx1" w:themeShade="FF"/>
          <w:sz w:val="22"/>
          <w:szCs w:val="22"/>
          <w:lang w:eastAsia="en-US"/>
        </w:rPr>
        <w:t>„</w:t>
      </w:r>
      <w:r w:rsidRPr="00904FE2">
        <w:rPr>
          <w:rFonts w:ascii="Book Antiqua" w:hAnsi="Book Antiqua"/>
          <w:color w:themeColor="tx1" w:themeShade="FF"/>
          <w:sz w:val="22"/>
          <w:szCs w:val="22"/>
          <w:vertAlign w:val="superscript"/>
          <w:lang w:eastAsia="en-US"/>
        </w:rPr>
        <w:t>26a</w:t>
      </w:r>
      <w:r w:rsidRPr="00904FE2">
        <w:rPr>
          <w:rFonts w:ascii="Book Antiqua" w:hAnsi="Book Antiqua"/>
          <w:color w:themeColor="tx1" w:themeShade="FF"/>
          <w:sz w:val="22"/>
          <w:szCs w:val="22"/>
          <w:lang w:eastAsia="en-US"/>
        </w:rPr>
        <w:t>) § 2 ods. 1 vyhlášky Ministerstva pôdohospodárstva a rozvoja vidieka Slovenskej republiky</w:t>
      </w:r>
      <w:r w:rsidRPr="00904FE2" w:rsidR="00093552">
        <w:rPr>
          <w:rFonts w:ascii="Book Antiqua" w:hAnsi="Book Antiqua"/>
          <w:color w:themeColor="tx1" w:themeShade="FF"/>
          <w:sz w:val="22"/>
          <w:szCs w:val="22"/>
          <w:lang w:eastAsia="en-US"/>
        </w:rPr>
        <w:t xml:space="preserve"> č. </w:t>
      </w:r>
      <w:r w:rsidRPr="00904FE2">
        <w:rPr>
          <w:rFonts w:ascii="Book Antiqua" w:hAnsi="Book Antiqua"/>
          <w:color w:themeColor="tx1" w:themeShade="FF"/>
          <w:sz w:val="22"/>
          <w:szCs w:val="22"/>
          <w:lang w:eastAsia="en-US"/>
        </w:rPr>
        <w:t>163/2014 Z. z. o podmienkach používania dobrovoľného označovania poľnohospodárskych produktov a potravín na účely informovania spotrebiteľa</w:t>
      </w:r>
      <w:r w:rsidRPr="00904FE2" w:rsidR="00A96D4C">
        <w:rPr>
          <w:rFonts w:ascii="Book Antiqua" w:hAnsi="Book Antiqua"/>
          <w:color w:themeColor="tx1" w:themeShade="FF"/>
          <w:sz w:val="22"/>
          <w:szCs w:val="22"/>
          <w:lang w:eastAsia="en-US"/>
        </w:rPr>
        <w:t>.</w:t>
      </w:r>
    </w:p>
    <w:p w:rsidR="00A96D4C" w:rsidRPr="00904FE2" w:rsidP="00A96D4C">
      <w:pPr>
        <w:pStyle w:val="Default"/>
        <w:bidi w:val="0"/>
        <w:spacing w:after="200" w:line="276" w:lineRule="auto"/>
        <w:ind w:left="360"/>
        <w:jc w:val="both"/>
        <w:rPr>
          <w:rFonts w:ascii="Book Antiqua" w:hAnsi="Book Antiqua"/>
          <w:color w:themeColor="tx1" w:themeShade="FF"/>
          <w:sz w:val="22"/>
          <w:szCs w:val="22"/>
          <w:lang w:eastAsia="en-US"/>
        </w:rPr>
      </w:pPr>
      <w:r w:rsidRPr="00904FE2">
        <w:rPr>
          <w:rFonts w:ascii="Book Antiqua" w:hAnsi="Book Antiqua"/>
          <w:color w:themeColor="tx1" w:themeShade="FF"/>
          <w:sz w:val="22"/>
          <w:szCs w:val="22"/>
          <w:vertAlign w:val="superscript"/>
          <w:lang w:eastAsia="en-US"/>
        </w:rPr>
        <w:t>26b</w:t>
      </w:r>
      <w:r w:rsidRPr="00904FE2">
        <w:rPr>
          <w:rFonts w:ascii="Book Antiqua" w:hAnsi="Book Antiqua"/>
          <w:color w:themeColor="tx1" w:themeShade="FF"/>
          <w:sz w:val="22"/>
          <w:szCs w:val="22"/>
          <w:lang w:eastAsia="en-US"/>
        </w:rPr>
        <w:t>) § 2 ods. 2 vyhlášky Ministerstva pôdohospodárstva a rozvoja vidieka Slovenskej republiky</w:t>
      </w:r>
      <w:r w:rsidRPr="00904FE2" w:rsidR="00093552">
        <w:rPr>
          <w:rFonts w:ascii="Book Antiqua" w:hAnsi="Book Antiqua"/>
          <w:color w:themeColor="tx1" w:themeShade="FF"/>
          <w:sz w:val="22"/>
          <w:szCs w:val="22"/>
          <w:lang w:eastAsia="en-US"/>
        </w:rPr>
        <w:t xml:space="preserve"> č. </w:t>
      </w:r>
      <w:r w:rsidRPr="00904FE2">
        <w:rPr>
          <w:rFonts w:ascii="Book Antiqua" w:hAnsi="Book Antiqua"/>
          <w:color w:themeColor="tx1" w:themeShade="FF"/>
          <w:sz w:val="22"/>
          <w:szCs w:val="22"/>
          <w:lang w:eastAsia="en-US"/>
        </w:rPr>
        <w:t>163/2014 Z. z. o podmienkach používania dobrovoľného označovania poľnohospodárskych produktov a potravín na účely informovania spotrebiteľa.</w:t>
      </w:r>
      <w:r w:rsidRPr="00904FE2" w:rsidR="004C5E2D">
        <w:rPr>
          <w:rFonts w:ascii="Book Antiqua" w:hAnsi="Book Antiqua"/>
          <w:color w:themeColor="tx1" w:themeShade="FF"/>
          <w:sz w:val="22"/>
          <w:szCs w:val="22"/>
          <w:lang w:eastAsia="en-US"/>
        </w:rPr>
        <w:t>“</w:t>
      </w:r>
      <w:r w:rsidRPr="00904FE2" w:rsidR="00361BB3">
        <w:rPr>
          <w:rFonts w:ascii="Book Antiqua" w:hAnsi="Book Antiqua"/>
          <w:color w:themeColor="tx1" w:themeShade="FF"/>
          <w:sz w:val="22"/>
          <w:szCs w:val="22"/>
          <w:lang w:eastAsia="en-US"/>
        </w:rPr>
        <w:t>.</w:t>
      </w:r>
    </w:p>
    <w:p w:rsidR="00CD5855" w:rsidP="00300633">
      <w:pPr>
        <w:pStyle w:val="Default"/>
        <w:numPr>
          <w:numId w:val="5"/>
        </w:numPr>
        <w:bidi w:val="0"/>
        <w:spacing w:after="200" w:line="276" w:lineRule="auto"/>
        <w:jc w:val="both"/>
        <w:rPr>
          <w:rFonts w:ascii="Book Antiqua" w:hAnsi="Book Antiqua"/>
          <w:color w:themeColor="tx1" w:themeShade="FF"/>
          <w:sz w:val="22"/>
          <w:szCs w:val="22"/>
          <w:lang w:eastAsia="en-US"/>
        </w:rPr>
      </w:pPr>
      <w:r w:rsidRPr="00CD5855">
        <w:rPr>
          <w:rFonts w:ascii="Book Antiqua" w:hAnsi="Book Antiqua"/>
          <w:color w:themeColor="tx1" w:themeShade="FF"/>
          <w:sz w:val="22"/>
          <w:szCs w:val="22"/>
          <w:lang w:eastAsia="en-US"/>
        </w:rPr>
        <w:t xml:space="preserve">V § 2 ods. 5 sa dopĺňa písmeno </w:t>
      </w:r>
      <w:r>
        <w:rPr>
          <w:rFonts w:ascii="Book Antiqua" w:hAnsi="Book Antiqua"/>
          <w:color w:themeColor="tx1" w:themeShade="FF"/>
          <w:sz w:val="22"/>
          <w:szCs w:val="22"/>
          <w:lang w:eastAsia="en-US"/>
        </w:rPr>
        <w:t>r</w:t>
      </w:r>
      <w:r w:rsidRPr="00CD5855">
        <w:rPr>
          <w:rFonts w:ascii="Book Antiqua" w:hAnsi="Book Antiqua"/>
          <w:color w:themeColor="tx1" w:themeShade="FF"/>
          <w:sz w:val="22"/>
          <w:szCs w:val="22"/>
          <w:lang w:eastAsia="en-US"/>
        </w:rPr>
        <w:t>), ktoré znie:</w:t>
      </w:r>
      <w:r>
        <w:rPr>
          <w:rFonts w:ascii="Book Antiqua" w:hAnsi="Book Antiqua"/>
          <w:color w:themeColor="tx1" w:themeShade="FF"/>
          <w:sz w:val="22"/>
          <w:szCs w:val="22"/>
          <w:lang w:eastAsia="en-US"/>
        </w:rPr>
        <w:t xml:space="preserve"> „konečným vlastníkom vlastník fyzická osoba alebo vlastník právnická osoba, ktorá nie je vlastnená žiadnou fyzickou alebo právnickou osobou.</w:t>
      </w:r>
    </w:p>
    <w:p w:rsidR="002C47FB" w:rsidRPr="00904FE2" w:rsidP="00300633">
      <w:pPr>
        <w:pStyle w:val="Default"/>
        <w:numPr>
          <w:numId w:val="5"/>
        </w:numPr>
        <w:bidi w:val="0"/>
        <w:spacing w:after="200" w:line="276" w:lineRule="auto"/>
        <w:jc w:val="both"/>
        <w:rPr>
          <w:rFonts w:ascii="Book Antiqua" w:hAnsi="Book Antiqua"/>
          <w:color w:themeColor="tx1" w:themeShade="FF"/>
          <w:sz w:val="22"/>
          <w:szCs w:val="22"/>
          <w:lang w:eastAsia="en-US"/>
        </w:rPr>
      </w:pPr>
      <w:r w:rsidRPr="00904FE2" w:rsidR="004C5E2D">
        <w:rPr>
          <w:rFonts w:ascii="Book Antiqua" w:hAnsi="Book Antiqua"/>
          <w:color w:themeColor="tx1" w:themeShade="FF"/>
          <w:sz w:val="22"/>
          <w:szCs w:val="22"/>
          <w:lang w:eastAsia="en-US"/>
        </w:rPr>
        <w:t>V § 10 ods. 2 sa na konci pripájajú tieto slová: „, ak tento zákon neus</w:t>
      </w:r>
      <w:r w:rsidRPr="00904FE2" w:rsidR="00361BB3">
        <w:rPr>
          <w:rFonts w:ascii="Book Antiqua" w:hAnsi="Book Antiqua"/>
          <w:color w:themeColor="tx1" w:themeShade="FF"/>
          <w:sz w:val="22"/>
          <w:szCs w:val="22"/>
          <w:lang w:eastAsia="en-US"/>
        </w:rPr>
        <w:t>tanovuje inak</w:t>
      </w:r>
      <w:r w:rsidRPr="00904FE2" w:rsidR="004C5E2D">
        <w:rPr>
          <w:rFonts w:ascii="Book Antiqua" w:hAnsi="Book Antiqua"/>
          <w:color w:themeColor="tx1" w:themeShade="FF"/>
          <w:sz w:val="22"/>
          <w:szCs w:val="22"/>
          <w:lang w:eastAsia="en-US"/>
        </w:rPr>
        <w:t>.</w:t>
      </w:r>
      <w:r w:rsidRPr="00904FE2" w:rsidR="00361BB3">
        <w:rPr>
          <w:rFonts w:ascii="Book Antiqua" w:hAnsi="Book Antiqua"/>
          <w:color w:themeColor="tx1" w:themeShade="FF"/>
          <w:sz w:val="22"/>
          <w:szCs w:val="22"/>
          <w:lang w:eastAsia="en-US"/>
        </w:rPr>
        <w:t>“.</w:t>
      </w:r>
    </w:p>
    <w:p w:rsidR="005270AD" w:rsidRPr="00904FE2" w:rsidP="00300633">
      <w:pPr>
        <w:pStyle w:val="Default"/>
        <w:numPr>
          <w:numId w:val="5"/>
        </w:numPr>
        <w:bidi w:val="0"/>
        <w:spacing w:after="200" w:line="276" w:lineRule="auto"/>
        <w:jc w:val="both"/>
        <w:rPr>
          <w:rFonts w:ascii="Book Antiqua" w:hAnsi="Book Antiqua"/>
          <w:color w:themeColor="tx1" w:themeShade="FF"/>
          <w:sz w:val="22"/>
          <w:szCs w:val="22"/>
          <w:lang w:eastAsia="en-US"/>
        </w:rPr>
      </w:pPr>
      <w:r w:rsidRPr="00904FE2">
        <w:rPr>
          <w:rFonts w:ascii="Book Antiqua" w:hAnsi="Book Antiqua"/>
          <w:color w:themeColor="tx1" w:themeShade="FF"/>
          <w:sz w:val="22"/>
          <w:szCs w:val="22"/>
          <w:lang w:eastAsia="en-US"/>
        </w:rPr>
        <w:t xml:space="preserve">Za § 34 sa vkladá § 34a, ktorý vrátanie nadpisu znie: </w:t>
      </w:r>
    </w:p>
    <w:p w:rsidR="005270AD" w:rsidRPr="00904FE2" w:rsidP="005270AD">
      <w:pPr>
        <w:pStyle w:val="Default"/>
        <w:bidi w:val="0"/>
        <w:spacing w:after="200" w:line="276" w:lineRule="auto"/>
        <w:ind w:left="360"/>
        <w:jc w:val="both"/>
        <w:rPr>
          <w:rFonts w:ascii="Book Antiqua" w:hAnsi="Book Antiqua"/>
          <w:b/>
          <w:color w:themeColor="tx1" w:themeShade="FF"/>
          <w:sz w:val="22"/>
          <w:szCs w:val="22"/>
          <w:lang w:eastAsia="en-US"/>
        </w:rPr>
      </w:pPr>
      <w:r w:rsidRPr="00904FE2">
        <w:rPr>
          <w:rFonts w:ascii="Book Antiqua" w:hAnsi="Book Antiqua"/>
          <w:color w:themeColor="tx1" w:themeShade="FF"/>
          <w:sz w:val="22"/>
          <w:szCs w:val="22"/>
          <w:lang w:eastAsia="en-US"/>
        </w:rPr>
        <w:t>„</w:t>
      </w:r>
      <w:r w:rsidRPr="00904FE2">
        <w:rPr>
          <w:rFonts w:ascii="Book Antiqua" w:hAnsi="Book Antiqua"/>
          <w:b/>
          <w:color w:themeColor="tx1" w:themeShade="FF"/>
          <w:sz w:val="22"/>
          <w:szCs w:val="22"/>
          <w:lang w:eastAsia="en-US"/>
        </w:rPr>
        <w:t xml:space="preserve">§ 34a </w:t>
      </w:r>
      <w:r w:rsidRPr="00904FE2" w:rsidR="006C2592">
        <w:rPr>
          <w:rFonts w:ascii="Book Antiqua" w:hAnsi="Book Antiqua"/>
          <w:b/>
          <w:color w:themeColor="tx1" w:themeShade="FF"/>
          <w:sz w:val="22"/>
          <w:szCs w:val="22"/>
          <w:lang w:eastAsia="en-US"/>
        </w:rPr>
        <w:t>Pôvod</w:t>
      </w:r>
      <w:r w:rsidRPr="00904FE2">
        <w:rPr>
          <w:rFonts w:ascii="Book Antiqua" w:hAnsi="Book Antiqua"/>
          <w:b/>
          <w:color w:themeColor="tx1" w:themeShade="FF"/>
          <w:sz w:val="22"/>
          <w:szCs w:val="22"/>
          <w:lang w:eastAsia="en-US"/>
        </w:rPr>
        <w:t xml:space="preserve"> na území Slovenskej republiky</w:t>
      </w:r>
    </w:p>
    <w:p w:rsidR="00BB3EA3" w:rsidRPr="00904FE2" w:rsidP="005270AD">
      <w:pPr>
        <w:pStyle w:val="Default"/>
        <w:bidi w:val="0"/>
        <w:spacing w:after="200" w:line="276" w:lineRule="auto"/>
        <w:ind w:left="360"/>
        <w:jc w:val="both"/>
        <w:rPr>
          <w:rFonts w:ascii="Book Antiqua" w:hAnsi="Book Antiqua"/>
          <w:color w:themeColor="tx1" w:themeShade="FF"/>
          <w:sz w:val="22"/>
          <w:lang w:eastAsia="en-US"/>
        </w:rPr>
      </w:pPr>
      <w:r w:rsidRPr="00904FE2" w:rsidR="005270AD">
        <w:rPr>
          <w:rFonts w:ascii="Book Antiqua" w:hAnsi="Book Antiqua"/>
          <w:color w:themeColor="tx1" w:themeShade="FF"/>
          <w:sz w:val="22"/>
          <w:lang w:eastAsia="en-US"/>
        </w:rPr>
        <w:t xml:space="preserve">Verejný obstarávateľ alebo obstarávateľ môže požadovať, aby bol uchádzač alebo záujemca občanom Slovenskej republiky alebo právnickou osobou, ktorej konečnými </w:t>
      </w:r>
      <w:r w:rsidR="00417D11">
        <w:rPr>
          <w:rFonts w:ascii="Book Antiqua" w:hAnsi="Book Antiqua"/>
          <w:color w:themeColor="tx1" w:themeShade="FF"/>
          <w:sz w:val="22"/>
          <w:lang w:eastAsia="en-US"/>
        </w:rPr>
        <w:t>vlastníkmi</w:t>
      </w:r>
      <w:r w:rsidRPr="00904FE2" w:rsidR="005270AD">
        <w:rPr>
          <w:rFonts w:ascii="Book Antiqua" w:hAnsi="Book Antiqua"/>
          <w:color w:themeColor="tx1" w:themeShade="FF"/>
          <w:sz w:val="22"/>
          <w:lang w:eastAsia="en-US"/>
        </w:rPr>
        <w:br/>
        <w:t>sú výlučne</w:t>
      </w:r>
      <w:r w:rsidR="00417D11">
        <w:rPr>
          <w:rFonts w:ascii="Book Antiqua" w:hAnsi="Book Antiqua"/>
          <w:color w:themeColor="tx1" w:themeShade="FF"/>
          <w:sz w:val="22"/>
          <w:lang w:eastAsia="en-US"/>
        </w:rPr>
        <w:t xml:space="preserve"> alebo prevažne občania Slovenskej republiky </w:t>
      </w:r>
      <w:r w:rsidRPr="00904FE2" w:rsidR="006C2592">
        <w:rPr>
          <w:rFonts w:ascii="Book Antiqua" w:hAnsi="Book Antiqua"/>
          <w:color w:themeColor="tx1" w:themeShade="FF"/>
          <w:sz w:val="22"/>
          <w:lang w:eastAsia="en-US"/>
        </w:rPr>
        <w:t xml:space="preserve">alebo právnické osoby so sídlom </w:t>
      </w:r>
      <w:r w:rsidR="00417D11">
        <w:rPr>
          <w:rFonts w:ascii="Book Antiqua" w:hAnsi="Book Antiqua"/>
          <w:color w:themeColor="tx1" w:themeShade="FF"/>
          <w:sz w:val="22"/>
          <w:lang w:eastAsia="en-US"/>
        </w:rPr>
        <w:br/>
      </w:r>
      <w:r w:rsidRPr="00904FE2" w:rsidR="006C2592">
        <w:rPr>
          <w:rFonts w:ascii="Book Antiqua" w:hAnsi="Book Antiqua"/>
          <w:color w:themeColor="tx1" w:themeShade="FF"/>
          <w:sz w:val="22"/>
          <w:lang w:eastAsia="en-US"/>
        </w:rPr>
        <w:t>na území Slovenskej republiky.“</w:t>
      </w:r>
      <w:r w:rsidRPr="00904FE2" w:rsidR="00361BB3">
        <w:rPr>
          <w:rFonts w:ascii="Book Antiqua" w:hAnsi="Book Antiqua"/>
          <w:color w:themeColor="tx1" w:themeShade="FF"/>
          <w:sz w:val="22"/>
          <w:lang w:eastAsia="en-US"/>
        </w:rPr>
        <w:t>.</w:t>
      </w:r>
    </w:p>
    <w:p w:rsidR="005270AD" w:rsidRPr="00904FE2" w:rsidP="00300633">
      <w:pPr>
        <w:pStyle w:val="Default"/>
        <w:numPr>
          <w:numId w:val="5"/>
        </w:numPr>
        <w:bidi w:val="0"/>
        <w:spacing w:after="200" w:line="276" w:lineRule="auto"/>
        <w:jc w:val="both"/>
        <w:rPr>
          <w:rFonts w:ascii="Book Antiqua" w:hAnsi="Book Antiqua"/>
          <w:color w:themeColor="tx1" w:themeShade="FF"/>
          <w:sz w:val="22"/>
          <w:szCs w:val="22"/>
          <w:lang w:eastAsia="en-US"/>
        </w:rPr>
      </w:pPr>
      <w:r w:rsidRPr="00904FE2" w:rsidR="000156BB">
        <w:rPr>
          <w:rFonts w:ascii="Book Antiqua" w:hAnsi="Book Antiqua"/>
          <w:color w:themeColor="tx1" w:themeShade="FF"/>
          <w:sz w:val="22"/>
          <w:szCs w:val="22"/>
          <w:lang w:eastAsia="en-US"/>
        </w:rPr>
        <w:t xml:space="preserve">V § 38 ods. 1 sa vkladá nové písmeno e), ktoré znie: „podmienku podľa § 34a, </w:t>
      </w:r>
      <w:r w:rsidR="00417D11">
        <w:rPr>
          <w:rFonts w:ascii="Book Antiqua" w:hAnsi="Book Antiqua"/>
          <w:color w:themeColor="tx1" w:themeShade="FF"/>
          <w:sz w:val="22"/>
          <w:szCs w:val="22"/>
          <w:lang w:eastAsia="en-US"/>
        </w:rPr>
        <w:br/>
      </w:r>
      <w:r w:rsidRPr="00904FE2" w:rsidR="000156BB">
        <w:rPr>
          <w:rFonts w:ascii="Book Antiqua" w:hAnsi="Book Antiqua"/>
          <w:color w:themeColor="tx1" w:themeShade="FF"/>
          <w:sz w:val="22"/>
          <w:szCs w:val="22"/>
          <w:lang w:eastAsia="en-US"/>
        </w:rPr>
        <w:t>ak sa uplatňuje.“</w:t>
      </w:r>
      <w:r w:rsidRPr="00904FE2" w:rsidR="00361BB3">
        <w:rPr>
          <w:rFonts w:ascii="Book Antiqua" w:hAnsi="Book Antiqua"/>
          <w:color w:themeColor="tx1" w:themeShade="FF"/>
          <w:sz w:val="22"/>
          <w:szCs w:val="22"/>
          <w:lang w:eastAsia="en-US"/>
        </w:rPr>
        <w:t>.</w:t>
      </w:r>
    </w:p>
    <w:p w:rsidR="007A63D5" w:rsidRPr="00904FE2" w:rsidP="00300633">
      <w:pPr>
        <w:pStyle w:val="Default"/>
        <w:numPr>
          <w:numId w:val="5"/>
        </w:numPr>
        <w:bidi w:val="0"/>
        <w:spacing w:after="200" w:line="276" w:lineRule="auto"/>
        <w:jc w:val="both"/>
        <w:rPr>
          <w:rFonts w:ascii="Book Antiqua" w:hAnsi="Book Antiqua"/>
          <w:color w:themeColor="tx1" w:themeShade="FF"/>
          <w:sz w:val="22"/>
          <w:szCs w:val="22"/>
          <w:lang w:eastAsia="en-US"/>
        </w:rPr>
      </w:pPr>
      <w:r w:rsidRPr="00904FE2">
        <w:rPr>
          <w:rFonts w:ascii="Book Antiqua" w:hAnsi="Book Antiqua"/>
          <w:color w:themeColor="tx1" w:themeShade="FF"/>
          <w:sz w:val="22"/>
          <w:szCs w:val="22"/>
          <w:lang w:eastAsia="en-US"/>
        </w:rPr>
        <w:t>V § 38 ods. 2 sa vkladá nové písmeno d), ktoré znie: „pôvodu na území Slovenskej republiky podľa § 34a.“.</w:t>
      </w:r>
    </w:p>
    <w:p w:rsidR="000156BB" w:rsidRPr="00904FE2" w:rsidP="00300633">
      <w:pPr>
        <w:pStyle w:val="Default"/>
        <w:numPr>
          <w:numId w:val="5"/>
        </w:numPr>
        <w:bidi w:val="0"/>
        <w:spacing w:after="200" w:line="276" w:lineRule="auto"/>
        <w:jc w:val="both"/>
        <w:rPr>
          <w:rFonts w:ascii="Book Antiqua" w:hAnsi="Book Antiqua"/>
          <w:color w:themeColor="tx1" w:themeShade="FF"/>
          <w:sz w:val="22"/>
          <w:szCs w:val="22"/>
          <w:lang w:eastAsia="en-US"/>
        </w:rPr>
      </w:pPr>
      <w:r w:rsidRPr="00904FE2">
        <w:rPr>
          <w:rFonts w:ascii="Book Antiqua" w:hAnsi="Book Antiqua"/>
          <w:color w:themeColor="tx1" w:themeShade="FF"/>
          <w:sz w:val="22"/>
          <w:szCs w:val="22"/>
          <w:lang w:eastAsia="en-US"/>
        </w:rPr>
        <w:t>V § 41 ods. 1 písm. b) sa za slová: „osobného postavenia“ vkladajú slová: „a pôvodu na území Slovenskej republiky“.</w:t>
      </w:r>
    </w:p>
    <w:p w:rsidR="00F36282" w:rsidRPr="00904FE2" w:rsidP="00300633">
      <w:pPr>
        <w:pStyle w:val="Default"/>
        <w:numPr>
          <w:numId w:val="5"/>
        </w:numPr>
        <w:bidi w:val="0"/>
        <w:spacing w:after="200" w:line="276" w:lineRule="auto"/>
        <w:jc w:val="both"/>
        <w:rPr>
          <w:rFonts w:ascii="Book Antiqua" w:hAnsi="Book Antiqua"/>
          <w:color w:themeColor="tx1" w:themeShade="FF"/>
          <w:sz w:val="22"/>
          <w:szCs w:val="22"/>
          <w:lang w:eastAsia="en-US"/>
        </w:rPr>
      </w:pPr>
      <w:r w:rsidRPr="00904FE2">
        <w:rPr>
          <w:rFonts w:ascii="Book Antiqua" w:hAnsi="Book Antiqua"/>
          <w:color w:themeColor="tx1" w:themeShade="FF"/>
          <w:sz w:val="22"/>
          <w:szCs w:val="22"/>
          <w:lang w:eastAsia="en-US"/>
        </w:rPr>
        <w:t xml:space="preserve">V § 42 ods. 2 sa vkladá nové písmeno e), ktoré znie: „ak ide o obstaranie tovaru uvedením </w:t>
        <w:br/>
        <w:t>či požaduje, aby bol tovar alebo jeho časť slovenským výrobkom.“</w:t>
      </w:r>
      <w:r w:rsidRPr="00904FE2" w:rsidR="00361BB3">
        <w:rPr>
          <w:rFonts w:ascii="Book Antiqua" w:hAnsi="Book Antiqua"/>
          <w:color w:themeColor="tx1" w:themeShade="FF"/>
          <w:sz w:val="22"/>
          <w:szCs w:val="22"/>
          <w:lang w:eastAsia="en-US"/>
        </w:rPr>
        <w:t>.</w:t>
      </w:r>
    </w:p>
    <w:p w:rsidR="00ED7B5A" w:rsidRPr="00626E0E" w:rsidP="00ED7B5A">
      <w:pPr>
        <w:pStyle w:val="Default"/>
        <w:numPr>
          <w:numId w:val="5"/>
        </w:numPr>
        <w:bidi w:val="0"/>
        <w:spacing w:after="200" w:line="276" w:lineRule="auto"/>
        <w:jc w:val="both"/>
        <w:rPr>
          <w:rFonts w:ascii="Book Antiqua" w:hAnsi="Book Antiqua"/>
          <w:color w:themeColor="tx1" w:themeShade="FF"/>
          <w:sz w:val="22"/>
          <w:szCs w:val="22"/>
          <w:lang w:eastAsia="en-US"/>
        </w:rPr>
      </w:pPr>
      <w:r w:rsidRPr="00626E0E">
        <w:rPr>
          <w:rFonts w:ascii="Book Antiqua" w:hAnsi="Book Antiqua"/>
          <w:color w:themeColor="tx1" w:themeShade="FF"/>
          <w:sz w:val="22"/>
          <w:szCs w:val="22"/>
          <w:lang w:eastAsia="en-US"/>
        </w:rPr>
        <w:t xml:space="preserve">V § 42 ods. 2 sa vkladá nové písmeno f), ktoré znie: „ak ide o obstaranie poľnohospodárskeho produktu alebo potraviny uvedením či požaduje, aby bol poľnohospodársky produkt </w:t>
        <w:br/>
        <w:t xml:space="preserve">alebo potravina alebo ich časť slovenským výrobkom vyrobeným v konkrétnom okrese </w:t>
      </w:r>
      <w:r w:rsidRPr="00626E0E" w:rsidR="009137C2">
        <w:rPr>
          <w:rFonts w:ascii="Book Antiqua" w:hAnsi="Book Antiqua"/>
          <w:color w:themeColor="tx1" w:themeShade="FF"/>
          <w:sz w:val="22"/>
          <w:szCs w:val="22"/>
          <w:lang w:eastAsia="en-US"/>
        </w:rPr>
        <w:br/>
      </w:r>
      <w:r w:rsidRPr="00626E0E">
        <w:rPr>
          <w:rFonts w:ascii="Book Antiqua" w:hAnsi="Book Antiqua"/>
          <w:color w:themeColor="tx1" w:themeShade="FF"/>
          <w:sz w:val="22"/>
          <w:szCs w:val="22"/>
          <w:lang w:eastAsia="en-US"/>
        </w:rPr>
        <w:t>alebo kraji Slovenskej republiky.“.</w:t>
      </w:r>
    </w:p>
    <w:p w:rsidR="000156BB" w:rsidRPr="00626E0E" w:rsidP="00300633">
      <w:pPr>
        <w:pStyle w:val="Default"/>
        <w:numPr>
          <w:numId w:val="5"/>
        </w:numPr>
        <w:bidi w:val="0"/>
        <w:spacing w:after="200" w:line="276" w:lineRule="auto"/>
        <w:jc w:val="both"/>
        <w:rPr>
          <w:rFonts w:ascii="Book Antiqua" w:hAnsi="Book Antiqua"/>
          <w:color w:themeColor="tx1" w:themeShade="FF"/>
          <w:sz w:val="22"/>
          <w:szCs w:val="22"/>
          <w:lang w:eastAsia="en-US"/>
        </w:rPr>
      </w:pPr>
      <w:r w:rsidRPr="00626E0E">
        <w:rPr>
          <w:rFonts w:ascii="Book Antiqua" w:hAnsi="Book Antiqua"/>
          <w:color w:themeColor="tx1" w:themeShade="FF"/>
          <w:sz w:val="22"/>
          <w:szCs w:val="22"/>
          <w:lang w:eastAsia="en-US"/>
        </w:rPr>
        <w:t xml:space="preserve">V § 42 ods. 3 </w:t>
      </w:r>
      <w:r w:rsidRPr="00626E0E" w:rsidR="00417D11">
        <w:rPr>
          <w:rFonts w:ascii="Book Antiqua" w:hAnsi="Book Antiqua"/>
          <w:color w:themeColor="tx1" w:themeShade="FF"/>
          <w:sz w:val="22"/>
          <w:szCs w:val="22"/>
          <w:lang w:eastAsia="en-US"/>
        </w:rPr>
        <w:t>prvá veta znie</w:t>
      </w:r>
      <w:r w:rsidRPr="00626E0E">
        <w:rPr>
          <w:rFonts w:ascii="Book Antiqua" w:hAnsi="Book Antiqua"/>
          <w:color w:themeColor="tx1" w:themeShade="FF"/>
          <w:sz w:val="22"/>
          <w:szCs w:val="22"/>
          <w:lang w:eastAsia="en-US"/>
        </w:rPr>
        <w:t xml:space="preserve">: </w:t>
      </w:r>
      <w:r w:rsidRPr="00626E0E" w:rsidR="00417D11">
        <w:rPr>
          <w:rFonts w:ascii="Book Antiqua" w:hAnsi="Book Antiqua"/>
          <w:color w:themeColor="tx1" w:themeShade="FF"/>
          <w:sz w:val="22"/>
          <w:szCs w:val="22"/>
          <w:lang w:eastAsia="en-US"/>
        </w:rPr>
        <w:t xml:space="preserve">„Technické požiadavky sa nesmú odvolávať na konkrétneho výrobcu, výrobný postup, obchodné označenie, patent, typ, oblasť alebo miesto pôvodu </w:t>
        <w:br/>
        <w:t>alebo výroby</w:t>
      </w:r>
      <w:r w:rsidR="00A245E1">
        <w:rPr>
          <w:rFonts w:ascii="Book Antiqua" w:hAnsi="Book Antiqua"/>
          <w:color w:themeColor="tx1" w:themeShade="FF"/>
          <w:sz w:val="22"/>
          <w:szCs w:val="22"/>
          <w:lang w:eastAsia="en-US"/>
        </w:rPr>
        <w:t xml:space="preserve"> pri tovaroch</w:t>
      </w:r>
      <w:r w:rsidRPr="00626E0E" w:rsidR="009137C2">
        <w:rPr>
          <w:rFonts w:ascii="Book Antiqua" w:hAnsi="Book Antiqua"/>
          <w:color w:themeColor="tx1" w:themeShade="FF"/>
          <w:sz w:val="22"/>
          <w:szCs w:val="22"/>
          <w:lang w:eastAsia="en-US"/>
        </w:rPr>
        <w:t xml:space="preserve"> s</w:t>
      </w:r>
      <w:r w:rsidR="00A245E1">
        <w:rPr>
          <w:rFonts w:ascii="Book Antiqua" w:hAnsi="Book Antiqua"/>
          <w:color w:themeColor="tx1" w:themeShade="FF"/>
          <w:sz w:val="22"/>
          <w:szCs w:val="22"/>
          <w:lang w:eastAsia="en-US"/>
        </w:rPr>
        <w:t> výnimkou Slovenskej republiky a</w:t>
      </w:r>
      <w:r w:rsidR="00806CCD">
        <w:rPr>
          <w:rFonts w:ascii="Book Antiqua" w:hAnsi="Book Antiqua"/>
          <w:color w:themeColor="tx1" w:themeShade="FF"/>
          <w:sz w:val="22"/>
          <w:szCs w:val="22"/>
          <w:lang w:eastAsia="en-US"/>
        </w:rPr>
        <w:t xml:space="preserve"> </w:t>
      </w:r>
      <w:r w:rsidR="00A245E1">
        <w:rPr>
          <w:rFonts w:ascii="Book Antiqua" w:hAnsi="Book Antiqua"/>
          <w:color w:themeColor="tx1" w:themeShade="FF"/>
          <w:sz w:val="22"/>
          <w:szCs w:val="22"/>
          <w:lang w:eastAsia="en-US"/>
        </w:rPr>
        <w:t xml:space="preserve">pri poľnohospodárskych produktoch a potravinách s výnimkou Slovenskej republiky, </w:t>
      </w:r>
      <w:r w:rsidRPr="00626E0E" w:rsidR="00F47159">
        <w:rPr>
          <w:rFonts w:ascii="Book Antiqua" w:hAnsi="Book Antiqua"/>
          <w:color w:themeColor="tx1" w:themeShade="FF"/>
          <w:sz w:val="22"/>
          <w:szCs w:val="22"/>
          <w:lang w:eastAsia="en-US"/>
        </w:rPr>
        <w:t xml:space="preserve">kraja alebo </w:t>
      </w:r>
      <w:r w:rsidRPr="00626E0E" w:rsidR="009137C2">
        <w:rPr>
          <w:rFonts w:ascii="Book Antiqua" w:hAnsi="Book Antiqua"/>
          <w:color w:themeColor="tx1" w:themeShade="FF"/>
          <w:sz w:val="22"/>
          <w:szCs w:val="22"/>
          <w:lang w:eastAsia="en-US"/>
        </w:rPr>
        <w:t>okresu v Slovenskej republike</w:t>
      </w:r>
      <w:r w:rsidRPr="00626E0E" w:rsidR="00417D11">
        <w:rPr>
          <w:rFonts w:ascii="Book Antiqua" w:hAnsi="Book Antiqua"/>
          <w:color w:themeColor="tx1" w:themeShade="FF"/>
          <w:sz w:val="22"/>
          <w:szCs w:val="22"/>
          <w:lang w:eastAsia="en-US"/>
        </w:rPr>
        <w:t>, ak by tým dochádzalo k znevýhodneniu alebo k vylúčeniu určitých záujemcov alebo tovarov, ak si to nevyžaduje predmet zákazky.</w:t>
      </w:r>
      <w:r w:rsidRPr="00626E0E">
        <w:rPr>
          <w:rFonts w:ascii="Book Antiqua" w:hAnsi="Book Antiqua"/>
          <w:color w:themeColor="tx1" w:themeShade="FF"/>
          <w:sz w:val="22"/>
          <w:szCs w:val="22"/>
          <w:lang w:eastAsia="en-US"/>
        </w:rPr>
        <w:t>“.</w:t>
      </w:r>
    </w:p>
    <w:p w:rsidR="000136AE" w:rsidRPr="00626E0E" w:rsidP="00626E0E">
      <w:pPr>
        <w:pStyle w:val="Default"/>
        <w:numPr>
          <w:numId w:val="5"/>
        </w:numPr>
        <w:bidi w:val="0"/>
        <w:spacing w:after="200" w:line="276" w:lineRule="auto"/>
        <w:jc w:val="both"/>
        <w:rPr>
          <w:rFonts w:ascii="Book Antiqua" w:hAnsi="Book Antiqua"/>
          <w:color w:themeColor="tx1" w:themeShade="FF"/>
          <w:lang w:eastAsia="en-US"/>
        </w:rPr>
      </w:pPr>
      <w:r w:rsidRPr="00904FE2">
        <w:rPr>
          <w:rFonts w:ascii="Book Antiqua" w:hAnsi="Book Antiqua"/>
          <w:color w:themeColor="tx1" w:themeShade="FF"/>
          <w:sz w:val="22"/>
          <w:szCs w:val="22"/>
          <w:lang w:eastAsia="en-US"/>
        </w:rPr>
        <w:t xml:space="preserve">V § 44 ods. 4 znie: „Najlepší pomer ceny a kvality sa posúdi na základe ceny alebo nákladov </w:t>
        <w:br/>
        <w:t>a ďalších kritérií, ktoré zahŕňajú pôvod uchádzača alebo záujemcu na území Slovenskej republiky, ak ide o obstaranie tovaru skutočnosť či ide o slovenský výrobok,</w:t>
      </w:r>
      <w:r w:rsidR="00626E0E">
        <w:rPr>
          <w:rFonts w:ascii="Book Antiqua" w:hAnsi="Book Antiqua"/>
          <w:color w:themeColor="tx1" w:themeShade="FF"/>
          <w:sz w:val="22"/>
          <w:szCs w:val="22"/>
          <w:lang w:eastAsia="en-US"/>
        </w:rPr>
        <w:t xml:space="preserve"> </w:t>
        <w:br/>
        <w:t xml:space="preserve">ak ide o obstaranie </w:t>
      </w:r>
      <w:r w:rsidRPr="00626E0E" w:rsidR="00626E0E">
        <w:rPr>
          <w:rFonts w:ascii="Book Antiqua" w:hAnsi="Book Antiqua"/>
          <w:color w:themeColor="tx1" w:themeShade="FF"/>
          <w:sz w:val="22"/>
          <w:szCs w:val="22"/>
          <w:lang w:eastAsia="en-US"/>
        </w:rPr>
        <w:t>poľnohospodárskeho produktu alebo potraviny</w:t>
      </w:r>
      <w:r w:rsidR="00626E0E">
        <w:rPr>
          <w:rFonts w:ascii="Book Antiqua" w:hAnsi="Book Antiqua"/>
          <w:color w:themeColor="tx1" w:themeShade="FF"/>
          <w:sz w:val="22"/>
          <w:szCs w:val="22"/>
          <w:lang w:eastAsia="en-US"/>
        </w:rPr>
        <w:t xml:space="preserve"> skutočnosť </w:t>
      </w:r>
      <w:r w:rsidRPr="00626E0E" w:rsidR="00626E0E">
        <w:rPr>
          <w:rFonts w:ascii="Book Antiqua" w:hAnsi="Book Antiqua"/>
          <w:color w:themeColor="tx1" w:themeShade="FF"/>
          <w:sz w:val="22"/>
          <w:szCs w:val="22"/>
          <w:lang w:eastAsia="en-US"/>
        </w:rPr>
        <w:t>či ide o slovenský výrobok</w:t>
      </w:r>
      <w:r w:rsidRPr="00626E0E" w:rsidR="00626E0E">
        <w:rPr>
          <w:rFonts w:ascii="Book Antiqua" w:hAnsi="Book Antiqua" w:cs="Times New Roman"/>
          <w:color w:themeColor="tx1" w:themeShade="FF"/>
          <w:kern w:val="0"/>
          <w:sz w:val="22"/>
          <w:szCs w:val="22"/>
          <w:lang w:eastAsia="en-US" w:bidi="ar-SA"/>
        </w:rPr>
        <w:t xml:space="preserve"> </w:t>
      </w:r>
      <w:r w:rsidR="00626E0E">
        <w:rPr>
          <w:rFonts w:ascii="Book Antiqua" w:hAnsi="Book Antiqua"/>
          <w:color w:themeColor="tx1" w:themeShade="FF"/>
          <w:sz w:val="22"/>
          <w:szCs w:val="22"/>
          <w:lang w:eastAsia="en-US"/>
        </w:rPr>
        <w:t>vyrobený</w:t>
      </w:r>
      <w:r w:rsidRPr="00626E0E" w:rsidR="00626E0E">
        <w:rPr>
          <w:rFonts w:ascii="Book Antiqua" w:hAnsi="Book Antiqua"/>
          <w:color w:themeColor="tx1" w:themeShade="FF"/>
          <w:sz w:val="22"/>
          <w:szCs w:val="22"/>
          <w:lang w:eastAsia="en-US"/>
        </w:rPr>
        <w:t xml:space="preserve"> v konkrétnom okrese alebo kraji Slovenskej republiky</w:t>
      </w:r>
      <w:r w:rsidR="00626E0E">
        <w:rPr>
          <w:rFonts w:ascii="Book Antiqua" w:hAnsi="Book Antiqua"/>
          <w:color w:themeColor="tx1" w:themeShade="FF"/>
          <w:lang w:eastAsia="en-US"/>
        </w:rPr>
        <w:t>,</w:t>
      </w:r>
      <w:r w:rsidRPr="00626E0E">
        <w:rPr>
          <w:rFonts w:ascii="Book Antiqua" w:hAnsi="Book Antiqua"/>
          <w:color w:themeColor="tx1" w:themeShade="FF"/>
          <w:sz w:val="22"/>
          <w:szCs w:val="22"/>
          <w:lang w:eastAsia="en-US"/>
        </w:rPr>
        <w:t xml:space="preserve"> kvalitatívne, environmentálne alebo sociálne hľadiská súvisiace s predmetom zákazky </w:t>
      </w:r>
      <w:r w:rsidR="00626E0E">
        <w:rPr>
          <w:rFonts w:ascii="Book Antiqua" w:hAnsi="Book Antiqua"/>
          <w:color w:themeColor="tx1" w:themeShade="FF"/>
          <w:sz w:val="22"/>
          <w:szCs w:val="22"/>
          <w:lang w:eastAsia="en-US"/>
        </w:rPr>
        <w:br/>
      </w:r>
      <w:r w:rsidRPr="00626E0E">
        <w:rPr>
          <w:rFonts w:ascii="Book Antiqua" w:hAnsi="Book Antiqua"/>
          <w:color w:themeColor="tx1" w:themeShade="FF"/>
          <w:sz w:val="22"/>
          <w:szCs w:val="22"/>
          <w:lang w:eastAsia="en-US"/>
        </w:rPr>
        <w:t>a ktorými sú najmä kvalita vrátane technického prínosu, estetické a funkčné vlastnosti, prístupnosť, riešenia vhodné pre všetkých používateľov, sociálne, environmentálne a inovačné charakteristické znaky, obchodovanie a jeho podmienky, organizácia, kvalifikácia a skúsenosti zamestnancov určených na plnenie zmluvy alebo koncesnej zmluvy, ak kvalita týchto zamestnancov môže mať významný vplyv na úroveň plnenia, záručný servis, pozáručný servis, technická pomoc, dodacie podmienky, ako je dátum dodania, spôsob dodania, lehota dodania alebo termín ukončenia, ak ide o zákazku v oblasti obrany a bezpečnosti aj bezpečnosť dodávky, interoperabilita a prevádzkové charakteristiky.“</w:t>
      </w:r>
      <w:r w:rsidRPr="00626E0E" w:rsidR="00361BB3">
        <w:rPr>
          <w:rFonts w:ascii="Book Antiqua" w:hAnsi="Book Antiqua"/>
          <w:color w:themeColor="tx1" w:themeShade="FF"/>
          <w:sz w:val="22"/>
          <w:szCs w:val="22"/>
          <w:lang w:eastAsia="en-US"/>
        </w:rPr>
        <w:t>.</w:t>
      </w:r>
      <w:r w:rsidRPr="00626E0E">
        <w:rPr>
          <w:rFonts w:ascii="Book Antiqua" w:hAnsi="Book Antiqua"/>
          <w:color w:themeColor="tx1" w:themeShade="FF"/>
          <w:lang w:eastAsia="en-US"/>
        </w:rPr>
        <w:t xml:space="preserve"> </w:t>
      </w:r>
    </w:p>
    <w:p w:rsidR="000136AE" w:rsidP="00300633">
      <w:pPr>
        <w:pStyle w:val="Default"/>
        <w:numPr>
          <w:numId w:val="5"/>
        </w:numPr>
        <w:bidi w:val="0"/>
        <w:spacing w:after="200" w:line="276" w:lineRule="auto"/>
        <w:jc w:val="both"/>
        <w:rPr>
          <w:rFonts w:ascii="Book Antiqua" w:hAnsi="Book Antiqua"/>
          <w:color w:themeColor="tx1" w:themeShade="FF"/>
          <w:sz w:val="22"/>
          <w:szCs w:val="22"/>
          <w:lang w:eastAsia="en-US"/>
        </w:rPr>
      </w:pPr>
      <w:r w:rsidRPr="00904FE2" w:rsidR="00361BB3">
        <w:rPr>
          <w:rFonts w:ascii="Book Antiqua" w:hAnsi="Book Antiqua"/>
          <w:color w:themeColor="tx1" w:themeShade="FF"/>
          <w:sz w:val="22"/>
          <w:szCs w:val="22"/>
          <w:lang w:eastAsia="en-US"/>
        </w:rPr>
        <w:t>V § 108 ods. 2 sa na konci pripája táto veta: „Verejný obstarávateľ alebo obstarávateľ tiež</w:t>
      </w:r>
      <w:r w:rsidRPr="00904FE2" w:rsidR="00361BB3">
        <w:rPr>
          <w:rFonts w:ascii="Calibri" w:hAnsi="Calibri" w:cs="Times New Roman"/>
          <w:color w:themeColor="tx1" w:themeShade="FF"/>
          <w:kern w:val="0"/>
          <w:sz w:val="22"/>
          <w:szCs w:val="22"/>
          <w:lang w:bidi="ar-SA"/>
        </w:rPr>
        <w:t xml:space="preserve"> </w:t>
      </w:r>
      <w:r w:rsidRPr="00904FE2" w:rsidR="00361BB3">
        <w:rPr>
          <w:rFonts w:ascii="Book Antiqua" w:hAnsi="Book Antiqua"/>
          <w:color w:themeColor="tx1" w:themeShade="FF"/>
          <w:sz w:val="22"/>
          <w:szCs w:val="22"/>
          <w:lang w:eastAsia="en-US"/>
        </w:rPr>
        <w:t>môže vyhradiť právo účasti vo verejnom obstarávaní len pre uchádzačov alebo záujemcov s pôvodom na území Slovenskej republiky.“.</w:t>
      </w:r>
    </w:p>
    <w:p w:rsidR="00122BC9" w:rsidP="00122BC9">
      <w:pPr>
        <w:pStyle w:val="Default"/>
        <w:numPr>
          <w:numId w:val="5"/>
        </w:numPr>
        <w:bidi w:val="0"/>
        <w:spacing w:after="200" w:line="276" w:lineRule="auto"/>
        <w:jc w:val="both"/>
        <w:rPr>
          <w:rFonts w:ascii="Book Antiqua" w:hAnsi="Book Antiqua"/>
          <w:color w:themeColor="tx1" w:themeShade="FF"/>
          <w:sz w:val="22"/>
          <w:szCs w:val="22"/>
          <w:lang w:eastAsia="en-US"/>
        </w:rPr>
      </w:pPr>
      <w:r>
        <w:rPr>
          <w:rFonts w:ascii="Book Antiqua" w:hAnsi="Book Antiqua"/>
          <w:color w:themeColor="tx1" w:themeShade="FF"/>
          <w:sz w:val="22"/>
          <w:szCs w:val="22"/>
          <w:lang w:eastAsia="en-US"/>
        </w:rPr>
        <w:t>Za § 187b sa vkladá § 187c</w:t>
      </w:r>
      <w:r w:rsidRPr="00904FE2">
        <w:rPr>
          <w:rFonts w:ascii="Book Antiqua" w:hAnsi="Book Antiqua"/>
          <w:color w:themeColor="tx1" w:themeShade="FF"/>
          <w:sz w:val="22"/>
          <w:szCs w:val="22"/>
          <w:lang w:eastAsia="en-US"/>
        </w:rPr>
        <w:t xml:space="preserve">, ktorý vrátanie nadpisu znie: </w:t>
      </w:r>
    </w:p>
    <w:p w:rsidR="00122BC9" w:rsidRPr="00F47159" w:rsidP="00122BC9">
      <w:pPr>
        <w:pStyle w:val="Default"/>
        <w:bidi w:val="0"/>
        <w:spacing w:after="200" w:line="276" w:lineRule="auto"/>
        <w:ind w:left="360"/>
        <w:jc w:val="both"/>
        <w:rPr>
          <w:rFonts w:ascii="Book Antiqua" w:hAnsi="Book Antiqua"/>
          <w:color w:themeColor="tx1" w:themeShade="FF"/>
          <w:sz w:val="22"/>
          <w:szCs w:val="22"/>
          <w:lang w:eastAsia="en-US"/>
        </w:rPr>
      </w:pPr>
      <w:r w:rsidRPr="00F47159">
        <w:rPr>
          <w:rFonts w:ascii="Book Antiqua" w:hAnsi="Book Antiqua"/>
          <w:color w:themeColor="tx1" w:themeShade="FF"/>
          <w:sz w:val="22"/>
          <w:szCs w:val="22"/>
          <w:lang w:eastAsia="en-US"/>
        </w:rPr>
        <w:t>„</w:t>
      </w:r>
      <w:r w:rsidRPr="00F47159">
        <w:rPr>
          <w:rFonts w:ascii="Book Antiqua" w:hAnsi="Book Antiqua"/>
          <w:b/>
          <w:color w:themeColor="tx1" w:themeShade="FF"/>
          <w:sz w:val="22"/>
          <w:szCs w:val="22"/>
          <w:lang w:eastAsia="en-US"/>
        </w:rPr>
        <w:t>Prechodné ustanovenia k úpravám účinným od 1. januára 2018</w:t>
      </w:r>
    </w:p>
    <w:p w:rsidR="00122BC9" w:rsidRPr="00904FE2" w:rsidP="00122BC9">
      <w:pPr>
        <w:pStyle w:val="Default"/>
        <w:bidi w:val="0"/>
        <w:spacing w:after="200" w:line="276" w:lineRule="auto"/>
        <w:ind w:left="360"/>
        <w:jc w:val="both"/>
        <w:rPr>
          <w:rFonts w:ascii="Book Antiqua" w:hAnsi="Book Antiqua"/>
          <w:color w:themeColor="tx1" w:themeShade="FF"/>
          <w:sz w:val="22"/>
          <w:szCs w:val="22"/>
          <w:lang w:eastAsia="en-US"/>
        </w:rPr>
      </w:pPr>
      <w:r>
        <w:rPr>
          <w:rFonts w:ascii="Book Antiqua" w:hAnsi="Book Antiqua"/>
          <w:color w:themeColor="tx1" w:themeShade="FF"/>
          <w:sz w:val="22"/>
          <w:szCs w:val="22"/>
          <w:lang w:eastAsia="en-US"/>
        </w:rPr>
        <w:t>Vo verejnom obstarávaní začatom pred 1. januárom 2018 sa postupuje podľa predpisov účinných do 31. decembra 2017.“</w:t>
      </w:r>
      <w:r w:rsidR="008B0BAD">
        <w:rPr>
          <w:rFonts w:ascii="Book Antiqua" w:hAnsi="Book Antiqua"/>
          <w:color w:themeColor="tx1" w:themeShade="FF"/>
          <w:sz w:val="22"/>
          <w:szCs w:val="22"/>
          <w:lang w:eastAsia="en-US"/>
        </w:rPr>
        <w:t>.</w:t>
      </w:r>
    </w:p>
    <w:p w:rsidR="00C5238B" w:rsidRPr="00904FE2" w:rsidP="00C5238B">
      <w:pPr>
        <w:pStyle w:val="Default"/>
        <w:bidi w:val="0"/>
        <w:jc w:val="center"/>
        <w:rPr>
          <w:rFonts w:ascii="Book Antiqua" w:hAnsi="Book Antiqua" w:cs="Times New Roman"/>
          <w:b/>
          <w:color w:themeColor="tx1" w:themeShade="FF"/>
          <w:sz w:val="22"/>
          <w:szCs w:val="22"/>
          <w:lang w:bidi="ar-SA"/>
        </w:rPr>
      </w:pPr>
    </w:p>
    <w:p w:rsidR="00C5238B" w:rsidRPr="00904FE2" w:rsidP="00C5238B">
      <w:pPr>
        <w:pStyle w:val="Default"/>
        <w:bidi w:val="0"/>
        <w:jc w:val="center"/>
        <w:rPr>
          <w:rFonts w:ascii="Book Antiqua" w:hAnsi="Book Antiqua" w:cs="Times New Roman"/>
          <w:b/>
          <w:color w:themeColor="tx1" w:themeShade="FF"/>
          <w:sz w:val="22"/>
          <w:szCs w:val="22"/>
          <w:lang w:bidi="ar-SA"/>
        </w:rPr>
      </w:pPr>
      <w:r w:rsidRPr="00904FE2">
        <w:rPr>
          <w:rFonts w:ascii="Book Antiqua" w:hAnsi="Book Antiqua" w:cs="Times New Roman"/>
          <w:b/>
          <w:color w:themeColor="tx1" w:themeShade="FF"/>
          <w:sz w:val="22"/>
          <w:szCs w:val="22"/>
          <w:lang w:bidi="ar-SA"/>
        </w:rPr>
        <w:t>Čl. II</w:t>
      </w:r>
    </w:p>
    <w:p w:rsidR="006974DD" w:rsidRPr="00904FE2" w:rsidP="00C5238B">
      <w:pPr>
        <w:pStyle w:val="Default"/>
        <w:bidi w:val="0"/>
        <w:jc w:val="center"/>
        <w:rPr>
          <w:rFonts w:ascii="Book Antiqua" w:hAnsi="Book Antiqua" w:cs="Times New Roman"/>
          <w:b/>
          <w:color w:themeColor="tx1" w:themeShade="FF"/>
          <w:sz w:val="22"/>
          <w:szCs w:val="22"/>
          <w:lang w:bidi="ar-SA"/>
        </w:rPr>
      </w:pPr>
    </w:p>
    <w:p w:rsidR="00C5238B" w:rsidRPr="00904FE2" w:rsidP="00F14804">
      <w:pPr>
        <w:pStyle w:val="Default"/>
        <w:bidi w:val="0"/>
        <w:jc w:val="both"/>
        <w:rPr>
          <w:rFonts w:ascii="Book Antiqua" w:hAnsi="Book Antiqua" w:cs="Book Antiqua"/>
          <w:color w:themeColor="tx1" w:themeShade="FF"/>
          <w:sz w:val="22"/>
        </w:rPr>
      </w:pPr>
      <w:r w:rsidRPr="00904FE2">
        <w:rPr>
          <w:rFonts w:ascii="Book Antiqua" w:hAnsi="Book Antiqua" w:cs="Times New Roman"/>
          <w:color w:themeColor="tx1" w:themeShade="FF"/>
          <w:sz w:val="22"/>
          <w:szCs w:val="22"/>
          <w:lang w:bidi="ar-SA"/>
        </w:rPr>
        <w:t>Tento</w:t>
      </w:r>
      <w:r w:rsidRPr="00904FE2" w:rsidR="00914DA3">
        <w:rPr>
          <w:rFonts w:ascii="Book Antiqua" w:hAnsi="Book Antiqua" w:cs="Times New Roman"/>
          <w:color w:themeColor="tx1" w:themeShade="FF"/>
          <w:sz w:val="22"/>
          <w:szCs w:val="22"/>
          <w:lang w:bidi="ar-SA"/>
        </w:rPr>
        <w:t xml:space="preserve"> </w:t>
      </w:r>
      <w:r w:rsidRPr="00904FE2">
        <w:rPr>
          <w:rFonts w:ascii="Book Antiqua" w:hAnsi="Book Antiqua" w:cs="Times New Roman"/>
          <w:color w:themeColor="tx1" w:themeShade="FF"/>
          <w:sz w:val="22"/>
          <w:szCs w:val="22"/>
          <w:lang w:bidi="ar-SA"/>
        </w:rPr>
        <w:t xml:space="preserve">zákon nadobúda účinnosť </w:t>
      </w:r>
      <w:r w:rsidR="00D809D0">
        <w:rPr>
          <w:rFonts w:ascii="Book Antiqua" w:hAnsi="Book Antiqua"/>
          <w:color w:themeColor="tx1" w:themeShade="FF"/>
          <w:sz w:val="22"/>
        </w:rPr>
        <w:t>1. januára 2018</w:t>
      </w:r>
      <w:r w:rsidRPr="00904FE2" w:rsidR="00F14804">
        <w:rPr>
          <w:rFonts w:ascii="Book Antiqua" w:hAnsi="Book Antiqua"/>
          <w:color w:themeColor="tx1" w:themeShade="FF"/>
          <w:sz w:val="22"/>
        </w:rPr>
        <w:t>.</w:t>
      </w:r>
    </w:p>
    <w:sectPr w:rsidSect="00F14804">
      <w:pgSz w:w="11906" w:h="16838"/>
      <w:pgMar w:top="1134" w:right="1134" w:bottom="1134" w:left="1134"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Book Antiqua">
    <w:altName w:val="Book Antiqua"/>
    <w:panose1 w:val="00000000000000000000"/>
    <w:charset w:val="EE"/>
    <w:family w:val="roman"/>
    <w:pitch w:val="variable"/>
    <w:sig w:usb0="00000000" w:usb1="00000000" w:usb2="00000000" w:usb3="00000000" w:csb0="0000009F" w:csb1="00000000"/>
  </w:font>
  <w:font w:name="Liberation Serif">
    <w:altName w:val="Times New Roman"/>
    <w:panose1 w:val="00000000000000000000"/>
    <w:charset w:val="EE"/>
    <w:family w:val="roman"/>
    <w:pitch w:val="variable"/>
    <w:sig w:usb0="00000000" w:usb1="00000000" w:usb2="00000000" w:usb3="00000000" w:csb0="00000002" w:csb1="00000000"/>
  </w:font>
  <w:font w:name="Calibri Light">
    <w:panose1 w:val="020F03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86" w:hanging="360"/>
      </w:pPr>
      <w:rPr>
        <w:rFonts w:ascii="Book Antiqua" w:hAnsi="Book Antiqua" w:cs="Times New Roman" w:hint="default"/>
        <w:sz w:val="22"/>
        <w:szCs w:val="22"/>
        <w:rtl w:val="0"/>
        <w:cs w:val="0"/>
      </w:rPr>
    </w:lvl>
  </w:abstractNum>
  <w:abstractNum w:abstractNumId="1">
    <w:nsid w:val="0733660D"/>
    <w:multiLevelType w:val="hybridMultilevel"/>
    <w:tmpl w:val="EBAA69B8"/>
    <w:lvl w:ilvl="0">
      <w:start w:val="1"/>
      <w:numFmt w:val="lowerLetter"/>
      <w:lvlText w:val="%1)"/>
      <w:lvlJc w:val="left"/>
      <w:pPr>
        <w:ind w:left="360" w:hanging="360"/>
      </w:pPr>
      <w:rPr>
        <w:rFonts w:ascii="Book Antiqua" w:hAnsi="Book Antiqua" w:cs="Arial"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473C0834"/>
    <w:multiLevelType w:val="hybridMultilevel"/>
    <w:tmpl w:val="9F1CA23C"/>
    <w:lvl w:ilvl="0">
      <w:start w:val="1"/>
      <w:numFmt w:val="upperRoman"/>
      <w:lvlText w:val="%1."/>
      <w:lvlJc w:val="left"/>
      <w:pPr>
        <w:ind w:left="1620" w:hanging="720"/>
      </w:pPr>
      <w:rPr>
        <w:rFonts w:cs="Times New Roman" w:hint="default"/>
        <w:rtl w:val="0"/>
        <w:cs w:val="0"/>
      </w:rPr>
    </w:lvl>
    <w:lvl w:ilvl="1">
      <w:start w:val="1"/>
      <w:numFmt w:val="lowerLetter"/>
      <w:lvlText w:val="%2."/>
      <w:lvlJc w:val="left"/>
      <w:pPr>
        <w:ind w:left="1980" w:hanging="360"/>
      </w:pPr>
      <w:rPr>
        <w:rFonts w:cs="Times New Roman"/>
        <w:rtl w:val="0"/>
        <w:cs w:val="0"/>
      </w:rPr>
    </w:lvl>
    <w:lvl w:ilvl="2">
      <w:start w:val="1"/>
      <w:numFmt w:val="lowerRoman"/>
      <w:lvlText w:val="%3."/>
      <w:lvlJc w:val="right"/>
      <w:pPr>
        <w:ind w:left="2700" w:hanging="180"/>
      </w:pPr>
      <w:rPr>
        <w:rFonts w:cs="Times New Roman"/>
        <w:rtl w:val="0"/>
        <w:cs w:val="0"/>
      </w:rPr>
    </w:lvl>
    <w:lvl w:ilvl="3">
      <w:start w:val="1"/>
      <w:numFmt w:val="decimal"/>
      <w:lvlText w:val="%4."/>
      <w:lvlJc w:val="left"/>
      <w:pPr>
        <w:ind w:left="3420" w:hanging="360"/>
      </w:pPr>
      <w:rPr>
        <w:rFonts w:cs="Times New Roman"/>
        <w:rtl w:val="0"/>
        <w:cs w:val="0"/>
      </w:rPr>
    </w:lvl>
    <w:lvl w:ilvl="4">
      <w:start w:val="1"/>
      <w:numFmt w:val="lowerLetter"/>
      <w:lvlText w:val="%5."/>
      <w:lvlJc w:val="left"/>
      <w:pPr>
        <w:ind w:left="4140" w:hanging="360"/>
      </w:pPr>
      <w:rPr>
        <w:rFonts w:cs="Times New Roman"/>
        <w:rtl w:val="0"/>
        <w:cs w:val="0"/>
      </w:rPr>
    </w:lvl>
    <w:lvl w:ilvl="5">
      <w:start w:val="1"/>
      <w:numFmt w:val="lowerRoman"/>
      <w:lvlText w:val="%6."/>
      <w:lvlJc w:val="right"/>
      <w:pPr>
        <w:ind w:left="4860" w:hanging="180"/>
      </w:pPr>
      <w:rPr>
        <w:rFonts w:cs="Times New Roman"/>
        <w:rtl w:val="0"/>
        <w:cs w:val="0"/>
      </w:rPr>
    </w:lvl>
    <w:lvl w:ilvl="6">
      <w:start w:val="1"/>
      <w:numFmt w:val="decimal"/>
      <w:lvlText w:val="%7."/>
      <w:lvlJc w:val="left"/>
      <w:pPr>
        <w:ind w:left="5580" w:hanging="360"/>
      </w:pPr>
      <w:rPr>
        <w:rFonts w:cs="Times New Roman"/>
        <w:rtl w:val="0"/>
        <w:cs w:val="0"/>
      </w:rPr>
    </w:lvl>
    <w:lvl w:ilvl="7">
      <w:start w:val="1"/>
      <w:numFmt w:val="lowerLetter"/>
      <w:lvlText w:val="%8."/>
      <w:lvlJc w:val="left"/>
      <w:pPr>
        <w:ind w:left="6300" w:hanging="360"/>
      </w:pPr>
      <w:rPr>
        <w:rFonts w:cs="Times New Roman"/>
        <w:rtl w:val="0"/>
        <w:cs w:val="0"/>
      </w:rPr>
    </w:lvl>
    <w:lvl w:ilvl="8">
      <w:start w:val="1"/>
      <w:numFmt w:val="lowerRoman"/>
      <w:lvlText w:val="%9."/>
      <w:lvlJc w:val="right"/>
      <w:pPr>
        <w:ind w:left="7020" w:hanging="180"/>
      </w:pPr>
      <w:rPr>
        <w:rFonts w:cs="Times New Roman"/>
        <w:rtl w:val="0"/>
        <w:cs w:val="0"/>
      </w:rPr>
    </w:lvl>
  </w:abstractNum>
  <w:abstractNum w:abstractNumId="3">
    <w:nsid w:val="56AD6E6C"/>
    <w:multiLevelType w:val="hybridMultilevel"/>
    <w:tmpl w:val="289EA2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65B63589"/>
    <w:multiLevelType w:val="hybridMultilevel"/>
    <w:tmpl w:val="22E41210"/>
    <w:lvl w:ilvl="0">
      <w:start w:val="1"/>
      <w:numFmt w:val="decimal"/>
      <w:lvlText w:val="%1."/>
      <w:lvlJc w:val="left"/>
      <w:pPr>
        <w:ind w:left="360" w:hanging="360"/>
      </w:pPr>
      <w:rPr>
        <w:rFonts w:cs="Times New Roman" w:hint="default"/>
        <w:sz w:val="22"/>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C5238B"/>
    <w:rsid w:val="00011AEB"/>
    <w:rsid w:val="000136AE"/>
    <w:rsid w:val="000156BB"/>
    <w:rsid w:val="00024802"/>
    <w:rsid w:val="00040DE1"/>
    <w:rsid w:val="00046A2D"/>
    <w:rsid w:val="00093552"/>
    <w:rsid w:val="000944BB"/>
    <w:rsid w:val="000B2FAE"/>
    <w:rsid w:val="000B6F55"/>
    <w:rsid w:val="000C156B"/>
    <w:rsid w:val="00114D93"/>
    <w:rsid w:val="00122BC9"/>
    <w:rsid w:val="00126CC1"/>
    <w:rsid w:val="00162D55"/>
    <w:rsid w:val="001632E7"/>
    <w:rsid w:val="00170248"/>
    <w:rsid w:val="001C329B"/>
    <w:rsid w:val="001D178D"/>
    <w:rsid w:val="001F012C"/>
    <w:rsid w:val="00205740"/>
    <w:rsid w:val="00265C56"/>
    <w:rsid w:val="002952F8"/>
    <w:rsid w:val="002C47FB"/>
    <w:rsid w:val="00300633"/>
    <w:rsid w:val="0032109D"/>
    <w:rsid w:val="00334AA1"/>
    <w:rsid w:val="003400DA"/>
    <w:rsid w:val="00361473"/>
    <w:rsid w:val="00361BB3"/>
    <w:rsid w:val="00377562"/>
    <w:rsid w:val="003C1391"/>
    <w:rsid w:val="00417D11"/>
    <w:rsid w:val="00420474"/>
    <w:rsid w:val="00422E02"/>
    <w:rsid w:val="0042757B"/>
    <w:rsid w:val="00462133"/>
    <w:rsid w:val="00472679"/>
    <w:rsid w:val="00472E03"/>
    <w:rsid w:val="0048082B"/>
    <w:rsid w:val="004C5E2D"/>
    <w:rsid w:val="004D2B56"/>
    <w:rsid w:val="004F09B2"/>
    <w:rsid w:val="005270AD"/>
    <w:rsid w:val="00591AE0"/>
    <w:rsid w:val="005B4FBA"/>
    <w:rsid w:val="005C4313"/>
    <w:rsid w:val="005E3ACF"/>
    <w:rsid w:val="006061FE"/>
    <w:rsid w:val="00626E0E"/>
    <w:rsid w:val="00634B93"/>
    <w:rsid w:val="00643142"/>
    <w:rsid w:val="006728FA"/>
    <w:rsid w:val="006974DD"/>
    <w:rsid w:val="006C1AE0"/>
    <w:rsid w:val="006C2592"/>
    <w:rsid w:val="006D167F"/>
    <w:rsid w:val="006F2586"/>
    <w:rsid w:val="0072063B"/>
    <w:rsid w:val="007239B0"/>
    <w:rsid w:val="00760B7D"/>
    <w:rsid w:val="00786005"/>
    <w:rsid w:val="007A63D5"/>
    <w:rsid w:val="007C25D3"/>
    <w:rsid w:val="00806CCD"/>
    <w:rsid w:val="00812F93"/>
    <w:rsid w:val="00820496"/>
    <w:rsid w:val="00852C90"/>
    <w:rsid w:val="00885E13"/>
    <w:rsid w:val="0089270C"/>
    <w:rsid w:val="008977E9"/>
    <w:rsid w:val="008B00C7"/>
    <w:rsid w:val="008B0BAD"/>
    <w:rsid w:val="008B5E0B"/>
    <w:rsid w:val="008C4076"/>
    <w:rsid w:val="008D2092"/>
    <w:rsid w:val="008D4FF3"/>
    <w:rsid w:val="00904FE2"/>
    <w:rsid w:val="009137C2"/>
    <w:rsid w:val="00914DA3"/>
    <w:rsid w:val="00922C21"/>
    <w:rsid w:val="00923346"/>
    <w:rsid w:val="009436E6"/>
    <w:rsid w:val="009605D9"/>
    <w:rsid w:val="009A0093"/>
    <w:rsid w:val="009C0F61"/>
    <w:rsid w:val="009F231C"/>
    <w:rsid w:val="00A215B8"/>
    <w:rsid w:val="00A245E1"/>
    <w:rsid w:val="00A553C3"/>
    <w:rsid w:val="00A63B57"/>
    <w:rsid w:val="00A96D4C"/>
    <w:rsid w:val="00AE79FA"/>
    <w:rsid w:val="00B105A0"/>
    <w:rsid w:val="00B5595C"/>
    <w:rsid w:val="00B845D6"/>
    <w:rsid w:val="00BB1482"/>
    <w:rsid w:val="00BB3EA3"/>
    <w:rsid w:val="00BB59C0"/>
    <w:rsid w:val="00C46AE6"/>
    <w:rsid w:val="00C5238B"/>
    <w:rsid w:val="00C71D1D"/>
    <w:rsid w:val="00C737D6"/>
    <w:rsid w:val="00C84EED"/>
    <w:rsid w:val="00CA4E1A"/>
    <w:rsid w:val="00CB42AB"/>
    <w:rsid w:val="00CD5855"/>
    <w:rsid w:val="00D63EA2"/>
    <w:rsid w:val="00D70F0C"/>
    <w:rsid w:val="00D809D0"/>
    <w:rsid w:val="00D93BED"/>
    <w:rsid w:val="00DA1A51"/>
    <w:rsid w:val="00E43ADB"/>
    <w:rsid w:val="00E92958"/>
    <w:rsid w:val="00E93C27"/>
    <w:rsid w:val="00EC3DE4"/>
    <w:rsid w:val="00ED7B5A"/>
    <w:rsid w:val="00EE3DBA"/>
    <w:rsid w:val="00EF71AD"/>
    <w:rsid w:val="00F14804"/>
    <w:rsid w:val="00F1494A"/>
    <w:rsid w:val="00F216AA"/>
    <w:rsid w:val="00F31CDB"/>
    <w:rsid w:val="00F32E59"/>
    <w:rsid w:val="00F36282"/>
    <w:rsid w:val="00F40EDF"/>
    <w:rsid w:val="00F41953"/>
    <w:rsid w:val="00F450DA"/>
    <w:rsid w:val="00F47159"/>
    <w:rsid w:val="00FA155D"/>
    <w:rsid w:val="00FA6FFF"/>
    <w:rsid w:val="00FD19D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38B"/>
    <w:pPr>
      <w:framePr w:wrap="auto"/>
      <w:widowControl/>
      <w:suppressAutoHyphens/>
      <w:autoSpaceDE/>
      <w:autoSpaceDN/>
      <w:adjustRightInd/>
      <w:spacing w:after="200" w:line="276" w:lineRule="auto"/>
      <w:ind w:left="0" w:right="0"/>
      <w:jc w:val="left"/>
      <w:textAlignment w:val="auto"/>
    </w:pPr>
    <w:rPr>
      <w:rFonts w:ascii="Calibri" w:hAnsi="Calibri" w:cs="Times New Roman"/>
      <w:sz w:val="22"/>
      <w:szCs w:val="22"/>
      <w:rtl w:val="0"/>
      <w:cs w:val="0"/>
      <w:lang w:val="sk-SK" w:eastAsia="zh-CN"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C5238B"/>
    <w:pPr>
      <w:spacing w:after="140" w:line="288" w:lineRule="auto"/>
      <w:jc w:val="left"/>
    </w:pPr>
  </w:style>
  <w:style w:type="character" w:customStyle="1" w:styleId="ZkladntextChar">
    <w:name w:val="Základný text Char"/>
    <w:basedOn w:val="DefaultParagraphFont"/>
    <w:link w:val="BodyText"/>
    <w:uiPriority w:val="99"/>
    <w:locked/>
    <w:rsid w:val="00C5238B"/>
    <w:rPr>
      <w:rFonts w:ascii="Calibri" w:hAnsi="Calibri" w:cs="Times New Roman"/>
      <w:rtl w:val="0"/>
      <w:cs w:val="0"/>
      <w:lang w:val="x-none" w:eastAsia="zh-CN"/>
    </w:rPr>
  </w:style>
  <w:style w:type="paragraph" w:styleId="ListParagraph">
    <w:name w:val="List Paragraph"/>
    <w:basedOn w:val="Normal"/>
    <w:uiPriority w:val="34"/>
    <w:qFormat/>
    <w:rsid w:val="00C5238B"/>
    <w:pPr>
      <w:widowControl w:val="0"/>
      <w:autoSpaceDE w:val="0"/>
      <w:spacing w:line="240" w:lineRule="auto"/>
      <w:ind w:left="720"/>
      <w:jc w:val="left"/>
    </w:pPr>
    <w:rPr>
      <w:rFonts w:cs="Calibri"/>
      <w:color w:val="000000"/>
      <w:kern w:val="1"/>
      <w:lang w:bidi="hi-IN"/>
    </w:rPr>
  </w:style>
  <w:style w:type="paragraph" w:customStyle="1" w:styleId="Default">
    <w:name w:val="Default"/>
    <w:rsid w:val="00C5238B"/>
    <w:pPr>
      <w:framePr w:wrap="auto"/>
      <w:widowControl w:val="0"/>
      <w:suppressAutoHyphens/>
      <w:autoSpaceDE w:val="0"/>
      <w:autoSpaceDN/>
      <w:adjustRightInd/>
      <w:ind w:left="0" w:right="0"/>
      <w:jc w:val="left"/>
      <w:textAlignment w:val="auto"/>
    </w:pPr>
    <w:rPr>
      <w:rFonts w:ascii="Liberation Serif" w:hAnsi="Liberation Serif" w:cs="Liberation Serif"/>
      <w:color w:val="000000"/>
      <w:kern w:val="1"/>
      <w:sz w:val="24"/>
      <w:szCs w:val="24"/>
      <w:rtl w:val="0"/>
      <w:cs w:val="0"/>
      <w:lang w:val="sk-SK" w:eastAsia="zh-CN" w:bidi="hi-IN"/>
    </w:rPr>
  </w:style>
  <w:style w:type="paragraph" w:customStyle="1" w:styleId="WW-Default">
    <w:name w:val="WW-Default"/>
    <w:rsid w:val="00C5238B"/>
    <w:pPr>
      <w:framePr w:wrap="auto"/>
      <w:widowControl w:val="0"/>
      <w:suppressAutoHyphens/>
      <w:autoSpaceDE w:val="0"/>
      <w:autoSpaceDN/>
      <w:adjustRightInd/>
      <w:ind w:left="0" w:right="0"/>
      <w:jc w:val="left"/>
      <w:textAlignment w:val="auto"/>
    </w:pPr>
    <w:rPr>
      <w:rFonts w:ascii="Calibri" w:hAnsi="Calibri" w:cs="Calibri"/>
      <w:color w:val="000000"/>
      <w:kern w:val="1"/>
      <w:sz w:val="24"/>
      <w:szCs w:val="24"/>
      <w:rtl w:val="0"/>
      <w:cs w:val="0"/>
      <w:lang w:val="sk-SK" w:eastAsia="zh-CN" w:bidi="hi-IN"/>
    </w:rPr>
  </w:style>
  <w:style w:type="paragraph" w:customStyle="1" w:styleId="TextBody">
    <w:name w:val="Text Body"/>
    <w:basedOn w:val="Default"/>
    <w:rsid w:val="00C5238B"/>
    <w:pPr>
      <w:spacing w:after="140" w:line="288" w:lineRule="auto"/>
      <w:jc w:val="both"/>
    </w:pPr>
    <w:rPr>
      <w:sz w:val="28"/>
      <w:szCs w:val="28"/>
      <w:lang w:bidi="ar-SA"/>
    </w:rPr>
  </w:style>
  <w:style w:type="character" w:styleId="Hyperlink">
    <w:name w:val="Hyperlink"/>
    <w:basedOn w:val="DefaultParagraphFont"/>
    <w:uiPriority w:val="99"/>
    <w:rsid w:val="00C5238B"/>
    <w:rPr>
      <w:rFonts w:cs="Times New Roman"/>
      <w:color w:val="0563C1" w:themeColor="hlink" w:themeShade="FF"/>
      <w:u w:val="single"/>
      <w:rtl w:val="0"/>
      <w:cs w:val="0"/>
    </w:rPr>
  </w:style>
  <w:style w:type="paragraph" w:styleId="NormalWeb">
    <w:name w:val="Normal (Web)"/>
    <w:basedOn w:val="Normal"/>
    <w:uiPriority w:val="99"/>
    <w:rsid w:val="00C5238B"/>
    <w:pPr>
      <w:suppressAutoHyphens w:val="0"/>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1C329B"/>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1C329B"/>
    <w:rPr>
      <w:rFonts w:ascii="Segoe UI" w:hAnsi="Segoe UI" w:cs="Segoe UI"/>
      <w:sz w:val="18"/>
      <w:szCs w:val="18"/>
      <w:rtl w:val="0"/>
      <w:cs w:val="0"/>
      <w:lang w:val="x-none" w:eastAsia="zh-CN"/>
    </w:rPr>
  </w:style>
  <w:style w:type="table" w:styleId="TableGrid">
    <w:name w:val="Table Grid"/>
    <w:basedOn w:val="TableNormal"/>
    <w:uiPriority w:val="59"/>
    <w:rsid w:val="00D70F0C"/>
    <w:pPr>
      <w:spacing w:after="0" w:line="240" w:lineRule="auto"/>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15/438/20160418.html" TargetMode="External" /><Relationship Id="rId6" Type="http://schemas.openxmlformats.org/officeDocument/2006/relationships/hyperlink" Target="https://www.slov-lex.sk/pravne-predpisy/SK/ZZ/2016/315/20170201.html" TargetMode="External" /><Relationship Id="rId7" Type="http://schemas.openxmlformats.org/officeDocument/2006/relationships/hyperlink" Target="https://www.slov-lex.sk/pravne-predpisy/SK/ZZ/2017/93/20170601.htm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17F5B-C40C-42FF-B224-4EF6D529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253</TotalTime>
  <Pages>3</Pages>
  <Words>778</Words>
  <Characters>4435</Characters>
  <Application>Microsoft Office Word</Application>
  <DocSecurity>0</DocSecurity>
  <Lines>0</Lines>
  <Paragraphs>0</Paragraphs>
  <ScaleCrop>false</ScaleCrop>
  <Company/>
  <LinksUpToDate>false</LinksUpToDate>
  <CharactersWithSpaces>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rastislav.schlosar</dc:creator>
  <cp:lastModifiedBy>rastislav.schlosar</cp:lastModifiedBy>
  <cp:revision>32</cp:revision>
  <cp:lastPrinted>2017-08-18T07:33:00Z</cp:lastPrinted>
  <dcterms:created xsi:type="dcterms:W3CDTF">2017-05-19T14:05:00Z</dcterms:created>
  <dcterms:modified xsi:type="dcterms:W3CDTF">2017-08-18T08:45:00Z</dcterms:modified>
</cp:coreProperties>
</file>