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  <w:r w:rsidRPr="009F3AEE">
        <w:rPr>
          <w:rFonts w:ascii="Times New Roman" w:hAnsi="Times New Roman"/>
          <w:bCs/>
        </w:rPr>
        <w:t xml:space="preserve">   </w:t>
      </w:r>
      <w:r w:rsidRPr="00A93770">
        <w:rPr>
          <w:rFonts w:ascii="Times New Roman" w:hAnsi="Times New Roman"/>
          <w:b/>
          <w:bCs/>
        </w:rPr>
        <w:t xml:space="preserve"> </w:t>
      </w: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RPr="00194A17" w:rsidP="00DA330E">
      <w:pPr>
        <w:bidi w:val="0"/>
        <w:jc w:val="center"/>
        <w:rPr>
          <w:rFonts w:ascii="Times New Roman" w:hAnsi="Times New Roman"/>
          <w:bCs/>
        </w:rPr>
      </w:pPr>
      <w:r w:rsidRPr="00A93770">
        <w:rPr>
          <w:rFonts w:ascii="Times New Roman" w:hAnsi="Times New Roman"/>
          <w:b/>
          <w:bCs/>
        </w:rPr>
        <w:t xml:space="preserve"> </w:t>
      </w:r>
      <w:r w:rsidRPr="00194A17">
        <w:rPr>
          <w:rFonts w:ascii="Times New Roman" w:hAnsi="Times New Roman"/>
          <w:bCs/>
        </w:rPr>
        <w:t>z 23. novembra 201</w:t>
      </w:r>
      <w:r>
        <w:rPr>
          <w:rFonts w:ascii="Times New Roman" w:hAnsi="Times New Roman"/>
          <w:bCs/>
        </w:rPr>
        <w:t>6</w:t>
      </w:r>
      <w:r w:rsidR="00F84A27">
        <w:rPr>
          <w:rFonts w:ascii="Times New Roman" w:hAnsi="Times New Roman"/>
          <w:bCs/>
        </w:rPr>
        <w:t>,</w:t>
      </w:r>
    </w:p>
    <w:p w:rsidR="00DA330E" w:rsidRPr="00A93770" w:rsidP="00DA330E">
      <w:pPr>
        <w:bidi w:val="0"/>
        <w:jc w:val="center"/>
        <w:rPr>
          <w:rFonts w:ascii="Times New Roman" w:hAnsi="Times New Roman"/>
          <w:b/>
          <w:bCs/>
        </w:rPr>
      </w:pPr>
    </w:p>
    <w:p w:rsidR="00DA330E" w:rsidRPr="000966FF" w:rsidP="00DA330E">
      <w:pPr>
        <w:bidi w:val="0"/>
        <w:jc w:val="center"/>
        <w:rPr>
          <w:rFonts w:ascii="Times New Roman" w:hAnsi="Times New Roman"/>
          <w:b/>
        </w:rPr>
      </w:pPr>
      <w:r w:rsidRPr="000966FF">
        <w:rPr>
          <w:rFonts w:ascii="Times New Roman" w:hAnsi="Times New Roman"/>
          <w:b/>
        </w:rPr>
        <w:t xml:space="preserve">ktorým sa mení a dopĺňa zákon Národnej rady Slovenskej republiky č. 145/1995 Z. z. o správnych poplatkoch v znení neskorších predpisov a ktorým sa </w:t>
      </w:r>
      <w:r>
        <w:rPr>
          <w:rFonts w:ascii="Times New Roman" w:hAnsi="Times New Roman"/>
          <w:b/>
        </w:rPr>
        <w:t>mení a dopĺňa zákon Slovenskej národnej rady č. 71/1992 Zb. o súdnych poplatkoch a poplatku za výpis z registra trestov v znení neskorších predpisov</w:t>
      </w:r>
    </w:p>
    <w:p w:rsidR="00DA330E" w:rsidRPr="009F3AEE" w:rsidP="00DA330E">
      <w:pPr>
        <w:bidi w:val="0"/>
        <w:jc w:val="center"/>
        <w:rPr>
          <w:rFonts w:ascii="Times New Roman" w:hAnsi="Times New Roman"/>
          <w:bCs/>
        </w:rPr>
      </w:pPr>
    </w:p>
    <w:p w:rsidR="00DA330E" w:rsidRPr="00E50062" w:rsidP="00DA330E">
      <w:pPr>
        <w:bidi w:val="0"/>
        <w:spacing w:before="120"/>
        <w:rPr>
          <w:rFonts w:ascii="Times New Roman" w:hAnsi="Times New Roman"/>
          <w:lang w:val="cs-CZ"/>
        </w:rPr>
      </w:pPr>
    </w:p>
    <w:p w:rsidR="00DA330E" w:rsidP="00DA330E">
      <w:pPr>
        <w:bidi w:val="0"/>
        <w:spacing w:before="120"/>
        <w:rPr>
          <w:rFonts w:ascii="Times New Roman" w:hAnsi="Times New Roman"/>
        </w:rPr>
      </w:pPr>
      <w:r w:rsidRPr="00E50062">
        <w:rPr>
          <w:rFonts w:ascii="Times New Roman" w:hAnsi="Times New Roman"/>
        </w:rPr>
        <w:t>Národná rada Slovenskej republiky sa uzniesla na tomto zákone:</w:t>
      </w:r>
    </w:p>
    <w:p w:rsidR="00DA330E" w:rsidP="00DA330E">
      <w:pPr>
        <w:bidi w:val="0"/>
        <w:jc w:val="center"/>
        <w:rPr>
          <w:rFonts w:ascii="Times New Roman" w:hAnsi="Times New Roman"/>
          <w:b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</w:rPr>
      </w:pPr>
    </w:p>
    <w:p w:rsidR="00DA330E" w:rsidP="00DA330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DA330E" w:rsidP="00DA330E">
      <w:pPr>
        <w:bidi w:val="0"/>
        <w:jc w:val="center"/>
        <w:rPr>
          <w:rFonts w:ascii="Times New Roman" w:hAnsi="Times New Roman"/>
          <w:b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Zákon Národnej rady Slovenskej republiky č. 145/1995 Z. z. o správnych poplatkoch v znení zákona Národnej rady Slovenskej republiky č. 123/1996 Z. z., zákona Národnej rady Slovenskej republiky č. 224/1996 Z. z., zákona č. 70/1997 Z. z., zákona č. 1</w:t>
      </w:r>
      <w:r w:rsidR="00D74301">
        <w:rPr>
          <w:rFonts w:ascii="Times New Roman" w:hAnsi="Times New Roman"/>
        </w:rPr>
        <w:t xml:space="preserve">/1998 Z. z., zákona č. 232/1999 </w:t>
      </w:r>
      <w:r w:rsidRPr="006544BB">
        <w:rPr>
          <w:rFonts w:ascii="Times New Roman" w:hAnsi="Times New Roman"/>
        </w:rPr>
        <w:t>Z. z.,</w:t>
      </w:r>
      <w:r w:rsidR="00D74301">
        <w:rPr>
          <w:rFonts w:ascii="Times New Roman" w:hAnsi="Times New Roman"/>
        </w:rPr>
        <w:t xml:space="preserve"> </w:t>
      </w:r>
      <w:r w:rsidRPr="006544BB">
        <w:rPr>
          <w:rFonts w:ascii="Times New Roman" w:hAnsi="Times New Roman"/>
        </w:rPr>
        <w:t xml:space="preserve">zákona č. 3/2000 Z. z.,  zákona č. 142/2000 Z. z., zákona </w:t>
        <w:br/>
        <w:t>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 č. 347/2004 Z. z., zákona č. 382/2004 Z. z., zákona č. 434/2004 Z. z., zákona č. 533/2004 Z. z., zákona č. 541/2004 Z. z., zákona č. 572/2004 Z. z., zákona č. 578/2004 Z. z., zákona 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z., zákona č. 119/2011 Z. z., zákona č. 200/2011 Z. z., 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 zákona č. 351/2012 Z. z., zákona č. 439/2012 Z. z., zákona č. 447/2012 Z. z., zákona č. 459/2012 Z. z., zákona č. 8/2013 Z. z., zákona č. 39/2</w:t>
      </w:r>
      <w:r w:rsidR="007B427D">
        <w:rPr>
          <w:rFonts w:ascii="Times New Roman" w:hAnsi="Times New Roman"/>
        </w:rPr>
        <w:t>013 Z. z., zákona č. 40/2013 Z.</w:t>
      </w:r>
      <w:r w:rsidRPr="006544BB">
        <w:rPr>
          <w:rFonts w:ascii="Times New Roman" w:hAnsi="Times New Roman"/>
        </w:rPr>
        <w:t>z., zákona č. 72/2013 Z. z., zákona č. 75/2013 Z. z., zákona č. 94/2013 Z. z., zákona č. 96/2013 Z. z., zákona č. 122/2013 Z. z., zákona č. 144/2013 Z. z.,  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</w:t>
      </w:r>
      <w:r>
        <w:rPr>
          <w:rFonts w:ascii="Times New Roman" w:hAnsi="Times New Roman"/>
        </w:rPr>
        <w:t>,</w:t>
      </w:r>
      <w:r w:rsidRPr="006544BB">
        <w:rPr>
          <w:rFonts w:ascii="Times New Roman" w:hAnsi="Times New Roman"/>
        </w:rPr>
        <w:t> zákona č. 125/2016 Z. z.</w:t>
      </w:r>
      <w:r>
        <w:rPr>
          <w:rFonts w:ascii="Times New Roman" w:hAnsi="Times New Roman"/>
        </w:rPr>
        <w:t xml:space="preserve"> a zákona č. 272/2016 Z. z.</w:t>
      </w:r>
      <w:r w:rsidRPr="006544BB">
        <w:rPr>
          <w:rFonts w:ascii="Times New Roman" w:hAnsi="Times New Roman"/>
        </w:rPr>
        <w:t xml:space="preserve"> sa mení a dopĺňa takto: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1. V § 1 sa za slovo „archívov</w:t>
      </w:r>
      <w:r w:rsidRPr="006544BB">
        <w:rPr>
          <w:rFonts w:ascii="Times New Roman" w:hAnsi="Times New Roman"/>
          <w:vertAlign w:val="superscript"/>
        </w:rPr>
        <w:t>1</w:t>
      </w:r>
      <w:r w:rsidRPr="006544BB">
        <w:rPr>
          <w:rFonts w:ascii="Times New Roman" w:hAnsi="Times New Roman"/>
        </w:rPr>
        <w:t>)“ vkladá čiarka a slová „uznaných vzdelávacích inštitúcií</w:t>
      </w:r>
      <w:r w:rsidRPr="006544BB">
        <w:rPr>
          <w:rFonts w:ascii="Times New Roman" w:hAnsi="Times New Roman"/>
          <w:vertAlign w:val="superscript"/>
        </w:rPr>
        <w:t>1aa</w:t>
      </w:r>
      <w:r w:rsidRPr="006544BB">
        <w:rPr>
          <w:rFonts w:ascii="Times New Roman" w:hAnsi="Times New Roman"/>
        </w:rPr>
        <w:t xml:space="preserve">)“. 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Poznámka pod čiarou k odkazu 1aa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</w:t>
      </w:r>
      <w:r w:rsidRPr="006544BB">
        <w:rPr>
          <w:rFonts w:ascii="Times New Roman" w:hAnsi="Times New Roman"/>
          <w:vertAlign w:val="superscript"/>
        </w:rPr>
        <w:t>1aa</w:t>
      </w:r>
      <w:r w:rsidRPr="006544BB">
        <w:rPr>
          <w:rFonts w:ascii="Times New Roman" w:hAnsi="Times New Roman"/>
        </w:rPr>
        <w:t>) § 3 ods. 2 písm. a) zákona č. 422/2015 Z. z. o uznávaní dokladov o vzdelaní a o uznávaní odborných kvalifikácií a o zmene a doplnení niektorých zákonov.“.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2. Nadpis § 5 znie: „Základ poplatku pri sadzbe poplatku ustanovenej percentom“.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3. V § 5 ods. 1 sa slová „Základ poplatku ustanovený percentuálnou sadzbou je uvedený“ nahrádzajú slovami „Pri sadzbe poplatku ustanovenej percentom je základom poplatku cena predmetu spoplatneného úkonu uvedená“.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4. V § 5 ods. 3 sa vypúšťajú slová „ustanovený percentuálnou sadzbou“.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5. § 10 sa dopĺňa odsekom 12, ktorý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„(12) Nárok na vyplatenie poplatku alebo preplatku na základe odpisu právoplatného rozhodnutia o vrátení poplatku alebo preplatku zaniká po uplynutí desiatich rokov od konca kalendárneho roka, v ktorom sa stalo právoplatným rozhodnutie o vrátení poplatku alebo preplatku.“.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6. V § 15 ods. 4 sa slová „Správa finančnej kontroly</w:t>
      </w:r>
      <w:r w:rsidRPr="006544BB">
        <w:rPr>
          <w:rFonts w:ascii="Times New Roman" w:hAnsi="Times New Roman"/>
          <w:vertAlign w:val="superscript"/>
        </w:rPr>
        <w:t>7e</w:t>
      </w:r>
      <w:r w:rsidRPr="006544BB">
        <w:rPr>
          <w:rFonts w:ascii="Times New Roman" w:hAnsi="Times New Roman"/>
        </w:rPr>
        <w:t>)“ nahrádzajú slovami „Úrad vládneho auditu</w:t>
      </w:r>
      <w:r w:rsidRPr="006544BB">
        <w:rPr>
          <w:rFonts w:ascii="Times New Roman" w:hAnsi="Times New Roman"/>
          <w:vertAlign w:val="superscript"/>
        </w:rPr>
        <w:t>7e</w:t>
      </w:r>
      <w:r w:rsidRPr="006544BB">
        <w:rPr>
          <w:rFonts w:ascii="Times New Roman" w:hAnsi="Times New Roman"/>
        </w:rPr>
        <w:t>)“.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Poznámka pod čiarou k odkazu 7e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</w:t>
      </w:r>
      <w:r w:rsidRPr="006544BB">
        <w:rPr>
          <w:rFonts w:ascii="Times New Roman" w:hAnsi="Times New Roman"/>
          <w:vertAlign w:val="superscript"/>
        </w:rPr>
        <w:t>7e</w:t>
      </w:r>
      <w:r w:rsidRPr="006544BB">
        <w:rPr>
          <w:rFonts w:ascii="Times New Roman" w:hAnsi="Times New Roman"/>
        </w:rPr>
        <w:t>) § 4 zákona č. 357/2015 Z. z. o finančnej kontrole a audite a o zmene a doplnení niektorých zákonov.“.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trike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7. Za § 19j sa vkladá § 19k, ktorý vrátane nadpisu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„§ 19k</w:t>
      </w:r>
    </w:p>
    <w:p w:rsidR="00DA330E" w:rsidRPr="006544BB" w:rsidP="00DA330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Prechodné ustanovenia k úpravám účinným od 1. februára 2017</w:t>
      </w:r>
    </w:p>
    <w:p w:rsidR="00DA330E" w:rsidRPr="006544BB" w:rsidP="00DA330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(1) Ak podnet na úkon alebo konanie bol podaný podľa predpisov účinných do 31. januára 2017, poplatky sa platia a vyberajú podľa predpisov účinných do 31. januára 2017. Konania vo veciach poplatkov</w:t>
      </w:r>
      <w:r>
        <w:rPr>
          <w:rFonts w:ascii="Times New Roman" w:hAnsi="Times New Roman"/>
        </w:rPr>
        <w:t xml:space="preserve"> začaté a</w:t>
      </w:r>
      <w:r w:rsidRPr="006544BB">
        <w:rPr>
          <w:rFonts w:ascii="Times New Roman" w:hAnsi="Times New Roman"/>
        </w:rPr>
        <w:t xml:space="preserve"> právoplatne neukončené do 31. januára 2017 sa dokončia podľa predpisov účinných do 31. januára 2017.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bidi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(2) Pri rozhodnutiach o vrátení poplatku alebo preplatku, ktoré nadobudli právoplatnosť pred 1. februárom 2017, lehota  na  uplatnenie nároku na vyplatenie  poplatku alebo preplatku podľa § 10 ods. 12 v znení účinnom od 1. februára 2017 začína plynúť od 1. februára 2017.“.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8. V Sadzobníku správnych poplatkov časti I. Všeobecná správa položke 2 písm. a) a c) sa za slovo „(fotokópie)“ vkladá čiarka a slová „listinnej podoby elektronického dokumentu“.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9. V Sadzobníku správnych poplatkov časti VI. Doprava položka 65 vrátane oslobodenia a poznámok znie: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„Položka 65</w:t>
      </w:r>
    </w:p>
    <w:p w:rsidR="00DA330E" w:rsidRPr="006544BB" w:rsidP="00DA330E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Zápis držiteľa motorového vozidla kategórie L, M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a N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>, okrem kategórie N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s najviac tromi miestami na</w:t>
      </w:r>
      <w:r w:rsidRPr="006544BB">
        <w:rPr>
          <w:rFonts w:ascii="Times New Roman" w:hAnsi="Times New Roman"/>
          <w:vertAlign w:val="subscript"/>
        </w:rPr>
        <w:t xml:space="preserve"> </w:t>
      </w:r>
      <w:r w:rsidRPr="006544BB">
        <w:rPr>
          <w:rFonts w:ascii="Times New Roman" w:hAnsi="Times New Roman"/>
        </w:rPr>
        <w:t>sedenie, do evidencie vozidiel v Slovenskej republike aj s vykonaním úprav v dokladoch vrátane</w:t>
      </w:r>
      <w:r>
        <w:rPr>
          <w:rFonts w:ascii="Times New Roman" w:hAnsi="Times New Roman"/>
        </w:rPr>
        <w:t xml:space="preserve"> vydania týchto dokladov ...................................</w:t>
      </w:r>
      <w:r w:rsidRPr="006544BB">
        <w:rPr>
          <w:rFonts w:ascii="Times New Roman" w:hAnsi="Times New Roman"/>
        </w:rPr>
        <w:t xml:space="preserve"> suma vypočítaná podľa vzorca, najmenej 33 eur 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RP = P</w:t>
      </w:r>
      <w:r w:rsidRPr="006544BB">
        <w:rPr>
          <w:rFonts w:ascii="Times New Roman" w:hAnsi="Times New Roman"/>
          <w:vertAlign w:val="subscript"/>
        </w:rPr>
        <w:t>kw</w:t>
      </w:r>
      <w:r w:rsidRPr="006544BB">
        <w:rPr>
          <w:rFonts w:ascii="Times New Roman" w:hAnsi="Times New Roman"/>
        </w:rPr>
        <w:t xml:space="preserve"> x RV</w:t>
      </w:r>
      <w:r w:rsidRPr="006544BB">
        <w:rPr>
          <w:rFonts w:ascii="Times New Roman" w:hAnsi="Times New Roman"/>
          <w:vertAlign w:val="subscript"/>
        </w:rPr>
        <w:t>1-n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kde: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RP - výška poplatku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</w:t>
      </w:r>
      <w:r w:rsidRPr="006544BB">
        <w:rPr>
          <w:rFonts w:ascii="Times New Roman" w:hAnsi="Times New Roman"/>
          <w:vertAlign w:val="subscript"/>
        </w:rPr>
        <w:t>kw</w:t>
      </w:r>
      <w:r w:rsidRPr="006544BB">
        <w:rPr>
          <w:rFonts w:ascii="Times New Roman" w:hAnsi="Times New Roman"/>
        </w:rPr>
        <w:t xml:space="preserve"> - sadzba poplatku za zápis vozidla v eurách podľa výkonu motora (prvá evidencia vozidla), ktorej hodnoty sú uvedené v tabuľke č. 1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RV</w:t>
      </w:r>
      <w:r>
        <w:rPr>
          <w:rFonts w:ascii="Times New Roman" w:hAnsi="Times New Roman"/>
          <w:vertAlign w:val="subscript"/>
        </w:rPr>
        <w:t xml:space="preserve">1-n </w:t>
      </w:r>
      <w:r>
        <w:rPr>
          <w:rFonts w:ascii="Times New Roman" w:hAnsi="Times New Roman"/>
        </w:rPr>
        <w:t xml:space="preserve">- </w:t>
      </w:r>
      <w:r w:rsidRPr="006544BB">
        <w:rPr>
          <w:rFonts w:ascii="Times New Roman" w:hAnsi="Times New Roman"/>
        </w:rPr>
        <w:t xml:space="preserve">koeficient zostatkovej hodnoty vozidla zodpovedajúci zostatkovej hodnote vozidla podľa veku vozidla v rokoch odo dňa prvej evidencie vozidla, ktorého hodnoty sú uvedené  v tabuľke č. 2 </w:t>
      </w:r>
    </w:p>
    <w:p w:rsidR="00DA330E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FF16BD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Tabuľka č. 1</w:t>
      </w:r>
    </w:p>
    <w:tbl>
      <w:tblPr>
        <w:tblStyle w:val="TableNormal"/>
        <w:tblW w:w="4961" w:type="dxa"/>
        <w:tblInd w:w="496" w:type="dxa"/>
        <w:tblCellMar>
          <w:left w:w="0" w:type="dxa"/>
          <w:right w:w="0" w:type="dxa"/>
        </w:tblCellMar>
        <w:tblLook w:val="04A0"/>
      </w:tblPr>
      <w:tblGrid>
        <w:gridCol w:w="749"/>
        <w:gridCol w:w="1660"/>
        <w:gridCol w:w="2552"/>
      </w:tblGrid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321"/>
        </w:trPr>
        <w:tc>
          <w:tcPr>
            <w:tcW w:w="2409" w:type="dxa"/>
            <w:gridSpan w:val="2"/>
            <w:tcBorders>
              <w:top w:val="nil"/>
              <w:left w:val="nil"/>
              <w:bottom w:val="none" w:sz="0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 </w:t>
            </w:r>
            <w:r w:rsidRPr="006544BB">
              <w:rPr>
                <w:rFonts w:ascii="Times New Roman" w:hAnsi="Times New Roman"/>
                <w:bCs/>
              </w:rPr>
              <w:t>Výkon motora v kW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one" w:sz="0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 xml:space="preserve">Sadzba poplatku </w:t>
            </w:r>
          </w:p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v eurách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430"/>
        </w:trPr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one" w:sz="0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nad</w:t>
            </w:r>
          </w:p>
        </w:tc>
        <w:tc>
          <w:tcPr>
            <w:tcW w:w="1660" w:type="dxa"/>
            <w:tcBorders>
              <w:top w:val="nil"/>
              <w:left w:val="none" w:sz="0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2409" w:type="dxa"/>
            <w:gridSpan w:val="2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 xml:space="preserve"> 80 vrátane</w:t>
            </w:r>
          </w:p>
        </w:tc>
        <w:tc>
          <w:tcPr>
            <w:tcW w:w="2552" w:type="dxa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33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80</w:t>
            </w:r>
          </w:p>
        </w:tc>
        <w:tc>
          <w:tcPr>
            <w:tcW w:w="1660" w:type="dxa"/>
            <w:tcBorders>
              <w:top w:val="none" w:sz="0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86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90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92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110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98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150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104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210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110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260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121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360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132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530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143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700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154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870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165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1 100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176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1 250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176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202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1 900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202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228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2 300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228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254 vrátane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2 700</w:t>
            </w:r>
          </w:p>
        </w:tc>
      </w:tr>
      <w:tr>
        <w:tblPrEx>
          <w:tblW w:w="4961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7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254</w:t>
            </w:r>
          </w:p>
        </w:tc>
        <w:tc>
          <w:tcPr>
            <w:tcW w:w="1660" w:type="dxa"/>
            <w:tcBorders>
              <w:top w:val="nil"/>
              <w:left w:val="nil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a viac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3 900</w:t>
            </w:r>
          </w:p>
        </w:tc>
      </w:tr>
    </w:tbl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Tabuľka č. 2</w:t>
      </w:r>
    </w:p>
    <w:tbl>
      <w:tblPr>
        <w:tblStyle w:val="TableNormal"/>
        <w:tblW w:w="6237" w:type="dxa"/>
        <w:tblInd w:w="496" w:type="dxa"/>
        <w:tblCellMar>
          <w:left w:w="0" w:type="dxa"/>
          <w:right w:w="0" w:type="dxa"/>
        </w:tblCellMar>
        <w:tblLook w:val="04A0"/>
      </w:tblPr>
      <w:tblGrid>
        <w:gridCol w:w="4677"/>
        <w:gridCol w:w="1560"/>
      </w:tblGrid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321"/>
        </w:trPr>
        <w:tc>
          <w:tcPr>
            <w:tcW w:w="4677" w:type="dxa"/>
            <w:tcBorders>
              <w:top w:val="nil"/>
              <w:left w:val="nil"/>
              <w:bottom w:val="none" w:sz="0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  <w:hideMark/>
          </w:tcPr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 </w:t>
            </w:r>
            <w:r w:rsidRPr="006544BB">
              <w:rPr>
                <w:rFonts w:ascii="Times New Roman" w:hAnsi="Times New Roman"/>
                <w:bCs/>
              </w:rPr>
              <w:t>Vek vozidla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one" w:sz="0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Koeficient zostatkovej hodnoty vozidla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 xml:space="preserve">                               </w:t>
            </w:r>
            <w:r>
              <w:rPr>
                <w:rFonts w:ascii="Times New Roman" w:hAnsi="Times New Roman"/>
                <w:bCs/>
              </w:rPr>
              <w:t xml:space="preserve">     </w:t>
            </w:r>
            <w:r w:rsidRPr="006544BB">
              <w:rPr>
                <w:rFonts w:ascii="Times New Roman" w:hAnsi="Times New Roman"/>
                <w:bCs/>
              </w:rPr>
              <w:t xml:space="preserve">  prvá evidencia</w:t>
            </w:r>
          </w:p>
        </w:tc>
        <w:tc>
          <w:tcPr>
            <w:tcW w:w="1560" w:type="dxa"/>
            <w:tcBorders>
              <w:top w:val="single" w:sz="8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1,00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 roka vrátane odo dňa 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0,82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2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0,68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3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0,56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4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0,46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5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0,38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6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0,32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7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0,26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8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0,23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9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0,19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10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0,16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11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0,14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12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0,12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13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0,10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14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0,09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15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  <w:hideMark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0,08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>do 16 rokov vrátane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>0,07</w:t>
            </w:r>
          </w:p>
        </w:tc>
      </w:tr>
      <w:tr>
        <w:tblPrEx>
          <w:tblW w:w="6237" w:type="dxa"/>
          <w:tblInd w:w="49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4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6544BB">
              <w:rPr>
                <w:rFonts w:ascii="Times New Roman" w:hAnsi="Times New Roman"/>
                <w:bCs/>
              </w:rPr>
              <w:t xml:space="preserve">           nad 16 rokov odo dňa prvej evidencie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A330E" w:rsidRPr="006544BB" w:rsidP="00387A26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6544BB">
              <w:rPr>
                <w:rFonts w:ascii="Times New Roman" w:hAnsi="Times New Roman"/>
              </w:rPr>
              <w:t xml:space="preserve">        0,06</w:t>
            </w:r>
          </w:p>
        </w:tc>
      </w:tr>
    </w:tbl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Zápis držiteľa motorového vozidla okrem kategórie vozidiel podľa písmena a) alebo prípojného vozidla do evidencie vozidiel v Slovenskej republike aj s vykonaním úprav v dokladoch vrátane vydania týchto dokladov</w:t>
      </w:r>
      <w:r>
        <w:rPr>
          <w:rFonts w:ascii="Times New Roman" w:hAnsi="Times New Roman"/>
        </w:rPr>
        <w:t xml:space="preserve"> </w:t>
      </w:r>
      <w:r w:rsidRPr="006544BB">
        <w:rPr>
          <w:rFonts w:ascii="Times New Roman" w:hAnsi="Times New Roman"/>
        </w:rPr>
        <w:t>..........................................................  33 eur</w:t>
      </w:r>
    </w:p>
    <w:p w:rsidR="00DA330E" w:rsidRPr="006544BB" w:rsidP="00DA330E">
      <w:pPr>
        <w:pStyle w:val="ListParagraph"/>
        <w:numPr>
          <w:numId w:val="1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Zápis držiteľa motorového vozidla, ktorého jediným zdrojom energie je elektrina (elektromobil) do evidencie vozidiel v Slovenskej republike aj s vykonaním úprav v dokladoch vrátane vydania týchto dokladov .......................................................... 33 eur</w:t>
      </w:r>
    </w:p>
    <w:p w:rsidR="00DA330E" w:rsidP="00DA330E">
      <w:pPr>
        <w:pStyle w:val="ListParagraph"/>
        <w:numPr>
          <w:numId w:val="1"/>
        </w:numPr>
        <w:bidi w:val="0"/>
        <w:ind w:left="425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Zápis držiteľa motorového vozidla kategórie L, M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a N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>, okrem kategórie N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s najviac tromi miestami na sedenie do evidencie vozidiel v Slovenskej republike, ktoré je určené na predaj a ktoré doteraz nebolo evidované v žiadnej evidencii vozidiel aj s vykonaním úprav v dokladoch vrátane vydania týchto dokladov, ak sa ako držiteľ zapisuje výrobca vozidla,</w:t>
      </w:r>
      <w:r w:rsidRPr="006544BB">
        <w:rPr>
          <w:rFonts w:ascii="Times New Roman" w:hAnsi="Times New Roman"/>
          <w:vertAlign w:val="superscript"/>
        </w:rPr>
        <w:t>20aa</w:t>
      </w:r>
      <w:r w:rsidRPr="006544BB">
        <w:rPr>
          <w:rFonts w:ascii="Times New Roman" w:hAnsi="Times New Roman"/>
        </w:rPr>
        <w:t>) zástupca výrobcu vozidla,</w:t>
      </w:r>
      <w:r w:rsidRPr="006544BB">
        <w:rPr>
          <w:rFonts w:ascii="Times New Roman" w:hAnsi="Times New Roman"/>
          <w:vertAlign w:val="superscript"/>
        </w:rPr>
        <w:t>20ab</w:t>
      </w:r>
      <w:r>
        <w:rPr>
          <w:rFonts w:ascii="Times New Roman" w:hAnsi="Times New Roman"/>
        </w:rPr>
        <w:t>)</w:t>
      </w:r>
      <w:r w:rsidRPr="006544BB">
        <w:rPr>
          <w:rFonts w:ascii="Times New Roman" w:hAnsi="Times New Roman"/>
        </w:rPr>
        <w:t xml:space="preserve"> právnická osoba alebo fyzická osoba podnikateľ, ktorej predmetom podnikania je predaj vozidiel na základe zmluvného vzťahu s</w:t>
      </w:r>
      <w:r>
        <w:rPr>
          <w:rFonts w:ascii="Times New Roman" w:hAnsi="Times New Roman"/>
        </w:rPr>
        <w:t> </w:t>
      </w:r>
      <w:r w:rsidRPr="006544BB">
        <w:rPr>
          <w:rFonts w:ascii="Times New Roman" w:hAnsi="Times New Roman"/>
        </w:rPr>
        <w:t>výrobcom</w:t>
      </w:r>
      <w:r>
        <w:rPr>
          <w:rFonts w:ascii="Times New Roman" w:hAnsi="Times New Roman"/>
        </w:rPr>
        <w:t xml:space="preserve"> vozidla</w:t>
      </w:r>
      <w:r w:rsidRPr="006544BB">
        <w:rPr>
          <w:rFonts w:ascii="Times New Roman" w:hAnsi="Times New Roman"/>
        </w:rPr>
        <w:t xml:space="preserve"> alebo zástupcom výrobcu</w:t>
      </w:r>
      <w:r>
        <w:rPr>
          <w:rFonts w:ascii="Times New Roman" w:hAnsi="Times New Roman"/>
        </w:rPr>
        <w:t xml:space="preserve"> vozidla</w:t>
      </w:r>
      <w:r w:rsidRPr="006544BB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</w:t>
      </w:r>
      <w:r w:rsidRPr="006544BB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</w:t>
      </w:r>
      <w:r w:rsidRPr="006544BB">
        <w:rPr>
          <w:rFonts w:ascii="Times New Roman" w:hAnsi="Times New Roman"/>
        </w:rPr>
        <w:t>........ 33 eur</w:t>
      </w:r>
    </w:p>
    <w:p w:rsidR="00DA330E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</w:p>
    <w:p w:rsidR="00DA330E" w:rsidRPr="00E30FC7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  <w:r w:rsidRPr="00E30FC7">
        <w:rPr>
          <w:rFonts w:ascii="Times New Roman" w:hAnsi="Times New Roman"/>
        </w:rPr>
        <w:t>Oslobodenie</w:t>
      </w:r>
    </w:p>
    <w:p w:rsidR="00DA330E" w:rsidRPr="00E30FC7" w:rsidP="00DA330E">
      <w:pPr>
        <w:pStyle w:val="ListParagraph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DA330E" w:rsidRPr="006544BB" w:rsidP="00DA330E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Od poplatku podľa tejto položky je oslobodený zápis držiteľa motorového vozidla alebo prípojného vozidla nadobudnutého dedením, na základe úradného príkazu alebo rozhodnutia súdu a zániku bezpodielového spoluvlastníctva manželov.</w:t>
      </w:r>
    </w:p>
    <w:p w:rsidR="00DA330E" w:rsidRPr="006544BB" w:rsidP="00DA330E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Od poplatku podľa písmena a) tejto položky je oslobodený zápis držiteľa motorového vozidla kategórie M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a N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>, ak bol na kúpu motorového vozidla kategórie M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a N</w:t>
      </w:r>
      <w:r w:rsidRPr="006544BB">
        <w:rPr>
          <w:rFonts w:ascii="Times New Roman" w:hAnsi="Times New Roman"/>
          <w:vertAlign w:val="subscript"/>
        </w:rPr>
        <w:t>1</w:t>
      </w:r>
      <w:r w:rsidRPr="006544BB">
        <w:rPr>
          <w:rFonts w:ascii="Times New Roman" w:hAnsi="Times New Roman"/>
        </w:rPr>
        <w:t xml:space="preserve"> držiteľovi alebo vlastníkovi poskytnutý príspevok podľa zákona č. 447/2008 Z. z. o peňažných príspevkoch na kompenzáciu ťažkého zdravotného postihnutia a o zmene a doplnení niektorých zákonov v znení neskorších predpisov.</w:t>
      </w:r>
    </w:p>
    <w:p w:rsidR="00DA330E" w:rsidRPr="006544BB" w:rsidP="00DA330E">
      <w:pPr>
        <w:pStyle w:val="ListParagraph"/>
        <w:numPr>
          <w:numId w:val="2"/>
        </w:numPr>
        <w:bidi w:val="0"/>
        <w:ind w:left="284" w:hanging="284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Od poplatku podľa písmena a) tejto položky je oslobodený zápis držiteľa motorového vozidla kategórie L</w:t>
      </w:r>
      <w:r w:rsidRPr="006544BB">
        <w:rPr>
          <w:rFonts w:ascii="Times New Roman" w:hAnsi="Times New Roman"/>
          <w:vertAlign w:val="subscript"/>
        </w:rPr>
        <w:t xml:space="preserve">1e </w:t>
      </w:r>
      <w:r w:rsidRPr="006544BB">
        <w:rPr>
          <w:rFonts w:ascii="Times New Roman" w:hAnsi="Times New Roman"/>
        </w:rPr>
        <w:t>podľa § 23a zákona č. 725/2004 Z. z. o podmienkach prevádzky vozidiel v premávke na pozemných komunikáciách a o zmene a doplnení niektorých zákonov v znení neskorších predpisov.</w:t>
      </w:r>
    </w:p>
    <w:p w:rsidR="00DA330E" w:rsidRPr="006544BB" w:rsidP="00DA330E">
      <w:pPr>
        <w:bidi w:val="0"/>
        <w:rPr>
          <w:rFonts w:ascii="ms sans serif" w:hAnsi="ms sans serif"/>
          <w:szCs w:val="22"/>
        </w:rPr>
      </w:pPr>
    </w:p>
    <w:p w:rsidR="00DA330E" w:rsidRPr="00E30FC7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  <w:r w:rsidRPr="00E30FC7">
        <w:rPr>
          <w:rFonts w:ascii="Times New Roman" w:hAnsi="Times New Roman"/>
        </w:rPr>
        <w:t>Poznámky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DA330E" w:rsidRPr="006544BB" w:rsidP="00DA330E">
      <w:pPr>
        <w:pStyle w:val="BodyText"/>
        <w:bidi w:val="0"/>
        <w:ind w:left="284" w:hanging="284"/>
        <w:rPr>
          <w:rFonts w:ascii="Times New Roman" w:hAnsi="Times New Roman"/>
          <w:sz w:val="24"/>
        </w:rPr>
      </w:pPr>
      <w:r w:rsidRPr="006544BB">
        <w:rPr>
          <w:rFonts w:ascii="Times New Roman" w:hAnsi="Times New Roman"/>
          <w:sz w:val="24"/>
        </w:rPr>
        <w:t>1. Poplatok podľa tejto položky sa zníži o 50%, najviac však o 100 eur, pri zápise držiteľa motorového vozidla, ktorým je držiteľ preukazu fyzickej osoby s ťažkým zdravotným postihnutím alebo preukazu fyzickej osoby s ť</w:t>
      </w:r>
      <w:r>
        <w:rPr>
          <w:rFonts w:ascii="Times New Roman" w:hAnsi="Times New Roman"/>
          <w:sz w:val="24"/>
        </w:rPr>
        <w:t>ažkým zdravotným postihnutím so </w:t>
      </w:r>
      <w:r w:rsidRPr="006544BB">
        <w:rPr>
          <w:rFonts w:ascii="Times New Roman" w:hAnsi="Times New Roman"/>
          <w:sz w:val="24"/>
        </w:rPr>
        <w:t>sprievodcom alebo ak ide o motorové vozidlo upravené na vedenie fyzickou osobou s ťažkým zdravotným postihnutím a nebol na kúpu motorového vozidla kategórie M</w:t>
      </w:r>
      <w:r w:rsidRPr="006544BB">
        <w:rPr>
          <w:rFonts w:ascii="Times New Roman" w:hAnsi="Times New Roman"/>
          <w:sz w:val="24"/>
          <w:vertAlign w:val="subscript"/>
        </w:rPr>
        <w:t>1</w:t>
      </w:r>
      <w:r w:rsidRPr="006544BB">
        <w:rPr>
          <w:rFonts w:ascii="Times New Roman" w:hAnsi="Times New Roman"/>
          <w:sz w:val="24"/>
        </w:rPr>
        <w:t xml:space="preserve"> a N</w:t>
      </w:r>
      <w:r w:rsidRPr="006544BB">
        <w:rPr>
          <w:rFonts w:ascii="Times New Roman" w:hAnsi="Times New Roman"/>
          <w:sz w:val="24"/>
          <w:vertAlign w:val="subscript"/>
        </w:rPr>
        <w:t>1</w:t>
      </w:r>
      <w:r w:rsidRPr="006544BB">
        <w:rPr>
          <w:rFonts w:ascii="Times New Roman" w:hAnsi="Times New Roman"/>
          <w:sz w:val="24"/>
        </w:rPr>
        <w:t xml:space="preserve"> poskytnutý príspevok podľa zákona č. 447/2008 Z</w:t>
      </w:r>
      <w:r>
        <w:rPr>
          <w:rFonts w:ascii="Times New Roman" w:hAnsi="Times New Roman"/>
          <w:sz w:val="24"/>
        </w:rPr>
        <w:t>. z. o peňažných príspevkoch na </w:t>
      </w:r>
      <w:r w:rsidRPr="006544BB">
        <w:rPr>
          <w:rFonts w:ascii="Times New Roman" w:hAnsi="Times New Roman"/>
          <w:sz w:val="24"/>
        </w:rPr>
        <w:t>kompenzáciu ťažkého zdravotného postihnutia a o zmene a doplnení niektorých zákonov v znení neskorších predpisov.</w:t>
      </w:r>
    </w:p>
    <w:p w:rsidR="00DA330E" w:rsidRPr="006544BB" w:rsidP="00DA330E">
      <w:pPr>
        <w:pStyle w:val="BodyText"/>
        <w:bidi w:val="0"/>
        <w:ind w:left="284" w:hanging="284"/>
        <w:rPr>
          <w:rFonts w:ascii="Times New Roman" w:hAnsi="Times New Roman"/>
          <w:sz w:val="24"/>
        </w:rPr>
      </w:pPr>
      <w:r w:rsidRPr="006544BB">
        <w:rPr>
          <w:rFonts w:ascii="Times New Roman" w:hAnsi="Times New Roman"/>
          <w:sz w:val="24"/>
        </w:rPr>
        <w:t>2. Poplatníkom je nový držiteľ motorového vozidla alebo prípojného vozidla.</w:t>
      </w:r>
    </w:p>
    <w:p w:rsidR="00DA330E" w:rsidRPr="006544BB" w:rsidP="00DA330E">
      <w:pPr>
        <w:pStyle w:val="BodyText"/>
        <w:bidi w:val="0"/>
        <w:ind w:left="284" w:hanging="284"/>
        <w:rPr>
          <w:rFonts w:ascii="Times New Roman" w:hAnsi="Times New Roman"/>
          <w:sz w:val="24"/>
        </w:rPr>
      </w:pPr>
      <w:r w:rsidRPr="006544BB">
        <w:rPr>
          <w:rFonts w:ascii="Times New Roman" w:hAnsi="Times New Roman"/>
          <w:sz w:val="24"/>
        </w:rPr>
        <w:t>3. Poplatok podľa písmena a) tejto položky sa zníži o 50%, najviac však na 33 eur, pri zápise držiteľa motorového vozidla kategórie M</w:t>
      </w:r>
      <w:r w:rsidRPr="006544BB">
        <w:rPr>
          <w:rFonts w:ascii="Times New Roman" w:hAnsi="Times New Roman"/>
          <w:sz w:val="24"/>
          <w:vertAlign w:val="subscript"/>
        </w:rPr>
        <w:t>1</w:t>
      </w:r>
      <w:r w:rsidRPr="006544BB">
        <w:rPr>
          <w:rFonts w:ascii="Times New Roman" w:hAnsi="Times New Roman"/>
          <w:sz w:val="24"/>
        </w:rPr>
        <w:t xml:space="preserve"> s najmenej šiestimi miestami na sedenie s výkonom motora do 110 kW vrátane, ak ide o  zápis držiteľa, ktorým je osoba podľa osobitného predpisu</w:t>
      </w:r>
      <w:r w:rsidRPr="006544BB">
        <w:rPr>
          <w:rFonts w:ascii="Times New Roman" w:hAnsi="Times New Roman"/>
          <w:sz w:val="24"/>
          <w:vertAlign w:val="superscript"/>
        </w:rPr>
        <w:t>20ac</w:t>
      </w:r>
      <w:r w:rsidRPr="006544BB">
        <w:rPr>
          <w:rFonts w:ascii="Times New Roman" w:hAnsi="Times New Roman"/>
          <w:sz w:val="24"/>
        </w:rPr>
        <w:t xml:space="preserve">) uplatňujúca si nárok na prídavok na dieťa najmenej na štyri deti najneskôr do dovŕšenia 19 rokov veku. Pri zápise držiteľa podľa prvej vety je potrebné priložiť fotokópiu rodného listu dieťaťa. </w:t>
      </w:r>
    </w:p>
    <w:p w:rsidR="00DA330E" w:rsidRPr="006544BB" w:rsidP="00DA330E">
      <w:pPr>
        <w:bidi w:val="0"/>
        <w:ind w:left="284" w:hanging="284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4. Poplatník môže pri zápise motorového vozidla podľa písmena a) tejto položky predložiť znalecký posudok podľa osobitného predpisu,</w:t>
      </w:r>
      <w:r w:rsidRPr="006544BB">
        <w:rPr>
          <w:rFonts w:ascii="Times New Roman" w:hAnsi="Times New Roman"/>
          <w:vertAlign w:val="superscript"/>
        </w:rPr>
        <w:t>20ad</w:t>
      </w:r>
      <w:r w:rsidRPr="006544BB">
        <w:rPr>
          <w:rFonts w:ascii="Times New Roman" w:hAnsi="Times New Roman"/>
        </w:rPr>
        <w:t xml:space="preserve">) na základe ktorého sa vypočíta iný koeficient zostatkovej hodnoty vozidla ako je uvedený v tabuľke č. 2 zodpovedajúci veku vozidla odo dňa prvej evidencie vozidla. Koeficient zostatkovej hodnoty vozidla sa vypočíta na základe znaleckého posudku ako pomer zostatkovej hodnoty vozidla vyjadrenej v eurách a počiatočnej hodnoty vozidla vyjadrenej v eurách. Takto vypočítaný koeficient zostatkovej hodnoty vozidla zaokrúhlený matematicky na dve desatinné miesta sa použije vo vzorci na výpočet poplatku </w:t>
      </w:r>
      <w:r>
        <w:rPr>
          <w:rFonts w:ascii="Times New Roman" w:hAnsi="Times New Roman"/>
        </w:rPr>
        <w:t>podľa písmena a) tejto položky.</w:t>
      </w:r>
    </w:p>
    <w:p w:rsidR="00DA330E" w:rsidRPr="006544BB" w:rsidP="00DA330E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5. Poplatok podľa písmena a) tejto položky sa zníži o 50%, najviac však na 33 eur, pri zápise držiteľa hybridného motorového vozidla,</w:t>
      </w:r>
      <w:r w:rsidRPr="006544BB">
        <w:rPr>
          <w:rFonts w:ascii="Times New Roman" w:hAnsi="Times New Roman"/>
          <w:vertAlign w:val="superscript"/>
        </w:rPr>
        <w:t>20ae</w:t>
      </w:r>
      <w:r w:rsidRPr="006544BB">
        <w:rPr>
          <w:rFonts w:ascii="Times New Roman" w:hAnsi="Times New Roman"/>
        </w:rPr>
        <w:t>) hybridného elektrického vozidla,</w:t>
      </w:r>
      <w:r w:rsidRPr="006544BB">
        <w:rPr>
          <w:rFonts w:ascii="Times New Roman" w:hAnsi="Times New Roman"/>
          <w:vertAlign w:val="superscript"/>
        </w:rPr>
        <w:t>20af</w:t>
      </w:r>
      <w:r w:rsidRPr="006544BB">
        <w:rPr>
          <w:rFonts w:ascii="Times New Roman" w:hAnsi="Times New Roman"/>
        </w:rPr>
        <w:t>) motorového vozidla s pohonom na stlačený zemný plyn (CNG),</w:t>
      </w:r>
      <w:r w:rsidRPr="006544BB">
        <w:rPr>
          <w:rFonts w:ascii="Times New Roman" w:hAnsi="Times New Roman"/>
          <w:vertAlign w:val="superscript"/>
        </w:rPr>
        <w:t>20ag</w:t>
      </w:r>
      <w:r w:rsidRPr="006544BB">
        <w:rPr>
          <w:rFonts w:ascii="Times New Roman" w:hAnsi="Times New Roman"/>
        </w:rPr>
        <w:t>) motorového vozidla</w:t>
      </w:r>
      <w:r>
        <w:rPr>
          <w:rFonts w:ascii="Times New Roman" w:hAnsi="Times New Roman"/>
        </w:rPr>
        <w:t xml:space="preserve"> s </w:t>
      </w:r>
      <w:r w:rsidRPr="006544BB">
        <w:rPr>
          <w:rFonts w:ascii="Times New Roman" w:hAnsi="Times New Roman"/>
        </w:rPr>
        <w:t>pohonom na skvapalnený zemný plyn (LNG)</w:t>
      </w:r>
      <w:r w:rsidRPr="006544BB">
        <w:rPr>
          <w:rFonts w:ascii="Times New Roman" w:hAnsi="Times New Roman"/>
          <w:vertAlign w:val="superscript"/>
        </w:rPr>
        <w:t>20ag</w:t>
      </w:r>
      <w:r w:rsidRPr="006544BB">
        <w:rPr>
          <w:rFonts w:ascii="Times New Roman" w:hAnsi="Times New Roman"/>
        </w:rPr>
        <w:t>) a motorového vozidla na vodíkový pohon.</w:t>
      </w:r>
      <w:r w:rsidRPr="006544BB">
        <w:rPr>
          <w:rFonts w:ascii="Times New Roman" w:hAnsi="Times New Roman"/>
          <w:vertAlign w:val="superscript"/>
        </w:rPr>
        <w:t>20ah</w:t>
      </w:r>
      <w:r w:rsidRPr="006544BB">
        <w:rPr>
          <w:rFonts w:ascii="Times New Roman" w:hAnsi="Times New Roman"/>
        </w:rPr>
        <w:t>)</w:t>
      </w:r>
    </w:p>
    <w:p w:rsidR="00DA330E" w:rsidRPr="006544BB" w:rsidP="00DA330E">
      <w:pPr>
        <w:pStyle w:val="ListParagraph"/>
        <w:bidi w:val="0"/>
        <w:ind w:left="142" w:hanging="142"/>
        <w:jc w:val="both"/>
        <w:rPr>
          <w:rFonts w:ascii="Times New Roman" w:hAnsi="Times New Roman"/>
        </w:rPr>
      </w:pPr>
    </w:p>
    <w:p w:rsidR="00DA330E" w:rsidRPr="009C4738" w:rsidP="00DA330E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6. Ak predmetom podnikania osoby uvedenej v písmene d) je predaj vozidiel na základe zmluvného vzťahu s</w:t>
      </w:r>
      <w:r>
        <w:rPr>
          <w:rFonts w:ascii="Times New Roman" w:hAnsi="Times New Roman"/>
        </w:rPr>
        <w:t> </w:t>
      </w:r>
      <w:r w:rsidRPr="006544BB">
        <w:rPr>
          <w:rFonts w:ascii="Times New Roman" w:hAnsi="Times New Roman"/>
        </w:rPr>
        <w:t>výrobcom</w:t>
      </w:r>
      <w:r>
        <w:rPr>
          <w:rFonts w:ascii="Times New Roman" w:hAnsi="Times New Roman"/>
        </w:rPr>
        <w:t xml:space="preserve"> vozidla</w:t>
      </w:r>
      <w:r w:rsidRPr="006544BB">
        <w:rPr>
          <w:rFonts w:ascii="Times New Roman" w:hAnsi="Times New Roman"/>
        </w:rPr>
        <w:t xml:space="preserve"> alebo zástupcom výrobcu</w:t>
      </w:r>
      <w:r>
        <w:rPr>
          <w:rFonts w:ascii="Times New Roman" w:hAnsi="Times New Roman"/>
        </w:rPr>
        <w:t xml:space="preserve"> vozidla</w:t>
      </w:r>
      <w:r w:rsidRPr="006544BB">
        <w:rPr>
          <w:rFonts w:ascii="Times New Roman" w:hAnsi="Times New Roman"/>
        </w:rPr>
        <w:t xml:space="preserve">, pri zápise držiteľa vozidla do evidencie vozidiel je povinná tento vzťah preukázať správnemu orgánu. Ak držiteľ motorového vozidla podľa písmena d) do jedného </w:t>
      </w:r>
      <w:r w:rsidRPr="00240CDF">
        <w:rPr>
          <w:rFonts w:ascii="Times New Roman" w:hAnsi="Times New Roman"/>
        </w:rPr>
        <w:t>roka odo dňa zápisu</w:t>
      </w:r>
      <w:r w:rsidRPr="006544BB">
        <w:rPr>
          <w:rFonts w:ascii="Times New Roman" w:hAnsi="Times New Roman"/>
        </w:rPr>
        <w:t xml:space="preserve"> motorového vozidla do evidencie vozidiel nevykoná prevod </w:t>
      </w:r>
      <w:r w:rsidRPr="001F63AF">
        <w:rPr>
          <w:rFonts w:ascii="Times New Roman" w:hAnsi="Times New Roman"/>
        </w:rPr>
        <w:t>držby</w:t>
      </w:r>
      <w:r w:rsidRPr="006544BB">
        <w:rPr>
          <w:rFonts w:ascii="Times New Roman" w:hAnsi="Times New Roman"/>
        </w:rPr>
        <w:t xml:space="preserve"> motorového vozidla na inú osobu, je povinný najneskôr pri nasledujúcej zmene v evidencii vozidiel zaplatiť poplatok podľa písmena a) v sume zodpovedajúcej sume poplatku pri prvej evidencii vozidla.“.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Poznámky pod čiarou k odkazom 20aa až 20ah znejú:</w:t>
      </w:r>
    </w:p>
    <w:p w:rsidR="00DA330E" w:rsidRPr="006544BB" w:rsidP="00DA330E">
      <w:pPr>
        <w:bidi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</w:t>
      </w:r>
      <w:r w:rsidRPr="006544BB">
        <w:rPr>
          <w:rFonts w:ascii="Times New Roman" w:hAnsi="Times New Roman"/>
          <w:vertAlign w:val="superscript"/>
        </w:rPr>
        <w:t>20aa</w:t>
      </w:r>
      <w:r w:rsidRPr="006544BB">
        <w:rPr>
          <w:rFonts w:ascii="Times New Roman" w:hAnsi="Times New Roman"/>
        </w:rPr>
        <w:t xml:space="preserve">) § 2 písm. ab) zákona č. 725/2004 Z. z. </w:t>
      </w:r>
    </w:p>
    <w:p w:rsidR="00DA330E" w:rsidRPr="006544BB" w:rsidP="00DA330E">
      <w:pPr>
        <w:bidi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  <w:vertAlign w:val="superscript"/>
        </w:rPr>
        <w:t>20ab</w:t>
      </w:r>
      <w:r w:rsidRPr="006544BB">
        <w:rPr>
          <w:rFonts w:ascii="Times New Roman" w:hAnsi="Times New Roman"/>
        </w:rPr>
        <w:t>) § 2 písm. ac) zákona č. 725/2004 Z. z. v znení neskorších predpisov.</w:t>
      </w:r>
    </w:p>
    <w:p w:rsidR="00DA330E" w:rsidRPr="006544BB" w:rsidP="00DA330E">
      <w:pPr>
        <w:bidi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  <w:vertAlign w:val="superscript"/>
        </w:rPr>
        <w:t>20ac</w:t>
      </w:r>
      <w:r w:rsidRPr="006544BB">
        <w:rPr>
          <w:rFonts w:ascii="Times New Roman" w:hAnsi="Times New Roman"/>
        </w:rPr>
        <w:t>) § 2 ods. 1 písm. a) až c) zákona č. 600/2003 Z. z. o prídavku na dieťa a o zmene a doplnení zákona č. 461/2003 Z. z. o sociálnom poistení v znení neskorších predpisov.</w:t>
      </w:r>
    </w:p>
    <w:p w:rsidR="00DA330E" w:rsidRPr="006544BB" w:rsidP="00DA330E">
      <w:pPr>
        <w:bidi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  <w:vertAlign w:val="superscript"/>
        </w:rPr>
        <w:t>20ad</w:t>
      </w:r>
      <w:r w:rsidRPr="006544BB">
        <w:rPr>
          <w:rFonts w:ascii="Times New Roman" w:hAnsi="Times New Roman"/>
        </w:rPr>
        <w:t>) Napríklad § 16 až 18 a § 33 zákona č. 382/2004 Z. z. o znalcoch, tlmočníkoch a prekladateľoch a o zmene a doplnení niektorých zákonov v znení zákona č. 390/2015 Z. z., vyhláška Ministerstva spravodlivosti Slovenskej republiky č. 492/2004 Z. z.  o stanovení všeobecnej hodnoty majetku v znení neskorších predpisov.</w:t>
      </w:r>
    </w:p>
    <w:p w:rsidR="00DA330E" w:rsidRPr="006544BB" w:rsidP="00DA330E">
      <w:pPr>
        <w:bidi w:val="0"/>
        <w:rPr>
          <w:rFonts w:ascii="Times New Roman" w:hAnsi="Times New Roman"/>
        </w:rPr>
      </w:pPr>
      <w:r w:rsidRPr="006544BB">
        <w:rPr>
          <w:rFonts w:ascii="Times New Roman" w:hAnsi="Times New Roman"/>
          <w:vertAlign w:val="superscript"/>
        </w:rPr>
        <w:t>20ae</w:t>
      </w:r>
      <w:r w:rsidRPr="006544BB">
        <w:rPr>
          <w:rFonts w:ascii="Times New Roman" w:hAnsi="Times New Roman"/>
        </w:rPr>
        <w:t>) § 3 písm. i) nariadenia vlády Slovenskej republiky č. 140/2009 Z. z.</w:t>
      </w:r>
    </w:p>
    <w:p w:rsidR="00DA330E" w:rsidRPr="006544BB" w:rsidP="00DA330E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6544BB">
        <w:rPr>
          <w:rFonts w:ascii="Times New Roman" w:hAnsi="Times New Roman"/>
          <w:sz w:val="24"/>
          <w:szCs w:val="24"/>
          <w:vertAlign w:val="superscript"/>
        </w:rPr>
        <w:t>20af</w:t>
      </w:r>
      <w:r w:rsidRPr="006544BB">
        <w:rPr>
          <w:rFonts w:ascii="Times New Roman" w:hAnsi="Times New Roman"/>
          <w:sz w:val="24"/>
          <w:szCs w:val="24"/>
        </w:rPr>
        <w:t>) § 3 písm. j) nariadenia vlády Slovenskej republiky č. 140/2009 Z. z.</w:t>
      </w:r>
    </w:p>
    <w:p w:rsidR="00DA330E" w:rsidRPr="006544BB" w:rsidP="00DA330E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6544BB">
        <w:rPr>
          <w:rFonts w:ascii="Times New Roman" w:hAnsi="Times New Roman"/>
          <w:sz w:val="24"/>
          <w:szCs w:val="24"/>
          <w:vertAlign w:val="superscript"/>
        </w:rPr>
        <w:t>20ag</w:t>
      </w:r>
      <w:r w:rsidRPr="006544BB">
        <w:rPr>
          <w:rFonts w:ascii="Times New Roman" w:hAnsi="Times New Roman"/>
          <w:sz w:val="24"/>
          <w:szCs w:val="24"/>
        </w:rPr>
        <w:t>) Dohoda o prijatí jednotných podmienok pre homologáciu (overovanie zhodnosti) a</w:t>
      </w:r>
      <w:r>
        <w:rPr>
          <w:rFonts w:ascii="Times New Roman" w:hAnsi="Times New Roman"/>
          <w:sz w:val="24"/>
          <w:szCs w:val="24"/>
        </w:rPr>
        <w:t> o </w:t>
      </w:r>
      <w:r w:rsidRPr="006544BB">
        <w:rPr>
          <w:rFonts w:ascii="Times New Roman" w:hAnsi="Times New Roman"/>
          <w:sz w:val="24"/>
          <w:szCs w:val="24"/>
        </w:rPr>
        <w:t>vzájomnom uznávaní homologácie výstroja a súčastí motorových vozidiel (vyhláška ministra zahraničných vecí č. 176/1960 Zb.).</w:t>
      </w:r>
    </w:p>
    <w:p w:rsidR="00DA330E" w:rsidRPr="006544BB" w:rsidP="00DA330E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6544BB">
        <w:rPr>
          <w:rFonts w:ascii="Times New Roman" w:hAnsi="Times New Roman"/>
          <w:sz w:val="24"/>
          <w:szCs w:val="24"/>
        </w:rPr>
        <w:t>Oznámenie Ministerstva zahraničných vecí Slovenskej republiky č. 245/1996 Z. z. o uskutočnení notifikácie sukcesie Slovenskej republiky do Dohody o prijatí jednotných podmienok pre homologáciu (overovanie zhodnosti) a vzájomnom uznávaní homologácie výstroja a súčastí motorových vozidiel.</w:t>
      </w:r>
    </w:p>
    <w:p w:rsidR="00DA330E" w:rsidP="00DA330E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240CDF">
        <w:rPr>
          <w:rFonts w:ascii="Times New Roman" w:hAnsi="Times New Roman"/>
          <w:sz w:val="24"/>
          <w:szCs w:val="24"/>
        </w:rPr>
        <w:t>Predpis Európskej hospodárskej komisie Organizácie Spojených národov (EHK OSN) č. 110 - Jednotné ustanovenia o typovom schvaľovaní I. špecifických súčastí motorových vozidiel používajúcich stlačený zemný plyn (CNG) v svojich pohonných systémoch; - II. vozidiel vzhľadom na inštaláciu špecifických súčastí schváleného typu na použitie stlačeného zemného plynu vo svojich pohonných systémoch (Ú.v. EÚ L 120, 7.5.2011).</w:t>
      </w:r>
    </w:p>
    <w:p w:rsidR="00DA330E" w:rsidP="00DA330E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  <w:r w:rsidRPr="006544BB">
        <w:rPr>
          <w:rFonts w:ascii="Times New Roman" w:hAnsi="Times New Roman"/>
          <w:sz w:val="24"/>
          <w:szCs w:val="24"/>
          <w:vertAlign w:val="superscript"/>
        </w:rPr>
        <w:t>20ah</w:t>
      </w:r>
      <w:r w:rsidRPr="006544BB">
        <w:rPr>
          <w:rFonts w:ascii="Times New Roman" w:hAnsi="Times New Roman"/>
          <w:sz w:val="24"/>
          <w:szCs w:val="24"/>
        </w:rPr>
        <w:t>) Nariadenie Európskeho parlamentu a Rady (ES) č</w:t>
      </w:r>
      <w:r>
        <w:rPr>
          <w:rFonts w:ascii="Times New Roman" w:hAnsi="Times New Roman"/>
          <w:sz w:val="24"/>
          <w:szCs w:val="24"/>
        </w:rPr>
        <w:t>. 79/2009 zo 14. januára 2009 o </w:t>
      </w:r>
      <w:r w:rsidRPr="006544BB">
        <w:rPr>
          <w:rFonts w:ascii="Times New Roman" w:hAnsi="Times New Roman"/>
          <w:sz w:val="24"/>
          <w:szCs w:val="24"/>
        </w:rPr>
        <w:t>typovom schvaľovaní motorových vozidiel na vodíkový pohon, ktorým sa mení a dopĺňa smernica 2007/46/ES (Ú. v. EÚ L 35, 4.2.2009).“.</w:t>
      </w:r>
    </w:p>
    <w:p w:rsidR="00DA330E" w:rsidRPr="006544BB" w:rsidP="00DA330E">
      <w:pPr>
        <w:pStyle w:val="FootnoteText"/>
        <w:bidi w:val="0"/>
        <w:jc w:val="both"/>
        <w:rPr>
          <w:rFonts w:ascii="Times New Roman" w:hAnsi="Times New Roman"/>
          <w:sz w:val="24"/>
          <w:szCs w:val="24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10. V Sadzobníku správnych poplatkov časti VI. Doprava položke 73 písmeno d) znie: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166D8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166D8">
        <w:rPr>
          <w:rFonts w:ascii="Times New Roman" w:hAnsi="Times New Roman"/>
        </w:rPr>
        <w:t>„d) trvalé vyradenie vozidla z evidencie, ktoré nepodlieha spracovaniu podľa osobitného predpisu</w:t>
      </w:r>
      <w:r w:rsidRPr="0066076D">
        <w:rPr>
          <w:rFonts w:ascii="Times New Roman" w:hAnsi="Times New Roman"/>
          <w:vertAlign w:val="superscript"/>
        </w:rPr>
        <w:t>38</w:t>
      </w:r>
      <w:r w:rsidRPr="006166D8">
        <w:rPr>
          <w:rFonts w:ascii="Times New Roman" w:hAnsi="Times New Roman"/>
        </w:rPr>
        <w:t>) .......................................................................</w:t>
      </w:r>
      <w:r>
        <w:rPr>
          <w:rFonts w:ascii="Times New Roman" w:hAnsi="Times New Roman"/>
        </w:rPr>
        <w:t>...</w:t>
      </w:r>
      <w:r w:rsidRPr="006166D8">
        <w:rPr>
          <w:rFonts w:ascii="Times New Roman" w:hAnsi="Times New Roman"/>
        </w:rPr>
        <w:t>............................................. 5 eur“.</w:t>
      </w:r>
    </w:p>
    <w:p w:rsidR="00DA330E" w:rsidRPr="006166D8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11. V Sadzobníku správnych poplatkov časti VI. Doprava položke 73 sa za písmeno f) vkladá časť Oslobodenie, ktor</w:t>
      </w:r>
      <w:r>
        <w:rPr>
          <w:rFonts w:ascii="Times New Roman" w:hAnsi="Times New Roman"/>
        </w:rPr>
        <w:t>á</w:t>
      </w:r>
      <w:r w:rsidRPr="006544BB">
        <w:rPr>
          <w:rFonts w:ascii="Times New Roman" w:hAnsi="Times New Roman"/>
        </w:rPr>
        <w:t xml:space="preserve"> znie:</w:t>
      </w:r>
    </w:p>
    <w:p w:rsidR="00FF16BD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„Oslobodenie</w:t>
      </w:r>
    </w:p>
    <w:p w:rsidR="00DA330E" w:rsidRPr="006544BB" w:rsidP="00DA330E">
      <w:pPr>
        <w:pStyle w:val="ListParagraph"/>
        <w:autoSpaceDE w:val="0"/>
        <w:autoSpaceDN w:val="0"/>
        <w:bidi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Poplatok za vyradenie vozidla z evidencie sa nevyberie pri trvalom vyradení vozidla z evidencie vozidie</w:t>
      </w:r>
      <w:r>
        <w:rPr>
          <w:rFonts w:ascii="Times New Roman" w:hAnsi="Times New Roman"/>
        </w:rPr>
        <w:t>l, ak bolo vozidlo odcudzené.“.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Pr="006544BB">
        <w:rPr>
          <w:rFonts w:ascii="Times New Roman" w:hAnsi="Times New Roman"/>
        </w:rPr>
        <w:t>V Sadzobníku správnych poplatkov časti VIII. Finančná správa a obchodná činnosť položke 143 sa vypúšťa písmeno d).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Pr="006544BB">
        <w:rPr>
          <w:rFonts w:ascii="Times New Roman" w:hAnsi="Times New Roman"/>
        </w:rPr>
        <w:t>V Sadzobníku správnych poplatkov časti VIII. Finančná správa a obchodná činnosť položke 144 písm. f) sa nad slovom „konania“ odkaz „</w:t>
      </w:r>
      <w:r w:rsidRPr="006544BB">
        <w:rPr>
          <w:rFonts w:ascii="Times New Roman" w:hAnsi="Times New Roman"/>
          <w:vertAlign w:val="superscript"/>
        </w:rPr>
        <w:t>8</w:t>
      </w:r>
      <w:r w:rsidRPr="006544BB">
        <w:rPr>
          <w:rFonts w:ascii="Times New Roman" w:hAnsi="Times New Roman"/>
        </w:rPr>
        <w:t>)“ nahrádza odkazom „</w:t>
      </w:r>
      <w:r w:rsidRPr="006544BB">
        <w:rPr>
          <w:rFonts w:ascii="Times New Roman" w:hAnsi="Times New Roman"/>
          <w:vertAlign w:val="superscript"/>
        </w:rPr>
        <w:t>32a</w:t>
      </w:r>
      <w:r w:rsidRPr="006544BB">
        <w:rPr>
          <w:rFonts w:ascii="Times New Roman" w:hAnsi="Times New Roman"/>
        </w:rPr>
        <w:t>)“.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Pr="006544BB">
        <w:rPr>
          <w:rFonts w:ascii="Times New Roman" w:hAnsi="Times New Roman"/>
        </w:rPr>
        <w:t>V Sadzobníku správnych poplatkov časti VIII. Finančná správa a obchodná činnosť položke 149 časti Oslobodenie sa slov</w:t>
      </w:r>
      <w:r>
        <w:rPr>
          <w:rFonts w:ascii="Times New Roman" w:hAnsi="Times New Roman"/>
        </w:rPr>
        <w:t>á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 b) a </w:t>
      </w:r>
      <w:r w:rsidRPr="006544BB">
        <w:rPr>
          <w:rFonts w:ascii="Times New Roman" w:hAnsi="Times New Roman"/>
        </w:rPr>
        <w:t>h)“ nahrádza</w:t>
      </w:r>
      <w:r>
        <w:rPr>
          <w:rFonts w:ascii="Times New Roman" w:hAnsi="Times New Roman"/>
        </w:rPr>
        <w:t>jú</w:t>
      </w:r>
      <w:r w:rsidRPr="006544BB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</w:t>
      </w:r>
      <w:r w:rsidRPr="006544BB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 b) a </w:t>
      </w:r>
      <w:r w:rsidRPr="006544BB">
        <w:rPr>
          <w:rFonts w:ascii="Times New Roman" w:hAnsi="Times New Roman"/>
        </w:rPr>
        <w:t>j)“ a časti Poznámky prvom bode sa slov</w:t>
      </w:r>
      <w:r>
        <w:rPr>
          <w:rFonts w:ascii="Times New Roman" w:hAnsi="Times New Roman"/>
        </w:rPr>
        <w:t>á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písmena </w:t>
      </w:r>
      <w:r w:rsidRPr="006544BB">
        <w:rPr>
          <w:rFonts w:ascii="Times New Roman" w:hAnsi="Times New Roman"/>
        </w:rPr>
        <w:t>i)“ nahrádza</w:t>
      </w:r>
      <w:r>
        <w:rPr>
          <w:rFonts w:ascii="Times New Roman" w:hAnsi="Times New Roman"/>
        </w:rPr>
        <w:t>jú</w:t>
      </w:r>
      <w:r w:rsidRPr="006544BB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ami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písmena </w:t>
      </w:r>
      <w:r w:rsidRPr="006544BB">
        <w:rPr>
          <w:rFonts w:ascii="Times New Roman" w:hAnsi="Times New Roman"/>
        </w:rPr>
        <w:t>k)“, v druhom bode sa slov</w:t>
      </w:r>
      <w:r>
        <w:rPr>
          <w:rFonts w:ascii="Times New Roman" w:hAnsi="Times New Roman"/>
        </w:rPr>
        <w:t>á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písmena </w:t>
      </w:r>
      <w:r w:rsidRPr="006544BB">
        <w:rPr>
          <w:rFonts w:ascii="Times New Roman" w:hAnsi="Times New Roman"/>
        </w:rPr>
        <w:t>k)“ nahrádza</w:t>
      </w:r>
      <w:r>
        <w:rPr>
          <w:rFonts w:ascii="Times New Roman" w:hAnsi="Times New Roman"/>
        </w:rPr>
        <w:t>jú</w:t>
      </w:r>
      <w:r w:rsidRPr="006544BB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</w:t>
      </w:r>
      <w:r w:rsidRPr="006544BB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písmena </w:t>
      </w:r>
      <w:r w:rsidRPr="006544BB">
        <w:rPr>
          <w:rFonts w:ascii="Times New Roman" w:hAnsi="Times New Roman"/>
        </w:rPr>
        <w:t>m)“ a v treťom bode sa slov</w:t>
      </w:r>
      <w:r>
        <w:rPr>
          <w:rFonts w:ascii="Times New Roman" w:hAnsi="Times New Roman"/>
        </w:rPr>
        <w:t>á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písmena </w:t>
      </w:r>
      <w:r w:rsidRPr="006544BB">
        <w:rPr>
          <w:rFonts w:ascii="Times New Roman" w:hAnsi="Times New Roman"/>
        </w:rPr>
        <w:t>l)“ nahrádza</w:t>
      </w:r>
      <w:r>
        <w:rPr>
          <w:rFonts w:ascii="Times New Roman" w:hAnsi="Times New Roman"/>
        </w:rPr>
        <w:t>jú</w:t>
      </w:r>
      <w:r w:rsidRPr="006544BB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ami</w:t>
      </w:r>
      <w:r w:rsidRPr="006544B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písmena </w:t>
      </w:r>
      <w:r w:rsidRPr="006544BB">
        <w:rPr>
          <w:rFonts w:ascii="Times New Roman" w:hAnsi="Times New Roman"/>
        </w:rPr>
        <w:t>n)“.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 xml:space="preserve">15. </w:t>
      </w:r>
      <w:r w:rsidRPr="006544BB">
        <w:rPr>
          <w:rFonts w:ascii="Times New Roman" w:hAnsi="Times New Roman" w:cs="Calibri"/>
        </w:rPr>
        <w:t xml:space="preserve">V Sadzobníku správnych poplatkov časti XIX. Štatistika sa vypúšťajú položky 266 a 267 vrátane poznámok. </w:t>
      </w:r>
    </w:p>
    <w:p w:rsidR="00DA330E" w:rsidRPr="006544BB" w:rsidP="00DA330E">
      <w:pPr>
        <w:bidi w:val="0"/>
        <w:rPr>
          <w:rFonts w:ascii="Times New Roman" w:hAnsi="Times New Roman"/>
          <w:b/>
        </w:rPr>
      </w:pPr>
    </w:p>
    <w:p w:rsidR="00DA330E" w:rsidRPr="006544BB" w:rsidP="00DA330E">
      <w:pPr>
        <w:bidi w:val="0"/>
        <w:jc w:val="center"/>
        <w:rPr>
          <w:rFonts w:ascii="Times New Roman" w:hAnsi="Times New Roman"/>
          <w:b/>
        </w:rPr>
      </w:pPr>
      <w:r w:rsidRPr="006544BB">
        <w:rPr>
          <w:rFonts w:ascii="Times New Roman" w:hAnsi="Times New Roman"/>
          <w:b/>
        </w:rPr>
        <w:t>Čl. II</w:t>
      </w:r>
    </w:p>
    <w:p w:rsidR="00DA330E" w:rsidRPr="006544BB" w:rsidP="00DA330E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DA330E" w:rsidRPr="006544BB" w:rsidP="00DA330E">
      <w:pPr>
        <w:pStyle w:val="BodyText"/>
        <w:bidi w:val="0"/>
        <w:rPr>
          <w:rFonts w:ascii="Times New Roman" w:hAnsi="Times New Roman"/>
          <w:sz w:val="24"/>
        </w:rPr>
      </w:pPr>
      <w:r w:rsidRPr="006544BB">
        <w:rPr>
          <w:rFonts w:ascii="Times New Roman" w:hAnsi="Times New Roman"/>
          <w:sz w:val="24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 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 zákona č. 136/2010 Z. z., zákona č. 381/2011 Z. z., zákona č. 286/2012 Z. z., nálezu Ústavného súdu Slovenskej republiky č. 297/2012 Z. z., zákona č. 64/2013 Z. z., zákona č. 125/2013 Z. z., zákona č. 347/2013 Z. z., zákona č. 357/2013 Z. z., zákona č. 204/2014 Z. z., zákona č. 87/2015 Z. z., zákona č. 253/2015 Z. z., zákona č. 267/2015 Z. z., zákona č. 273/2015 Z. z., zákona č. 390/2015 Z. z., zákona č. 402/2015 Z. z., zákona č. 438/2015 Z. z., zákona č. 91/2016 Z. z.</w:t>
      </w:r>
      <w:r>
        <w:rPr>
          <w:rFonts w:ascii="Times New Roman" w:hAnsi="Times New Roman"/>
          <w:sz w:val="24"/>
        </w:rPr>
        <w:t>,</w:t>
      </w:r>
      <w:r w:rsidRPr="006544BB">
        <w:rPr>
          <w:rFonts w:ascii="Times New Roman" w:hAnsi="Times New Roman"/>
          <w:sz w:val="24"/>
        </w:rPr>
        <w:t> zákona č. 125/2016 Z. z.</w:t>
      </w:r>
      <w:r>
        <w:rPr>
          <w:rFonts w:ascii="Times New Roman" w:hAnsi="Times New Roman"/>
          <w:sz w:val="24"/>
        </w:rPr>
        <w:t xml:space="preserve"> a zákona č. 307/2016 Z. z.</w:t>
      </w:r>
      <w:r w:rsidRPr="006544BB">
        <w:rPr>
          <w:rFonts w:ascii="Times New Roman" w:hAnsi="Times New Roman"/>
          <w:sz w:val="24"/>
        </w:rPr>
        <w:t xml:space="preserve"> sa mení a dopĺňa takto: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1. V § 4 ods. 2 písm. a) sa za slovo „fondy,</w:t>
      </w:r>
      <w:r w:rsidRPr="006544BB">
        <w:rPr>
          <w:rFonts w:ascii="Times New Roman" w:hAnsi="Times New Roman"/>
          <w:vertAlign w:val="superscript"/>
        </w:rPr>
        <w:t>3aa</w:t>
      </w:r>
      <w:r w:rsidRPr="006544BB">
        <w:rPr>
          <w:rFonts w:ascii="Times New Roman" w:hAnsi="Times New Roman"/>
        </w:rPr>
        <w:t>)“ vkladajú slová „právnická osoba vykonávajúca konsolidáciu pohľadávok verejného sektora,</w:t>
      </w:r>
      <w:r w:rsidRPr="006544BB">
        <w:rPr>
          <w:rFonts w:ascii="Times New Roman" w:hAnsi="Times New Roman"/>
          <w:vertAlign w:val="superscript"/>
        </w:rPr>
        <w:t>3cac</w:t>
      </w:r>
      <w:r w:rsidRPr="006544BB">
        <w:rPr>
          <w:rFonts w:ascii="Times New Roman" w:hAnsi="Times New Roman"/>
        </w:rPr>
        <w:t xml:space="preserve">)“. 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Poznámka pod čiarou k odkazu 3cac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</w:t>
      </w:r>
      <w:r w:rsidRPr="006544BB">
        <w:rPr>
          <w:rFonts w:ascii="Times New Roman" w:hAnsi="Times New Roman"/>
          <w:vertAlign w:val="superscript"/>
        </w:rPr>
        <w:t>3cac</w:t>
      </w:r>
      <w:r w:rsidRPr="006544BB">
        <w:rPr>
          <w:rFonts w:ascii="Times New Roman" w:hAnsi="Times New Roman"/>
        </w:rPr>
        <w:t>) § 14 ods. 2 zákona č. 374/2014 Z. z. o pohľadávkach štátu a o zmene a doplnení niektorých zákonov v znení zákona č. 87/2015 Z. z.“.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2. § 11 sa dopĺňa odsekom 13, ktorý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„(13) Nárok na vyplatenie poplatku alebo preplatku na základe odpisu právoplatného rozhodnutia alebo písomného upovedomenia o spôsobe vybavenia sťažnosti podľa osobitného zákona</w:t>
      </w:r>
      <w:r w:rsidRPr="006544BB">
        <w:rPr>
          <w:rFonts w:ascii="Times New Roman" w:hAnsi="Times New Roman"/>
          <w:vertAlign w:val="superscript"/>
        </w:rPr>
        <w:t>7</w:t>
      </w:r>
      <w:r w:rsidRPr="006544BB">
        <w:rPr>
          <w:rFonts w:ascii="Times New Roman" w:hAnsi="Times New Roman"/>
        </w:rPr>
        <w:t>) zaniká po uplynutí desiatich rokov od konca kalendárneho roka, v ktorom sa stalo právoplatným vydané rozhodnutie o vrátení poplatku alebo preplatku alebo bolo vydané písomné upovedomenie o spôsobe vybavenia sťažnosti podľa osobitného zákona.</w:t>
      </w:r>
      <w:r w:rsidRPr="006544BB">
        <w:rPr>
          <w:rFonts w:ascii="Times New Roman" w:hAnsi="Times New Roman"/>
          <w:vertAlign w:val="superscript"/>
        </w:rPr>
        <w:t>7</w:t>
      </w:r>
      <w:r w:rsidRPr="006544BB">
        <w:rPr>
          <w:rFonts w:ascii="Times New Roman" w:hAnsi="Times New Roman"/>
        </w:rPr>
        <w:t>)“.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3. V § 15 ods. 2 úvodnej vete sa slová „Správa finančnej kontroly</w:t>
      </w:r>
      <w:r w:rsidRPr="006544BB">
        <w:rPr>
          <w:rFonts w:ascii="Times New Roman" w:hAnsi="Times New Roman"/>
          <w:vertAlign w:val="superscript"/>
        </w:rPr>
        <w:t>7f</w:t>
      </w:r>
      <w:r w:rsidRPr="006544BB">
        <w:rPr>
          <w:rFonts w:ascii="Times New Roman" w:hAnsi="Times New Roman"/>
        </w:rPr>
        <w:t>)“ nahrádzajú slovami „Úrad vládneho auditu</w:t>
      </w:r>
      <w:r w:rsidRPr="006544BB">
        <w:rPr>
          <w:rFonts w:ascii="Times New Roman" w:hAnsi="Times New Roman"/>
          <w:vertAlign w:val="superscript"/>
        </w:rPr>
        <w:t>7f</w:t>
      </w:r>
      <w:r w:rsidRPr="006544BB">
        <w:rPr>
          <w:rFonts w:ascii="Times New Roman" w:hAnsi="Times New Roman"/>
        </w:rPr>
        <w:t>)“.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Poznámka pod čiarou k odkazu 7f znie: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</w:t>
      </w:r>
      <w:r w:rsidRPr="006544BB">
        <w:rPr>
          <w:rFonts w:ascii="Times New Roman" w:hAnsi="Times New Roman"/>
          <w:vertAlign w:val="superscript"/>
        </w:rPr>
        <w:t>7f</w:t>
      </w:r>
      <w:r w:rsidRPr="006544BB">
        <w:rPr>
          <w:rFonts w:ascii="Times New Roman" w:hAnsi="Times New Roman"/>
        </w:rPr>
        <w:t>) § 4 zákona č. 357/2015 Z. z. o finančnej kontrole a audite a o zmene a doplnení niektorých zákonov.“.</w:t>
      </w: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4. Za § 15 sa vkladá § 15a, ktorý vrátane nadpisu znie: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357"/>
        <w:jc w:val="center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„§ 15a</w:t>
      </w:r>
    </w:p>
    <w:p w:rsidR="00DA330E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Evidencia poplatkov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(1) Ministerstvo financií Slovenskej republiky vedie centrálnu evidenciu poplatkov, ktoré sú príjmom štátneho rozpočtu, prostredníctvom prevádzkovateľa systému.</w:t>
      </w:r>
    </w:p>
    <w:p w:rsidR="00DA330E" w:rsidRPr="006544BB" w:rsidP="00DA330E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(2) Orgány uvedené v § 3, ktoré sú zapojené do centrálneho systému evidencie poplatkov, nearchivujú potvrdenia o úhrade poplatku vydané technickým zariadením prevádzkovateľa systému, ak informačný systém, ktorý orgán uvedený v § 3 používa, umožní kontrolu poplatkov podľa § 15.</w:t>
      </w:r>
    </w:p>
    <w:p w:rsidR="00DA330E" w:rsidRPr="006544BB" w:rsidP="00DA330E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(3) Orgány uvedené v § 3, ktoré nie sú zapojené do centrálneho systému evidencie poplatkov, sú povinné viesť priebežnú evidenciu o vykonaných spoplatňovaných úkonoch a konaniach, ich počte, o príslušných sadzbách poplatkov a sumách vybra</w:t>
      </w:r>
      <w:r>
        <w:rPr>
          <w:rFonts w:ascii="Times New Roman" w:hAnsi="Times New Roman"/>
        </w:rPr>
        <w:t>ných poplatkov za tieto úkony a </w:t>
      </w:r>
      <w:r w:rsidRPr="006544BB">
        <w:rPr>
          <w:rFonts w:ascii="Times New Roman" w:hAnsi="Times New Roman"/>
        </w:rPr>
        <w:t>konania.“.</w:t>
      </w:r>
    </w:p>
    <w:p w:rsidR="00DA330E" w:rsidRPr="006544BB" w:rsidP="00DA330E">
      <w:pPr>
        <w:pStyle w:val="ListParagraph"/>
        <w:autoSpaceDE w:val="0"/>
        <w:autoSpaceDN w:val="0"/>
        <w:bidi w:val="0"/>
        <w:adjustRightInd w:val="0"/>
        <w:ind w:left="360"/>
        <w:jc w:val="center"/>
        <w:rPr>
          <w:rFonts w:ascii="Times New Roman" w:hAnsi="Times New Roman"/>
        </w:rPr>
      </w:pPr>
    </w:p>
    <w:p w:rsidR="00DA330E" w:rsidRPr="006544BB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5. V § 16 ods. 3 sa slová „daňového úradu príslušného podľa sídla obvodného úradu, ktorý poplatok vybral“ nahrádzajú slovami „prevádzkovateľa systému“.</w:t>
      </w:r>
    </w:p>
    <w:p w:rsidR="00DA330E" w:rsidRPr="006544BB" w:rsidP="00DA330E">
      <w:pPr>
        <w:autoSpaceDE w:val="0"/>
        <w:autoSpaceDN w:val="0"/>
        <w:bidi w:val="0"/>
        <w:adjustRightInd w:val="0"/>
        <w:ind w:left="284" w:hanging="284"/>
        <w:jc w:val="both"/>
        <w:rPr>
          <w:rFonts w:ascii="Times New Roman" w:hAnsi="Times New Roman"/>
        </w:rPr>
      </w:pPr>
    </w:p>
    <w:p w:rsidR="00DA330E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>6. Za § 18f sa vkladá § 18g, ktorý vrátane nadpisu znie:</w:t>
      </w:r>
    </w:p>
    <w:p w:rsidR="00DA330E" w:rsidRPr="00BA0275" w:rsidP="00DA330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„§ 18g</w:t>
      </w:r>
    </w:p>
    <w:p w:rsidR="00DA330E" w:rsidRPr="006544BB" w:rsidP="00DA330E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6544BB">
        <w:rPr>
          <w:rFonts w:ascii="Times New Roman" w:hAnsi="Times New Roman"/>
        </w:rPr>
        <w:t>Prechodné ustanovenia k úpravám účinným od 1. februára 2017</w:t>
      </w:r>
    </w:p>
    <w:p w:rsidR="00DA330E" w:rsidRPr="006544BB" w:rsidP="00DA330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 xml:space="preserve">(1) Z úkonov navrhnutých alebo za konania </w:t>
      </w:r>
      <w:r>
        <w:rPr>
          <w:rFonts w:ascii="Times New Roman" w:hAnsi="Times New Roman"/>
        </w:rPr>
        <w:t xml:space="preserve">začaté a </w:t>
      </w:r>
      <w:r w:rsidRPr="006544BB">
        <w:rPr>
          <w:rFonts w:ascii="Times New Roman" w:hAnsi="Times New Roman"/>
        </w:rPr>
        <w:t>právoplatne neukončené do 31. januára 2017 sa vyberajú poplatky podľa predpisov účinných do 31. januára 2017, i keď sa stanú splatnými po 31. januári 2017.</w:t>
      </w:r>
    </w:p>
    <w:p w:rsidR="00DA330E" w:rsidRPr="006544BB" w:rsidP="00DA330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DA330E" w:rsidRPr="006544BB" w:rsidP="00DA330E">
      <w:pPr>
        <w:pStyle w:val="ListParagraph"/>
        <w:autoSpaceDE w:val="0"/>
        <w:autoSpaceDN w:val="0"/>
        <w:bidi w:val="0"/>
        <w:ind w:left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 xml:space="preserve">(2) Pri rozhodnutiach o vrátení poplatku alebo preplatku, ktoré nadobudli </w:t>
      </w:r>
      <w:r>
        <w:rPr>
          <w:rFonts w:ascii="Times New Roman" w:hAnsi="Times New Roman"/>
        </w:rPr>
        <w:t>právoplatnosť pred 1. februárom</w:t>
      </w:r>
      <w:r w:rsidRPr="006544BB">
        <w:rPr>
          <w:rFonts w:ascii="Times New Roman" w:hAnsi="Times New Roman"/>
        </w:rPr>
        <w:t> 2017, alebo pri písomných upovedomeniach o vybavení sťažností doručených pred 1. februárom 2017, lehota na uplatnenie nároku na vyplatenie poplatku alebo preplatku podľa § 11 ods. 13 v znení účinnom od 1. februára 2017 začína plynúť od 1. februára 2017.“.</w:t>
      </w:r>
    </w:p>
    <w:p w:rsidR="00DA330E" w:rsidRPr="006544BB" w:rsidP="00DA330E">
      <w:pPr>
        <w:pStyle w:val="ListParagraph"/>
        <w:autoSpaceDE w:val="0"/>
        <w:autoSpaceDN w:val="0"/>
        <w:bidi w:val="0"/>
        <w:ind w:left="0"/>
        <w:jc w:val="both"/>
        <w:rPr>
          <w:rFonts w:ascii="Times New Roman" w:hAnsi="Times New Roman"/>
        </w:rPr>
      </w:pPr>
    </w:p>
    <w:p w:rsidR="00FF16BD" w:rsidP="00DA330E">
      <w:pPr>
        <w:bidi w:val="0"/>
        <w:jc w:val="center"/>
        <w:rPr>
          <w:rFonts w:ascii="Times New Roman" w:hAnsi="Times New Roman"/>
          <w:b/>
        </w:rPr>
      </w:pPr>
    </w:p>
    <w:p w:rsidR="00FF16BD" w:rsidP="00DA330E">
      <w:pPr>
        <w:bidi w:val="0"/>
        <w:jc w:val="center"/>
        <w:rPr>
          <w:rFonts w:ascii="Times New Roman" w:hAnsi="Times New Roman"/>
          <w:b/>
        </w:rPr>
      </w:pPr>
    </w:p>
    <w:p w:rsidR="00FF16BD" w:rsidP="00DA330E">
      <w:pPr>
        <w:bidi w:val="0"/>
        <w:jc w:val="center"/>
        <w:rPr>
          <w:rFonts w:ascii="Times New Roman" w:hAnsi="Times New Roman"/>
          <w:b/>
        </w:rPr>
      </w:pPr>
    </w:p>
    <w:p w:rsidR="00FF16BD" w:rsidP="00DA330E">
      <w:pPr>
        <w:bidi w:val="0"/>
        <w:jc w:val="center"/>
        <w:rPr>
          <w:rFonts w:ascii="Times New Roman" w:hAnsi="Times New Roman"/>
          <w:b/>
        </w:rPr>
      </w:pPr>
    </w:p>
    <w:p w:rsidR="00FF16BD" w:rsidP="00DA330E">
      <w:pPr>
        <w:bidi w:val="0"/>
        <w:jc w:val="center"/>
        <w:rPr>
          <w:rFonts w:ascii="Times New Roman" w:hAnsi="Times New Roman"/>
          <w:b/>
        </w:rPr>
      </w:pPr>
    </w:p>
    <w:p w:rsidR="00FF16BD" w:rsidP="00DA330E">
      <w:pPr>
        <w:bidi w:val="0"/>
        <w:jc w:val="center"/>
        <w:rPr>
          <w:rFonts w:ascii="Times New Roman" w:hAnsi="Times New Roman"/>
          <w:b/>
        </w:rPr>
      </w:pPr>
    </w:p>
    <w:p w:rsidR="00DA330E" w:rsidRPr="006544BB" w:rsidP="00DA330E">
      <w:pPr>
        <w:bidi w:val="0"/>
        <w:jc w:val="center"/>
        <w:rPr>
          <w:rFonts w:ascii="Times New Roman" w:hAnsi="Times New Roman"/>
          <w:b/>
        </w:rPr>
      </w:pPr>
      <w:r w:rsidRPr="006544BB">
        <w:rPr>
          <w:rFonts w:ascii="Times New Roman" w:hAnsi="Times New Roman"/>
          <w:b/>
        </w:rPr>
        <w:t>Čl. III</w:t>
      </w:r>
    </w:p>
    <w:p w:rsidR="00DA330E" w:rsidRPr="006544BB" w:rsidP="00DA330E">
      <w:pPr>
        <w:bidi w:val="0"/>
        <w:jc w:val="center"/>
        <w:rPr>
          <w:rFonts w:ascii="Times New Roman" w:hAnsi="Times New Roman"/>
          <w:b/>
        </w:rPr>
      </w:pPr>
    </w:p>
    <w:p w:rsidR="00DA330E" w:rsidRPr="006544BB" w:rsidP="00DA330E">
      <w:pPr>
        <w:bidi w:val="0"/>
        <w:jc w:val="both"/>
        <w:rPr>
          <w:rFonts w:ascii="Times New Roman" w:hAnsi="Times New Roman"/>
        </w:rPr>
      </w:pPr>
      <w:r w:rsidRPr="006544BB">
        <w:rPr>
          <w:rFonts w:ascii="Times New Roman" w:hAnsi="Times New Roman"/>
        </w:rPr>
        <w:t xml:space="preserve">Tento zákon nadobúda účinnosť 1. februára 2017. </w:t>
      </w:r>
    </w:p>
    <w:p w:rsidR="00DA330E" w:rsidP="00DA330E">
      <w:pPr>
        <w:bidi w:val="0"/>
        <w:spacing w:before="120"/>
        <w:rPr>
          <w:rFonts w:ascii="Times New Roman" w:hAnsi="Times New Roman"/>
        </w:rPr>
      </w:pPr>
    </w:p>
    <w:p w:rsidR="00FF16BD" w:rsidP="00DA330E">
      <w:pPr>
        <w:bidi w:val="0"/>
        <w:spacing w:before="120"/>
        <w:rPr>
          <w:rFonts w:ascii="Times New Roman" w:hAnsi="Times New Roman"/>
        </w:rPr>
      </w:pPr>
    </w:p>
    <w:p w:rsidR="00FF16BD" w:rsidP="00DA330E">
      <w:pPr>
        <w:bidi w:val="0"/>
        <w:spacing w:before="120"/>
        <w:rPr>
          <w:rFonts w:ascii="Times New Roman" w:hAnsi="Times New Roman"/>
        </w:rPr>
      </w:pPr>
    </w:p>
    <w:p w:rsidR="00FF16BD" w:rsidRPr="00E50062" w:rsidP="00DA330E">
      <w:pPr>
        <w:bidi w:val="0"/>
        <w:spacing w:before="120"/>
        <w:rPr>
          <w:rFonts w:ascii="Times New Roman" w:hAnsi="Times New Roman"/>
        </w:rPr>
      </w:pPr>
    </w:p>
    <w:p w:rsidR="004D72EE">
      <w:pPr>
        <w:bidi w:val="0"/>
        <w:rPr>
          <w:rFonts w:ascii="Times New Roman" w:hAnsi="Times New Roman"/>
        </w:rPr>
      </w:pPr>
    </w:p>
    <w:p w:rsidR="00FF16BD">
      <w:pPr>
        <w:bidi w:val="0"/>
        <w:rPr>
          <w:rFonts w:ascii="Times New Roman" w:hAnsi="Times New Roman"/>
        </w:rPr>
      </w:pPr>
    </w:p>
    <w:p w:rsidR="00FF16BD" w:rsidP="00FF16BD">
      <w:pPr>
        <w:pStyle w:val="ListParagraph"/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pStyle w:val="ListParagraph"/>
        <w:bidi w:val="0"/>
        <w:jc w:val="center"/>
        <w:rPr>
          <w:rFonts w:ascii="Times New Roman" w:hAnsi="Times New Roman"/>
        </w:rPr>
      </w:pPr>
      <w:r w:rsidRPr="00075C08">
        <w:rPr>
          <w:rFonts w:ascii="Times New Roman" w:hAnsi="Times New Roman"/>
        </w:rPr>
        <w:t>prezident Slovenskej republiky</w:t>
      </w:r>
    </w:p>
    <w:p w:rsidR="00FF16BD" w:rsidP="00FF16BD">
      <w:pPr>
        <w:bidi w:val="0"/>
        <w:rPr>
          <w:rFonts w:ascii="Times New Roman" w:hAnsi="Times New Roman"/>
        </w:rPr>
      </w:pPr>
    </w:p>
    <w:p w:rsidR="00FF16BD" w:rsidP="00FF16BD">
      <w:pPr>
        <w:bidi w:val="0"/>
        <w:rPr>
          <w:rFonts w:ascii="Times New Roman" w:hAnsi="Times New Roman"/>
        </w:rPr>
      </w:pPr>
    </w:p>
    <w:p w:rsidR="00FF16BD" w:rsidP="00FF16BD">
      <w:pPr>
        <w:bidi w:val="0"/>
        <w:rPr>
          <w:rFonts w:ascii="Times New Roman" w:hAnsi="Times New Roman"/>
        </w:rPr>
      </w:pPr>
    </w:p>
    <w:p w:rsidR="00FF16BD" w:rsidRPr="00075C08" w:rsidP="00FF16BD">
      <w:pPr>
        <w:bidi w:val="0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075C08">
        <w:rPr>
          <w:rFonts w:ascii="Times New Roman" w:hAnsi="Times New Roman"/>
        </w:rPr>
        <w:t>predseda Národnej rady Slovenskej republiky</w:t>
      </w: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</w:p>
    <w:p w:rsidR="00FF16BD" w:rsidP="00FF16BD">
      <w:pPr>
        <w:bidi w:val="0"/>
        <w:jc w:val="center"/>
        <w:rPr>
          <w:rFonts w:ascii="Times New Roman" w:hAnsi="Times New Roman"/>
        </w:rPr>
      </w:pPr>
    </w:p>
    <w:p w:rsidR="00FF16BD" w:rsidP="00FF16BD">
      <w:pPr>
        <w:bidi w:val="0"/>
        <w:jc w:val="center"/>
        <w:rPr>
          <w:rFonts w:ascii="Times New Roman" w:hAnsi="Times New Roman"/>
        </w:rPr>
      </w:pPr>
    </w:p>
    <w:p w:rsidR="00FF16BD" w:rsidP="00FF16BD">
      <w:pPr>
        <w:bidi w:val="0"/>
        <w:jc w:val="center"/>
        <w:rPr>
          <w:rFonts w:ascii="Times New Roman" w:hAnsi="Times New Roman"/>
        </w:rPr>
      </w:pPr>
    </w:p>
    <w:p w:rsidR="00FF16BD" w:rsidP="00FF16BD">
      <w:pPr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</w:p>
    <w:p w:rsidR="00FF16BD" w:rsidRPr="00075C08" w:rsidP="00FF16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75C08">
        <w:rPr>
          <w:rFonts w:ascii="Times New Roman" w:hAnsi="Times New Roman"/>
        </w:rPr>
        <w:t>predseda vlády Slovenskej republiky</w:t>
      </w:r>
    </w:p>
    <w:p w:rsidR="00FF16BD" w:rsidRPr="00075C08" w:rsidP="00FF16BD">
      <w:pPr>
        <w:bidi w:val="0"/>
        <w:rPr>
          <w:rFonts w:ascii="Times New Roman" w:hAnsi="Times New Roman"/>
        </w:rPr>
      </w:pPr>
    </w:p>
    <w:p w:rsidR="00FF16BD">
      <w:pPr>
        <w:bidi w:val="0"/>
        <w:rPr>
          <w:rFonts w:ascii="Times New Roman" w:hAnsi="Times New Roman"/>
        </w:rPr>
      </w:pPr>
    </w:p>
    <w:sectPr w:rsidSect="00A50BB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E7" w:rsidRPr="00B75CE4">
    <w:pPr>
      <w:pStyle w:val="Footer"/>
      <w:bidi w:val="0"/>
      <w:jc w:val="center"/>
      <w:rPr>
        <w:rFonts w:ascii="Arial Narrow" w:hAnsi="Arial Narrow"/>
        <w:sz w:val="22"/>
        <w:szCs w:val="22"/>
      </w:rPr>
    </w:pPr>
    <w:r w:rsidRPr="00B75CE4" w:rsidR="00DA330E">
      <w:rPr>
        <w:rFonts w:ascii="Arial Narrow" w:hAnsi="Arial Narrow"/>
        <w:sz w:val="22"/>
        <w:szCs w:val="22"/>
      </w:rPr>
      <w:fldChar w:fldCharType="begin"/>
    </w:r>
    <w:r w:rsidRPr="00B75CE4" w:rsidR="00DA330E">
      <w:rPr>
        <w:rFonts w:ascii="Arial Narrow" w:hAnsi="Arial Narrow"/>
        <w:sz w:val="22"/>
        <w:szCs w:val="22"/>
      </w:rPr>
      <w:instrText xml:space="preserve"> PAGE   \* MERGEFORMAT </w:instrText>
    </w:r>
    <w:r w:rsidRPr="00B75CE4" w:rsidR="00DA330E">
      <w:rPr>
        <w:rFonts w:ascii="Arial Narrow" w:hAnsi="Arial Narrow"/>
        <w:sz w:val="22"/>
        <w:szCs w:val="22"/>
      </w:rPr>
      <w:fldChar w:fldCharType="separate"/>
    </w:r>
    <w:r w:rsidR="00863229">
      <w:rPr>
        <w:rFonts w:ascii="Arial Narrow" w:hAnsi="Arial Narrow"/>
        <w:noProof/>
        <w:sz w:val="22"/>
        <w:szCs w:val="22"/>
      </w:rPr>
      <w:t>2</w:t>
    </w:r>
    <w:r w:rsidRPr="00B75CE4" w:rsidR="00DA330E">
      <w:rPr>
        <w:rFonts w:ascii="Arial Narrow" w:hAnsi="Arial Narrow"/>
        <w:sz w:val="22"/>
        <w:szCs w:val="22"/>
      </w:rPr>
      <w:fldChar w:fldCharType="end"/>
    </w:r>
  </w:p>
  <w:p w:rsidR="00BC47E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085"/>
    <w:multiLevelType w:val="hybridMultilevel"/>
    <w:tmpl w:val="4828B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CD40900"/>
    <w:multiLevelType w:val="hybridMultilevel"/>
    <w:tmpl w:val="1A2C7C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330E"/>
    <w:rsid w:val="00075C08"/>
    <w:rsid w:val="000966FF"/>
    <w:rsid w:val="00194A17"/>
    <w:rsid w:val="001F63AF"/>
    <w:rsid w:val="00240CDF"/>
    <w:rsid w:val="00387A26"/>
    <w:rsid w:val="004D72EE"/>
    <w:rsid w:val="006166D8"/>
    <w:rsid w:val="006544BB"/>
    <w:rsid w:val="0066076D"/>
    <w:rsid w:val="007B427D"/>
    <w:rsid w:val="00863229"/>
    <w:rsid w:val="008D0AD9"/>
    <w:rsid w:val="009C4738"/>
    <w:rsid w:val="009F3AEE"/>
    <w:rsid w:val="00A93770"/>
    <w:rsid w:val="00B3113D"/>
    <w:rsid w:val="00B73986"/>
    <w:rsid w:val="00B75CE4"/>
    <w:rsid w:val="00BA0275"/>
    <w:rsid w:val="00BC47E7"/>
    <w:rsid w:val="00D10538"/>
    <w:rsid w:val="00D74301"/>
    <w:rsid w:val="00DA330E"/>
    <w:rsid w:val="00E30FC7"/>
    <w:rsid w:val="00E50062"/>
    <w:rsid w:val="00F14CB1"/>
    <w:rsid w:val="00F84A27"/>
    <w:rsid w:val="00FF16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0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DA330E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A330E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DA330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A330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unhideWhenUsed/>
    <w:rsid w:val="00DA330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A330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DA330E"/>
    <w:pPr>
      <w:ind w:left="720"/>
      <w:contextualSpacing/>
      <w:jc w:val="left"/>
    </w:pPr>
  </w:style>
  <w:style w:type="character" w:customStyle="1" w:styleId="OdsekzoznamuChar">
    <w:name w:val="Odsek zoznamu Char"/>
    <w:link w:val="ListParagraph"/>
    <w:uiPriority w:val="34"/>
    <w:locked/>
    <w:rsid w:val="00DA330E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F16B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F16B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3335</Words>
  <Characters>19014</Characters>
  <Application>Microsoft Office Word</Application>
  <DocSecurity>0</DocSecurity>
  <Lines>0</Lines>
  <Paragraphs>0</Paragraphs>
  <ScaleCrop>false</ScaleCrop>
  <Company>Kancelaria NRSR</Company>
  <LinksUpToDate>false</LinksUpToDate>
  <CharactersWithSpaces>22305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2</cp:revision>
  <cp:lastPrinted>2016-11-24T09:20:00Z</cp:lastPrinted>
  <dcterms:created xsi:type="dcterms:W3CDTF">2016-11-24T12:19:00Z</dcterms:created>
  <dcterms:modified xsi:type="dcterms:W3CDTF">2016-11-24T12:19:00Z</dcterms:modified>
</cp:coreProperties>
</file>