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08FB" w:rsidRPr="00C0323B" w:rsidP="00DA01F2">
      <w:pPr>
        <w:bidi w:val="0"/>
        <w:spacing w:after="0" w:line="240" w:lineRule="auto"/>
        <w:jc w:val="center"/>
        <w:rPr>
          <w:rFonts w:ascii="Times New Roman" w:hAnsi="Times New Roman" w:cs="Times New Roman"/>
          <w:b/>
          <w:sz w:val="24"/>
          <w:szCs w:val="24"/>
        </w:rPr>
      </w:pPr>
      <w:r w:rsidRPr="00C0323B">
        <w:rPr>
          <w:rFonts w:ascii="Times New Roman" w:hAnsi="Times New Roman" w:cs="Times New Roman"/>
          <w:b/>
          <w:sz w:val="24"/>
          <w:szCs w:val="24"/>
        </w:rPr>
        <w:t>Dôvodová správa</w:t>
      </w:r>
    </w:p>
    <w:p w:rsidR="00E008FB" w:rsidRPr="00C0323B" w:rsidP="00DA01F2">
      <w:pPr>
        <w:bidi w:val="0"/>
        <w:spacing w:after="0" w:line="240" w:lineRule="auto"/>
        <w:outlineLvl w:val="0"/>
        <w:rPr>
          <w:rFonts w:ascii="Times New Roman" w:hAnsi="Times New Roman" w:cs="Times New Roman"/>
          <w:b/>
          <w:bCs/>
          <w:sz w:val="24"/>
          <w:szCs w:val="24"/>
          <w:u w:val="single"/>
        </w:rPr>
      </w:pPr>
    </w:p>
    <w:p w:rsidR="00E008FB" w:rsidP="00DA01F2">
      <w:pPr>
        <w:bidi w:val="0"/>
        <w:spacing w:after="0" w:line="240" w:lineRule="auto"/>
        <w:outlineLvl w:val="0"/>
        <w:rPr>
          <w:rFonts w:ascii="Times New Roman" w:hAnsi="Times New Roman" w:cs="Times New Roman"/>
          <w:b/>
          <w:bCs/>
          <w:sz w:val="24"/>
          <w:szCs w:val="24"/>
          <w:u w:val="single"/>
        </w:rPr>
      </w:pPr>
      <w:r w:rsidRPr="00C0323B">
        <w:rPr>
          <w:rFonts w:ascii="Times New Roman" w:hAnsi="Times New Roman" w:cs="Times New Roman"/>
          <w:b/>
          <w:bCs/>
          <w:sz w:val="24"/>
          <w:szCs w:val="24"/>
          <w:u w:val="single"/>
        </w:rPr>
        <w:t xml:space="preserve">Všeobecná časť  </w:t>
      </w:r>
    </w:p>
    <w:p w:rsidR="006D65BC" w:rsidRPr="00C0323B" w:rsidP="00DA01F2">
      <w:pPr>
        <w:bidi w:val="0"/>
        <w:spacing w:after="0" w:line="240" w:lineRule="auto"/>
        <w:outlineLvl w:val="0"/>
        <w:rPr>
          <w:rFonts w:ascii="Times New Roman" w:hAnsi="Times New Roman" w:cs="Times New Roman"/>
          <w:b/>
          <w:bCs/>
          <w:sz w:val="24"/>
          <w:szCs w:val="24"/>
          <w:u w:val="single"/>
        </w:rPr>
      </w:pPr>
    </w:p>
    <w:p w:rsidR="005E2690" w:rsidP="005E2690">
      <w:pPr>
        <w:bidi w:val="0"/>
        <w:spacing w:after="0" w:line="240" w:lineRule="auto"/>
        <w:jc w:val="both"/>
        <w:rPr>
          <w:rFonts w:ascii="Times New Roman" w:hAnsi="Times New Roman" w:cs="Times New Roman"/>
          <w:sz w:val="24"/>
          <w:szCs w:val="24"/>
        </w:rPr>
      </w:pPr>
      <w:r w:rsidR="006D65BC">
        <w:rPr>
          <w:rFonts w:ascii="Times New Roman" w:hAnsi="Times New Roman" w:cs="Times New Roman"/>
          <w:sz w:val="24"/>
          <w:szCs w:val="24"/>
        </w:rPr>
        <w:t>Vládny návrh zákona</w:t>
      </w:r>
      <w:r w:rsidRPr="005E2690">
        <w:rPr>
          <w:rFonts w:ascii="Times New Roman" w:hAnsi="Times New Roman" w:cs="Times New Roman"/>
          <w:sz w:val="24"/>
          <w:szCs w:val="24"/>
        </w:rPr>
        <w:t xml:space="preserve">,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 </w:t>
      </w:r>
      <w:r w:rsidR="006D65BC">
        <w:rPr>
          <w:rFonts w:ascii="Times New Roman" w:hAnsi="Times New Roman" w:cs="Times New Roman"/>
          <w:sz w:val="24"/>
          <w:szCs w:val="24"/>
        </w:rPr>
        <w:t>je vypracovaný</w:t>
      </w:r>
      <w:r w:rsidRPr="005E2690">
        <w:rPr>
          <w:rFonts w:ascii="Times New Roman" w:hAnsi="Times New Roman" w:cs="Times New Roman"/>
          <w:sz w:val="24"/>
          <w:szCs w:val="24"/>
        </w:rPr>
        <w:t xml:space="preserve"> na základe Plánu legislatívnych úloh vlády Slovenskej republiky na rok 2016 obdobie jún – december. </w:t>
      </w:r>
    </w:p>
    <w:p w:rsidR="005E2690" w:rsidRPr="005E2690" w:rsidP="005E2690">
      <w:pPr>
        <w:bidi w:val="0"/>
        <w:spacing w:after="0" w:line="240" w:lineRule="auto"/>
        <w:jc w:val="both"/>
        <w:rPr>
          <w:rFonts w:ascii="Times New Roman" w:hAnsi="Times New Roman" w:cs="Times New Roman"/>
          <w:sz w:val="24"/>
          <w:szCs w:val="24"/>
        </w:rPr>
      </w:pPr>
    </w:p>
    <w:p w:rsidR="00E008FB" w:rsidRPr="00C0323B" w:rsidP="00DA01F2">
      <w:pPr>
        <w:bidi w:val="0"/>
        <w:spacing w:after="0" w:line="240" w:lineRule="auto"/>
        <w:jc w:val="both"/>
        <w:rPr>
          <w:rFonts w:ascii="Times New Roman" w:hAnsi="Times New Roman" w:cs="Times New Roman"/>
          <w:sz w:val="24"/>
          <w:szCs w:val="24"/>
        </w:rPr>
      </w:pPr>
      <w:r w:rsidRPr="00C0323B">
        <w:rPr>
          <w:rFonts w:ascii="Times New Roman" w:hAnsi="Times New Roman" w:cs="Times New Roman"/>
          <w:sz w:val="24"/>
          <w:szCs w:val="24"/>
        </w:rPr>
        <w:t xml:space="preserve">Návrh zákona vychádza z Programového vyhlásenia vlády SR, ktorého cieľom je aj kvalitné a konkurencieschopné podnikateľské prostredie a dosiahnutie spravodlivej a efektívnej hospodárskej súťaže a to aj prostredníctvom opatrení, ktoré povedú k zníženiu administratívnej záťaže podnikateľov a podpore podnikateľského prostredia v oblasti daní. Návrh zákona obsahuje aj opatrenia v oblasti boja proti daňovým únikom, zvyšovania efektivity výberu a vymáhania daní a podporovania dobrovoľného plnenia daňových povinností. </w:t>
      </w:r>
    </w:p>
    <w:p w:rsidR="004F1881" w:rsidRPr="00C0323B" w:rsidP="00DA01F2">
      <w:pPr>
        <w:bidi w:val="0"/>
        <w:spacing w:after="0" w:line="240" w:lineRule="auto"/>
        <w:jc w:val="both"/>
        <w:rPr>
          <w:rFonts w:ascii="Times New Roman" w:hAnsi="Times New Roman" w:cs="Times New Roman"/>
          <w:sz w:val="24"/>
          <w:szCs w:val="24"/>
        </w:rPr>
      </w:pPr>
    </w:p>
    <w:p w:rsidR="00E008FB" w:rsidRPr="00C0323B" w:rsidP="00DA01F2">
      <w:pPr>
        <w:bidi w:val="0"/>
        <w:spacing w:after="0" w:line="240" w:lineRule="auto"/>
        <w:jc w:val="both"/>
        <w:rPr>
          <w:rFonts w:ascii="Times New Roman" w:hAnsi="Times New Roman" w:cs="Times New Roman"/>
          <w:sz w:val="24"/>
          <w:szCs w:val="24"/>
        </w:rPr>
      </w:pPr>
      <w:r w:rsidRPr="00C0323B">
        <w:rPr>
          <w:rFonts w:ascii="Times New Roman" w:hAnsi="Times New Roman" w:cs="Times New Roman"/>
          <w:sz w:val="24"/>
          <w:szCs w:val="24"/>
        </w:rPr>
        <w:t>V čl. I sa mení a dopĺňa zákon č. 595/2003 Z. z. o dani z príjmov. Navrhované úpravy zákona sú zamerané najmä na:</w:t>
      </w:r>
    </w:p>
    <w:p w:rsidR="00E008FB" w:rsidRPr="00C0323B" w:rsidP="00DA01F2">
      <w:pPr>
        <w:pStyle w:val="ListParagraph"/>
        <w:numPr>
          <w:numId w:val="1"/>
        </w:numPr>
        <w:bidi w:val="0"/>
        <w:ind w:left="284" w:hanging="284"/>
        <w:jc w:val="both"/>
        <w:rPr>
          <w:rFonts w:ascii="Times New Roman" w:hAnsi="Times New Roman"/>
          <w:b/>
        </w:rPr>
      </w:pPr>
      <w:r w:rsidRPr="00C0323B">
        <w:rPr>
          <w:rFonts w:ascii="Times New Roman" w:hAnsi="Times New Roman"/>
          <w:b/>
        </w:rPr>
        <w:t>zlepšenie podnikateľského prostredia pri pokračovaní konsolidácie verejných financií</w:t>
      </w:r>
    </w:p>
    <w:p w:rsidR="00E008FB" w:rsidRPr="00C0323B" w:rsidP="00DA01F2">
      <w:pPr>
        <w:pStyle w:val="ListParagraph"/>
        <w:numPr>
          <w:numId w:val="2"/>
        </w:numPr>
        <w:bidi w:val="0"/>
        <w:ind w:left="426" w:hanging="142"/>
        <w:jc w:val="both"/>
        <w:rPr>
          <w:rFonts w:ascii="Times New Roman" w:hAnsi="Times New Roman"/>
        </w:rPr>
      </w:pPr>
      <w:r w:rsidRPr="00C0323B">
        <w:rPr>
          <w:rFonts w:ascii="Times New Roman" w:hAnsi="Times New Roman"/>
        </w:rPr>
        <w:t>zníženie sadzby dane z príjmov právnických osôb na 21 %</w:t>
      </w:r>
    </w:p>
    <w:p w:rsidR="00E008FB" w:rsidRPr="006F12F2" w:rsidP="00DA01F2">
      <w:pPr>
        <w:pStyle w:val="ListParagraph"/>
        <w:numPr>
          <w:numId w:val="2"/>
        </w:numPr>
        <w:bidi w:val="0"/>
        <w:ind w:left="426" w:hanging="142"/>
        <w:jc w:val="both"/>
        <w:rPr>
          <w:rFonts w:ascii="Times New Roman" w:hAnsi="Times New Roman"/>
          <w:b/>
        </w:rPr>
      </w:pPr>
      <w:r w:rsidRPr="00C0323B">
        <w:rPr>
          <w:rFonts w:ascii="Times New Roman" w:hAnsi="Times New Roman"/>
        </w:rPr>
        <w:t>zavedenie zdanenia podielov na zisku (dividend) pri súčasnom zrušení zdravotných odvodov z týchto podielov na zisku (dividend)</w:t>
      </w:r>
    </w:p>
    <w:p w:rsidR="006F12F2" w:rsidRPr="006B4351" w:rsidP="006B4351">
      <w:pPr>
        <w:pStyle w:val="ListParagraph"/>
        <w:numPr>
          <w:numId w:val="2"/>
        </w:numPr>
        <w:bidi w:val="0"/>
        <w:ind w:left="426" w:hanging="142"/>
        <w:jc w:val="both"/>
        <w:rPr>
          <w:rFonts w:ascii="Times New Roman" w:hAnsi="Times New Roman"/>
        </w:rPr>
      </w:pPr>
      <w:r w:rsidR="00CC217A">
        <w:rPr>
          <w:rFonts w:ascii="Times New Roman" w:hAnsi="Times New Roman"/>
          <w:b/>
        </w:rPr>
        <w:t xml:space="preserve"> </w:t>
      </w:r>
      <w:r w:rsidRPr="006B4351" w:rsidR="00CC217A">
        <w:rPr>
          <w:rFonts w:ascii="Times New Roman" w:hAnsi="Times New Roman"/>
        </w:rPr>
        <w:t xml:space="preserve">zvýšenie </w:t>
      </w:r>
      <w:r w:rsidRPr="006B4351" w:rsidR="006B4351">
        <w:rPr>
          <w:rFonts w:ascii="Times New Roman" w:hAnsi="Times New Roman"/>
        </w:rPr>
        <w:t>maximálneho limitu uplatňovania paušálnych výdavkov</w:t>
      </w:r>
    </w:p>
    <w:p w:rsidR="00E008FB" w:rsidRPr="00C0323B" w:rsidP="00DA01F2">
      <w:pPr>
        <w:pStyle w:val="ListParagraph"/>
        <w:numPr>
          <w:numId w:val="1"/>
        </w:numPr>
        <w:bidi w:val="0"/>
        <w:ind w:left="284" w:hanging="284"/>
        <w:jc w:val="both"/>
        <w:rPr>
          <w:rFonts w:ascii="Times New Roman" w:hAnsi="Times New Roman"/>
          <w:b/>
        </w:rPr>
      </w:pPr>
      <w:r w:rsidRPr="00C0323B">
        <w:rPr>
          <w:rFonts w:ascii="Times New Roman" w:hAnsi="Times New Roman"/>
          <w:b/>
        </w:rPr>
        <w:t>posilňovanie</w:t>
      </w:r>
      <w:r w:rsidRPr="00C0323B">
        <w:rPr>
          <w:rFonts w:ascii="Times New Roman" w:hAnsi="Times New Roman"/>
        </w:rPr>
        <w:t xml:space="preserve"> </w:t>
      </w:r>
      <w:r w:rsidRPr="00C0323B">
        <w:rPr>
          <w:rFonts w:ascii="Times New Roman" w:hAnsi="Times New Roman"/>
          <w:b/>
        </w:rPr>
        <w:t>právnej istoty v oblasti transferového oceňovania</w:t>
      </w:r>
    </w:p>
    <w:p w:rsidR="00E008FB" w:rsidRPr="00C0323B" w:rsidP="00DA01F2">
      <w:pPr>
        <w:pStyle w:val="ListParagraph"/>
        <w:numPr>
          <w:numId w:val="2"/>
        </w:numPr>
        <w:bidi w:val="0"/>
        <w:ind w:left="426" w:hanging="142"/>
        <w:jc w:val="both"/>
        <w:rPr>
          <w:rFonts w:ascii="Times New Roman" w:hAnsi="Times New Roman"/>
        </w:rPr>
      </w:pPr>
      <w:r w:rsidRPr="00C0323B">
        <w:rPr>
          <w:rFonts w:ascii="Times New Roman" w:hAnsi="Times New Roman"/>
        </w:rPr>
        <w:t xml:space="preserve">zadefinovanie pojmu kontrolovaná transakcia </w:t>
      </w:r>
    </w:p>
    <w:p w:rsidR="00E008FB" w:rsidRPr="00C0323B" w:rsidP="00DA01F2">
      <w:pPr>
        <w:pStyle w:val="ListParagraph"/>
        <w:numPr>
          <w:numId w:val="2"/>
        </w:numPr>
        <w:bidi w:val="0"/>
        <w:ind w:left="426" w:hanging="142"/>
        <w:jc w:val="both"/>
        <w:rPr>
          <w:rFonts w:ascii="Times New Roman" w:hAnsi="Times New Roman"/>
        </w:rPr>
      </w:pPr>
      <w:r w:rsidRPr="00C0323B">
        <w:rPr>
          <w:rFonts w:ascii="Times New Roman" w:hAnsi="Times New Roman"/>
        </w:rPr>
        <w:t>spresnenie primárnej úpravy základu dane</w:t>
      </w:r>
    </w:p>
    <w:p w:rsidR="00E008FB" w:rsidRPr="00C0323B" w:rsidP="00DA01F2">
      <w:pPr>
        <w:pStyle w:val="ListParagraph"/>
        <w:numPr>
          <w:numId w:val="2"/>
        </w:numPr>
        <w:bidi w:val="0"/>
        <w:ind w:left="426" w:hanging="142"/>
        <w:jc w:val="both"/>
        <w:rPr>
          <w:rFonts w:ascii="Times New Roman" w:hAnsi="Times New Roman"/>
        </w:rPr>
      </w:pPr>
      <w:r w:rsidRPr="00C0323B">
        <w:rPr>
          <w:rFonts w:ascii="Times New Roman" w:hAnsi="Times New Roman"/>
        </w:rPr>
        <w:t>spresnenie procesu žiadosti o odsúhlasenie metódy ocenenia, ak daňovník požiada o odsúhlasenie  metódy ocenenia</w:t>
      </w:r>
    </w:p>
    <w:p w:rsidR="00E008FB" w:rsidRPr="00C0323B" w:rsidP="00DA01F2">
      <w:pPr>
        <w:pStyle w:val="ListParagraph"/>
        <w:numPr>
          <w:numId w:val="1"/>
        </w:numPr>
        <w:bidi w:val="0"/>
        <w:ind w:left="284" w:hanging="284"/>
        <w:jc w:val="both"/>
        <w:rPr>
          <w:rFonts w:ascii="Times New Roman" w:hAnsi="Times New Roman"/>
          <w:b/>
        </w:rPr>
      </w:pPr>
      <w:r w:rsidRPr="00C0323B">
        <w:rPr>
          <w:rFonts w:ascii="Times New Roman" w:hAnsi="Times New Roman"/>
          <w:b/>
        </w:rPr>
        <w:t>boj proti agresívnemu daňovému plánovaniu</w:t>
      </w:r>
    </w:p>
    <w:p w:rsidR="00E008FB" w:rsidRPr="00C0323B" w:rsidP="00DA01F2">
      <w:pPr>
        <w:pStyle w:val="ListParagraph"/>
        <w:numPr>
          <w:numId w:val="2"/>
        </w:numPr>
        <w:bidi w:val="0"/>
        <w:ind w:left="426" w:hanging="142"/>
        <w:jc w:val="both"/>
        <w:rPr>
          <w:rFonts w:ascii="Times New Roman" w:hAnsi="Times New Roman"/>
          <w:b/>
        </w:rPr>
      </w:pPr>
      <w:r w:rsidRPr="00C0323B">
        <w:rPr>
          <w:rFonts w:ascii="Times New Roman" w:hAnsi="Times New Roman"/>
        </w:rPr>
        <w:t xml:space="preserve">sprísnenie sankcií, ak sa daňovník dopustí </w:t>
      </w:r>
      <w:r w:rsidRPr="00C0323B" w:rsidR="00CD63EF">
        <w:rPr>
          <w:rFonts w:ascii="Times New Roman" w:hAnsi="Times New Roman"/>
        </w:rPr>
        <w:t>konania, ktoré nemá ekonomické opodstatnenie a ktorého výsledkom je účelové obchádzanie daňovej povinnosti</w:t>
      </w:r>
    </w:p>
    <w:p w:rsidR="00E008FB" w:rsidRPr="00C0323B" w:rsidP="00DA01F2">
      <w:pPr>
        <w:pStyle w:val="ListParagraph"/>
        <w:numPr>
          <w:numId w:val="1"/>
        </w:numPr>
        <w:tabs>
          <w:tab w:val="left" w:pos="284"/>
        </w:tabs>
        <w:bidi w:val="0"/>
        <w:ind w:left="284" w:hanging="284"/>
        <w:jc w:val="both"/>
        <w:rPr>
          <w:rFonts w:ascii="Times New Roman" w:hAnsi="Times New Roman"/>
          <w:b/>
        </w:rPr>
      </w:pPr>
      <w:r w:rsidRPr="00C0323B">
        <w:rPr>
          <w:rFonts w:ascii="Times New Roman" w:hAnsi="Times New Roman"/>
          <w:b/>
        </w:rPr>
        <w:t xml:space="preserve">zmiernenie sankcií pre daňovníkov, ktorí sú dobromyseľní a za včasné uhradenie </w:t>
      </w:r>
      <w:r w:rsidRPr="00C0323B" w:rsidR="00CD63EF">
        <w:rPr>
          <w:rFonts w:ascii="Times New Roman" w:hAnsi="Times New Roman"/>
          <w:b/>
        </w:rPr>
        <w:t>pokuty</w:t>
      </w:r>
    </w:p>
    <w:p w:rsidR="00E008FB" w:rsidRPr="00C0323B" w:rsidP="00DA01F2">
      <w:pPr>
        <w:bidi w:val="0"/>
        <w:spacing w:after="0" w:line="240" w:lineRule="auto"/>
        <w:rPr>
          <w:rFonts w:ascii="Times New Roman" w:hAnsi="Times New Roman" w:cs="Times New Roman"/>
          <w:sz w:val="24"/>
          <w:szCs w:val="24"/>
        </w:rPr>
      </w:pPr>
    </w:p>
    <w:p w:rsidR="004F1881" w:rsidRPr="005E2690" w:rsidP="00DA01F2">
      <w:pPr>
        <w:bidi w:val="0"/>
        <w:spacing w:after="0" w:line="240" w:lineRule="auto"/>
        <w:jc w:val="both"/>
        <w:rPr>
          <w:rFonts w:ascii="Times New Roman" w:hAnsi="Times New Roman" w:cs="Times New Roman"/>
          <w:sz w:val="24"/>
          <w:szCs w:val="24"/>
        </w:rPr>
      </w:pPr>
      <w:r w:rsidRPr="00C0323B" w:rsidR="00E008FB">
        <w:rPr>
          <w:rFonts w:ascii="Times New Roman" w:hAnsi="Times New Roman" w:cs="Times New Roman"/>
          <w:sz w:val="24"/>
          <w:szCs w:val="24"/>
        </w:rPr>
        <w:t>V čl. II sa mení a dopĺňa zákon č. 580/2004 Z. z. o zdravotnom poistení a o zmene a doplnení zákona č. 95/2002 Z. z. o poisťovníctve a o zmene a doplnení niektorých zákonov v znení neskorších predpisov</w:t>
      </w:r>
      <w:r w:rsidRPr="00C0323B" w:rsidR="00697122">
        <w:rPr>
          <w:rFonts w:ascii="Times New Roman" w:hAnsi="Times New Roman" w:cs="Times New Roman"/>
          <w:sz w:val="24"/>
          <w:szCs w:val="24"/>
        </w:rPr>
        <w:t xml:space="preserve">. Navrhuje sa zrušiť zdravotné odvody </w:t>
      </w:r>
      <w:r w:rsidRPr="00C0323B" w:rsidR="001656F9">
        <w:rPr>
          <w:rFonts w:ascii="Times New Roman" w:hAnsi="Times New Roman" w:cs="Times New Roman"/>
          <w:sz w:val="24"/>
          <w:szCs w:val="24"/>
        </w:rPr>
        <w:t xml:space="preserve">z </w:t>
      </w:r>
      <w:r w:rsidRPr="00C0323B" w:rsidR="00697122">
        <w:rPr>
          <w:rFonts w:ascii="Times New Roman" w:hAnsi="Times New Roman" w:cs="Times New Roman"/>
          <w:sz w:val="24"/>
          <w:szCs w:val="24"/>
        </w:rPr>
        <w:t>podiel</w:t>
      </w:r>
      <w:r w:rsidRPr="00C0323B" w:rsidR="001656F9">
        <w:rPr>
          <w:rFonts w:ascii="Times New Roman" w:hAnsi="Times New Roman" w:cs="Times New Roman"/>
          <w:sz w:val="24"/>
          <w:szCs w:val="24"/>
        </w:rPr>
        <w:t>ov</w:t>
      </w:r>
      <w:r w:rsidRPr="00C0323B" w:rsidR="00697122">
        <w:rPr>
          <w:rFonts w:ascii="Times New Roman" w:hAnsi="Times New Roman" w:cs="Times New Roman"/>
          <w:sz w:val="24"/>
          <w:szCs w:val="24"/>
        </w:rPr>
        <w:t xml:space="preserve"> na zisku (dividend)</w:t>
      </w:r>
      <w:r w:rsidRPr="00C0323B" w:rsidR="00B6544D">
        <w:rPr>
          <w:rFonts w:ascii="Times New Roman" w:hAnsi="Times New Roman" w:cs="Times New Roman"/>
          <w:sz w:val="24"/>
          <w:szCs w:val="24"/>
        </w:rPr>
        <w:t xml:space="preserve"> v nadväznosti na zavedenie ich zdanenia osobitnou sadzbou dane vo </w:t>
      </w:r>
      <w:r w:rsidRPr="005E2690" w:rsidR="00B6544D">
        <w:rPr>
          <w:rFonts w:ascii="Times New Roman" w:hAnsi="Times New Roman" w:cs="Times New Roman"/>
          <w:sz w:val="24"/>
          <w:szCs w:val="24"/>
        </w:rPr>
        <w:t xml:space="preserve">výške </w:t>
      </w:r>
      <w:r w:rsidR="00CD5793">
        <w:rPr>
          <w:rFonts w:ascii="Times New Roman" w:hAnsi="Times New Roman" w:cs="Times New Roman"/>
          <w:sz w:val="24"/>
          <w:szCs w:val="24"/>
        </w:rPr>
        <w:t>7</w:t>
      </w:r>
      <w:r w:rsidR="006B4351">
        <w:rPr>
          <w:rFonts w:ascii="Times New Roman" w:hAnsi="Times New Roman" w:cs="Times New Roman"/>
          <w:sz w:val="24"/>
          <w:szCs w:val="24"/>
        </w:rPr>
        <w:t xml:space="preserve"> </w:t>
      </w:r>
      <w:r w:rsidRPr="005E2690" w:rsidR="00B6544D">
        <w:rPr>
          <w:rFonts w:ascii="Times New Roman" w:hAnsi="Times New Roman" w:cs="Times New Roman"/>
          <w:sz w:val="24"/>
          <w:szCs w:val="24"/>
        </w:rPr>
        <w:t xml:space="preserve">%. </w:t>
      </w:r>
    </w:p>
    <w:p w:rsidR="00A241DB" w:rsidRPr="005E2690" w:rsidP="00DA01F2">
      <w:pPr>
        <w:bidi w:val="0"/>
        <w:spacing w:after="0" w:line="240" w:lineRule="auto"/>
        <w:jc w:val="both"/>
        <w:rPr>
          <w:rFonts w:ascii="Times New Roman" w:hAnsi="Times New Roman" w:cs="Times New Roman"/>
          <w:sz w:val="24"/>
          <w:szCs w:val="24"/>
        </w:rPr>
      </w:pPr>
    </w:p>
    <w:p w:rsidR="00C0323B" w:rsidRPr="005E2690" w:rsidP="00DA01F2">
      <w:pPr>
        <w:bidi w:val="0"/>
        <w:spacing w:after="0" w:line="240" w:lineRule="auto"/>
        <w:jc w:val="both"/>
        <w:rPr>
          <w:rFonts w:ascii="Times New Roman" w:hAnsi="Times New Roman" w:cs="Times New Roman"/>
          <w:sz w:val="24"/>
          <w:szCs w:val="24"/>
        </w:rPr>
      </w:pPr>
      <w:r w:rsidRPr="005E2690">
        <w:rPr>
          <w:rFonts w:ascii="Times New Roman" w:hAnsi="Times New Roman" w:cs="Times New Roman"/>
          <w:sz w:val="24"/>
          <w:szCs w:val="24"/>
        </w:rPr>
        <w:t xml:space="preserve">Návrh zákona ako celok má pozitívny aj negatívny vplyv </w:t>
      </w:r>
      <w:r w:rsidRPr="005E2690" w:rsidR="00070546">
        <w:rPr>
          <w:rFonts w:ascii="Times New Roman" w:hAnsi="Times New Roman" w:cs="Times New Roman"/>
          <w:sz w:val="24"/>
          <w:szCs w:val="24"/>
        </w:rPr>
        <w:t xml:space="preserve">na štátny rozpočet, </w:t>
      </w:r>
      <w:r w:rsidRPr="005E2690">
        <w:rPr>
          <w:rFonts w:ascii="Times New Roman" w:hAnsi="Times New Roman" w:cs="Times New Roman"/>
          <w:sz w:val="24"/>
          <w:szCs w:val="24"/>
        </w:rPr>
        <w:t xml:space="preserve">na podnikateľské prostredie a na služby verejnej správy pre občana,  </w:t>
      </w:r>
      <w:r w:rsidRPr="005E2690" w:rsidR="00070546">
        <w:rPr>
          <w:rFonts w:ascii="Times New Roman" w:hAnsi="Times New Roman" w:cs="Times New Roman"/>
          <w:sz w:val="24"/>
          <w:szCs w:val="24"/>
        </w:rPr>
        <w:t>negatívny</w:t>
      </w:r>
      <w:r w:rsidRPr="005E2690">
        <w:rPr>
          <w:rFonts w:ascii="Times New Roman" w:hAnsi="Times New Roman" w:cs="Times New Roman"/>
          <w:sz w:val="24"/>
          <w:szCs w:val="24"/>
        </w:rPr>
        <w:t xml:space="preserve"> </w:t>
      </w:r>
      <w:r w:rsidRPr="005E2690" w:rsidR="000F4E4C">
        <w:rPr>
          <w:rFonts w:ascii="Times New Roman" w:hAnsi="Times New Roman" w:cs="Times New Roman"/>
          <w:sz w:val="24"/>
          <w:szCs w:val="24"/>
        </w:rPr>
        <w:t>sociálny</w:t>
      </w:r>
      <w:r w:rsidRPr="005E2690">
        <w:rPr>
          <w:rFonts w:ascii="Times New Roman" w:hAnsi="Times New Roman" w:cs="Times New Roman"/>
          <w:sz w:val="24"/>
          <w:szCs w:val="24"/>
        </w:rPr>
        <w:t xml:space="preserve"> vplyv a nemá vplyv na životné prostredie a na informatizáciu spoločnosti. </w:t>
      </w:r>
    </w:p>
    <w:p w:rsidR="004F1881" w:rsidRPr="00C0323B" w:rsidP="00DA01F2">
      <w:pPr>
        <w:bidi w:val="0"/>
        <w:spacing w:after="0" w:line="240" w:lineRule="auto"/>
        <w:jc w:val="both"/>
        <w:rPr>
          <w:rFonts w:ascii="Times New Roman" w:hAnsi="Times New Roman" w:cs="Times New Roman"/>
          <w:sz w:val="24"/>
          <w:szCs w:val="24"/>
        </w:rPr>
      </w:pPr>
    </w:p>
    <w:p w:rsidR="00E008FB" w:rsidRPr="00C0323B" w:rsidP="00DA01F2">
      <w:pPr>
        <w:bidi w:val="0"/>
        <w:spacing w:after="0" w:line="240" w:lineRule="auto"/>
        <w:jc w:val="both"/>
        <w:rPr>
          <w:rFonts w:ascii="Times New Roman" w:hAnsi="Times New Roman" w:cs="Times New Roman"/>
          <w:sz w:val="24"/>
          <w:szCs w:val="24"/>
        </w:rPr>
      </w:pPr>
      <w:r w:rsidRPr="00C0323B">
        <w:rPr>
          <w:rFonts w:ascii="Times New Roman" w:hAnsi="Times New Roman" w:cs="Times New Roman"/>
          <w:sz w:val="24"/>
          <w:szCs w:val="24"/>
        </w:rPr>
        <w:t xml:space="preserve">Návrh zákona je v súlade s Ústavou Slovenskej republiky, zákonmi a medzinárodnými zmluvami a inými medzinárodnými dokumentmi, ktorými je Slovenská republika viazaná a s právom Európskej únie. </w:t>
      </w:r>
    </w:p>
    <w:p w:rsidR="004F1881" w:rsidP="00DA01F2">
      <w:pPr>
        <w:bidi w:val="0"/>
        <w:spacing w:after="0" w:line="240" w:lineRule="auto"/>
        <w:jc w:val="both"/>
        <w:rPr>
          <w:rFonts w:ascii="Times New Roman" w:hAnsi="Times New Roman" w:cs="Times New Roman"/>
          <w:sz w:val="24"/>
          <w:szCs w:val="24"/>
        </w:rPr>
      </w:pPr>
    </w:p>
    <w:p w:rsidR="006D65BC" w:rsidP="00DA01F2">
      <w:pPr>
        <w:bidi w:val="0"/>
        <w:spacing w:after="0" w:line="240" w:lineRule="auto"/>
        <w:jc w:val="both"/>
        <w:rPr>
          <w:rFonts w:ascii="Times New Roman" w:hAnsi="Times New Roman" w:cs="Times New Roman"/>
          <w:sz w:val="24"/>
          <w:szCs w:val="24"/>
        </w:rPr>
      </w:pPr>
    </w:p>
    <w:p w:rsidR="006D65BC" w:rsidP="00DA01F2">
      <w:pPr>
        <w:bidi w:val="0"/>
        <w:spacing w:after="0" w:line="240" w:lineRule="auto"/>
        <w:jc w:val="both"/>
        <w:rPr>
          <w:rFonts w:ascii="Times New Roman" w:hAnsi="Times New Roman" w:cs="Times New Roman"/>
          <w:sz w:val="24"/>
          <w:szCs w:val="24"/>
        </w:rPr>
      </w:pPr>
    </w:p>
    <w:p w:rsidR="006D65BC" w:rsidRPr="006D65BC" w:rsidP="006D65BC">
      <w:pPr>
        <w:bidi w:val="0"/>
        <w:jc w:val="center"/>
        <w:rPr>
          <w:rFonts w:ascii="Times New Roman" w:hAnsi="Times New Roman" w:cs="Times New Roman"/>
          <w:b/>
          <w:bCs/>
        </w:rPr>
      </w:pPr>
      <w:r w:rsidRPr="006D65BC">
        <w:rPr>
          <w:rFonts w:ascii="Times New Roman" w:hAnsi="Times New Roman" w:cs="Times New Roman"/>
          <w:b/>
          <w:bCs/>
        </w:rPr>
        <w:t>Doložka vybraných vplyvov</w:t>
      </w: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E91028">
            <w:pPr>
              <w:pStyle w:val="ListParagraph"/>
              <w:bidi w:val="0"/>
              <w:ind w:left="142"/>
              <w:rPr>
                <w:rFonts w:ascii="Times New Roman" w:hAnsi="Times New Roman"/>
                <w:b/>
              </w:rPr>
            </w:pPr>
            <w:r w:rsidRPr="006D65BC">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6D65BC" w:rsidRPr="006D65BC" w:rsidP="00E91028">
            <w:pPr>
              <w:bidi w:val="0"/>
              <w:spacing w:after="0" w:line="240" w:lineRule="auto"/>
              <w:jc w:val="both"/>
              <w:rPr>
                <w:rFonts w:ascii="Times New Roman" w:hAnsi="Times New Roman" w:cs="Times New Roman"/>
                <w:sz w:val="24"/>
                <w:szCs w:val="24"/>
              </w:rPr>
            </w:pPr>
            <w:r w:rsidRPr="006D65BC">
              <w:rPr>
                <w:rFonts w:ascii="Times New Roman" w:hAnsi="Times New Roman" w:cs="Times New Roman"/>
                <w:sz w:val="24"/>
                <w:szCs w:val="24"/>
              </w:rPr>
              <w:t>Návrh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w:t>
            </w:r>
          </w:p>
          <w:p w:rsidR="006D65BC" w:rsidRPr="006D65BC" w:rsidP="00E91028">
            <w:pPr>
              <w:bidi w:val="0"/>
              <w:spacing w:after="0" w:line="240" w:lineRule="auto"/>
              <w:rPr>
                <w:rFonts w:ascii="Times New Roman" w:hAnsi="Times New Roman" w:cs="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E91028">
            <w:pPr>
              <w:pStyle w:val="ListParagraph"/>
              <w:bidi w:val="0"/>
              <w:ind w:left="142"/>
              <w:rPr>
                <w:rFonts w:ascii="Times New Roman" w:hAnsi="Times New Roman"/>
                <w:b/>
              </w:rPr>
            </w:pPr>
            <w:r w:rsidRPr="006D65BC">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rPr>
            </w:pPr>
          </w:p>
          <w:p w:rsidR="006D65BC" w:rsidRPr="006D65BC" w:rsidP="00E91028">
            <w:pPr>
              <w:bidi w:val="0"/>
              <w:spacing w:after="0" w:line="240" w:lineRule="auto"/>
              <w:rPr>
                <w:rFonts w:ascii="Times New Roman" w:hAnsi="Times New Roman" w:cs="Times New Roman"/>
                <w:sz w:val="24"/>
                <w:szCs w:val="24"/>
              </w:rPr>
            </w:pPr>
            <w:r w:rsidRPr="006D65BC">
              <w:rPr>
                <w:rFonts w:ascii="Times New Roman" w:hAnsi="Times New Roman" w:cs="Times New Roman"/>
                <w:sz w:val="24"/>
                <w:szCs w:val="24"/>
              </w:rPr>
              <w:t>Ministerstvo financií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6D65BC" w:rsidRPr="006D65BC" w:rsidP="00E91028">
            <w:pPr>
              <w:pStyle w:val="ListParagraph"/>
              <w:bidi w:val="0"/>
              <w:ind w:left="142"/>
              <w:rPr>
                <w:rFonts w:ascii="Times New Roman" w:hAnsi="Times New Roman"/>
                <w:b/>
              </w:rPr>
            </w:pPr>
            <w:r w:rsidRPr="006D65BC">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Mincho" w:hAnsi="Segoe UI Symbol" w:cs="Segoe UI Symbol" w:hint="default"/>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rPr>
            </w:pPr>
            <w:r w:rsidRPr="006D65BC">
              <w:rPr>
                <w:rFonts w:ascii="Times New Roman" w:hAnsi="Times New Roman" w:cs="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6D65BC" w:rsidRPr="006D65BC" w:rsidP="00E91028">
            <w:pPr>
              <w:bidi w:val="0"/>
              <w:spacing w:after="0" w:line="240" w:lineRule="auto"/>
              <w:rPr>
                <w:rFonts w:ascii="Times New Roman" w:hAnsi="Times New Roman" w:cs="Times New Roman"/>
              </w:rPr>
            </w:pP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Gothic" w:hAnsi="Segoe UI Symbol" w:cs="Segoe UI Symbol" w:hint="default"/>
              </w:rPr>
              <w:t>☒</w:t>
            </w:r>
          </w:p>
        </w:tc>
        <w:tc>
          <w:tcPr>
            <w:tcW w:w="4263"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ind w:left="175" w:hanging="175"/>
              <w:rPr>
                <w:rFonts w:ascii="Times New Roman" w:hAnsi="Times New Roman" w:cs="Times New Roman"/>
              </w:rPr>
            </w:pPr>
            <w:r w:rsidRPr="006D65BC">
              <w:rPr>
                <w:rFonts w:ascii="Times New Roman" w:hAnsi="Times New Roman" w:cs="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6D65BC" w:rsidRPr="006D65BC" w:rsidP="00E91028">
            <w:pPr>
              <w:bidi w:val="0"/>
              <w:spacing w:after="0" w:line="240" w:lineRule="auto"/>
              <w:rPr>
                <w:rFonts w:ascii="Times New Roman" w:hAnsi="Times New Roman" w:cs="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Gothic" w:hAnsi="Segoe UI Symbol" w:cs="Segoe UI Symbol" w:hint="default"/>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rPr>
            </w:pPr>
            <w:r w:rsidRPr="006D65BC">
              <w:rPr>
                <w:rFonts w:ascii="Times New Roman" w:hAnsi="Times New Roman" w:cs="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i/>
              </w:rPr>
            </w:pPr>
            <w:r w:rsidRPr="006D65BC">
              <w:rPr>
                <w:rFonts w:ascii="Times New Roman" w:hAnsi="Times New Roman" w:cs="Times New Roman"/>
                <w:i/>
              </w:rPr>
              <w:t>V prípade transpozície uveďte zoznam transponovaných predpisov:</w:t>
            </w:r>
          </w:p>
          <w:p w:rsidR="006D65BC" w:rsidRPr="006D65BC" w:rsidP="00E91028">
            <w:pPr>
              <w:bidi w:val="0"/>
              <w:spacing w:after="0" w:line="240" w:lineRule="auto"/>
              <w:rPr>
                <w:rFonts w:ascii="Times New Roman" w:hAnsi="Times New Roman" w:cs="Times New Roman"/>
                <w:i/>
              </w:rPr>
            </w:pPr>
          </w:p>
          <w:p w:rsidR="006D65BC" w:rsidRPr="006D65BC" w:rsidP="00E91028">
            <w:pPr>
              <w:bidi w:val="0"/>
              <w:spacing w:after="0" w:line="240" w:lineRule="auto"/>
              <w:rPr>
                <w:rFonts w:ascii="Times New Roman" w:hAnsi="Times New Roman" w:cs="Times New Roman"/>
                <w:sz w:val="24"/>
                <w:szCs w:val="24"/>
              </w:rPr>
            </w:pPr>
            <w:r w:rsidRPr="006D65BC">
              <w:rPr>
                <w:rFonts w:ascii="Times New Roman" w:hAnsi="Times New Roman" w:cs="Times New Roman"/>
                <w:sz w:val="24"/>
                <w:szCs w:val="24"/>
              </w:rPr>
              <w:t>Smernica Rady (EÚ) 2015/2060 z 10. novembra 2015, ktorou sa zrušuje smernica 2003/48/ES o zdaňovaní príjmu z úspor v podobe výplaty úrokov</w:t>
            </w:r>
          </w:p>
          <w:p w:rsidR="006D65BC" w:rsidRPr="006D65BC" w:rsidP="00E91028">
            <w:pPr>
              <w:bidi w:val="0"/>
              <w:spacing w:after="0" w:line="240" w:lineRule="auto"/>
              <w:rPr>
                <w:rFonts w:ascii="Times New Roman" w:hAnsi="Times New Roman" w:cs="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6D65BC" w:rsidRPr="006D65BC" w:rsidP="00E91028">
            <w:pPr>
              <w:pStyle w:val="ListParagraph"/>
              <w:bidi w:val="0"/>
              <w:ind w:left="142"/>
              <w:rPr>
                <w:rFonts w:ascii="Times New Roman" w:hAnsi="Times New Roman"/>
                <w:b/>
              </w:rPr>
            </w:pPr>
            <w:r w:rsidRPr="006D65BC">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6D65BC" w:rsidRPr="006D65BC" w:rsidP="00E91028">
            <w:pPr>
              <w:bidi w:val="0"/>
              <w:spacing w:after="0" w:line="240" w:lineRule="auto"/>
              <w:rPr>
                <w:rFonts w:ascii="Times New Roman" w:hAnsi="Times New Roman" w:cs="Times New Roman"/>
                <w:i/>
              </w:rPr>
            </w:pPr>
            <w:r w:rsidRPr="006D65BC">
              <w:rPr>
                <w:rFonts w:ascii="Times New Roman" w:hAnsi="Times New Roman" w:cs="Times New Roman"/>
                <w:i/>
              </w:rPr>
              <w:t>27. 6. 2016 – 1. 7.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E91028">
            <w:pPr>
              <w:pStyle w:val="ListParagraph"/>
              <w:bidi w:val="0"/>
              <w:ind w:left="142"/>
              <w:rPr>
                <w:rFonts w:ascii="Times New Roman" w:hAnsi="Times New Roman"/>
                <w:b/>
              </w:rPr>
            </w:pPr>
            <w:r w:rsidRPr="006D65BC">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6D65BC" w:rsidRPr="006D65BC" w:rsidP="00E91028">
            <w:pPr>
              <w:bidi w:val="0"/>
              <w:spacing w:after="0" w:line="240" w:lineRule="auto"/>
              <w:rPr>
                <w:rFonts w:ascii="Times New Roman" w:hAnsi="Times New Roman" w:cs="Times New Roman"/>
                <w:i/>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E91028">
            <w:pPr>
              <w:pStyle w:val="ListParagraph"/>
              <w:bidi w:val="0"/>
              <w:ind w:left="142"/>
              <w:rPr>
                <w:rFonts w:ascii="Times New Roman" w:hAnsi="Times New Roman"/>
                <w:b/>
              </w:rPr>
            </w:pPr>
            <w:r w:rsidRPr="006D65BC">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6D65BC" w:rsidRPr="006D65BC" w:rsidP="00E91028">
            <w:pPr>
              <w:bidi w:val="0"/>
              <w:spacing w:after="0" w:line="240" w:lineRule="auto"/>
              <w:rPr>
                <w:rFonts w:ascii="Times New Roman" w:hAnsi="Times New Roman" w:cs="Times New Roman"/>
                <w:i/>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ind w:right="85"/>
              <w:jc w:val="both"/>
              <w:rPr>
                <w:rFonts w:ascii="Times New Roman" w:hAnsi="Times New Roman" w:cs="Times New Roman"/>
                <w:sz w:val="24"/>
                <w:szCs w:val="24"/>
              </w:rPr>
            </w:pPr>
            <w:r w:rsidRPr="006D65BC">
              <w:rPr>
                <w:rFonts w:ascii="Times New Roman" w:hAnsi="Times New Roman" w:cs="Times New Roman"/>
                <w:sz w:val="24"/>
                <w:szCs w:val="24"/>
              </w:rPr>
              <w:t>Plnenie záväzku vlády Slovenskej republiky z Programového vyhlásenia vlády Slovenskej republiky na roky 2016 až 2020, časti znižovanie administratívnej záťaže a podpora podnikateľského prostredia vo finančnej oblasti, podľa ktorej vláda zabezpečí zníženie dane z príjmov právnických osôb na 21 %.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ind w:right="85"/>
              <w:jc w:val="both"/>
              <w:rPr>
                <w:rFonts w:ascii="Times New Roman" w:hAnsi="Times New Roman" w:cs="Times New Roman"/>
                <w:sz w:val="24"/>
                <w:szCs w:val="24"/>
              </w:rPr>
            </w:pPr>
            <w:r w:rsidRPr="006D65BC">
              <w:rPr>
                <w:rFonts w:ascii="Times New Roman" w:hAnsi="Times New Roman" w:cs="Times New Roman"/>
                <w:sz w:val="24"/>
                <w:szCs w:val="24"/>
              </w:rPr>
              <w:t xml:space="preserve">Návrhom zákona sa reaguje na potrebu udržať kvalitné a konkurencieschopné podnikateľské prostredie a dosiahnutie spravodlivej a efektívnej hospodárskej súťaže a to prostredníctvom znižovania administratívnej záťaže a podpory podnikateľského prostredia ako aj na potrebu konsolidácie verejných financií  a posilnenie aktívnej úlohy štátneho rozpočtu v rozvoji hospodárstva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jc w:val="both"/>
              <w:rPr>
                <w:rFonts w:ascii="Times New Roman" w:hAnsi="Times New Roman" w:cs="Times New Roman"/>
                <w:i/>
                <w:sz w:val="24"/>
                <w:szCs w:val="24"/>
              </w:rPr>
            </w:pPr>
            <w:r w:rsidRPr="006D65BC">
              <w:rPr>
                <w:rFonts w:ascii="Times New Roman" w:hAnsi="Times New Roman" w:cs="Times New Roman"/>
                <w:sz w:val="24"/>
                <w:szCs w:val="24"/>
              </w:rPr>
              <w:t xml:space="preserve">Navrhovaná právna úprava sa dotkne fyzických osôb poberajúcich podiely na zisku (dividendy), fyzických osôb uplatňujúcich paušálne výdavky a  všetkých právnických osôb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sz w:val="24"/>
                <w:szCs w:val="24"/>
              </w:rPr>
            </w:pPr>
            <w:r w:rsidRPr="006D65BC">
              <w:rPr>
                <w:rFonts w:ascii="Times New Roman" w:hAnsi="Times New Roman" w:cs="Times New Roman"/>
                <w:sz w:val="24"/>
                <w:szCs w:val="24"/>
              </w:rPr>
              <w:t>Alternatívne riešenia nie sú predkladané.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i/>
              </w:rPr>
            </w:pPr>
            <w:r w:rsidRPr="006D65BC">
              <w:rPr>
                <w:rFonts w:ascii="Times New Roman" w:hAnsi="Times New Roman" w:cs="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Gothic" w:hAnsi="Segoe UI Symbol" w:cs="Segoe UI Symbol" w:hint="default"/>
              </w:rPr>
              <w:t>☐</w:t>
            </w:r>
            <w:r w:rsidRPr="006D65BC">
              <w:rPr>
                <w:rFonts w:ascii="Times New Roman" w:hAnsi="Times New Roman" w:cs="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Gothic" w:hAnsi="Segoe UI Symbol" w:cs="Segoe UI Symbol" w:hint="default"/>
              </w:rPr>
              <w:t>☒</w:t>
            </w:r>
            <w:r w:rsidRPr="006D65BC">
              <w:rPr>
                <w:rFonts w:ascii="Times New Roman" w:hAnsi="Times New Roman" w:cs="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sz w:val="24"/>
                <w:szCs w:val="24"/>
              </w:rPr>
            </w:pPr>
            <w:r w:rsidRPr="006D65BC">
              <w:rPr>
                <w:rFonts w:ascii="Times New Roman" w:hAnsi="Times New Roman" w:cs="Times New Roman"/>
                <w:sz w:val="24"/>
                <w:szCs w:val="24"/>
              </w:rPr>
              <w:t>Zrušenie smernice 2003/48/ES o zdaňovaní príjmu z úspor v podobe výplaty úrokov</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6D65BC" w:rsidRPr="006D65BC" w:rsidP="00E91028">
            <w:pPr>
              <w:bidi w:val="0"/>
              <w:spacing w:after="0" w:line="240" w:lineRule="auto"/>
              <w:jc w:val="center"/>
              <w:rPr>
                <w:rFonts w:ascii="Times New Roman" w:hAnsi="Times New Roman" w:cs="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i/>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6D65BC" w:rsidRPr="006D65BC" w:rsidP="00E91028">
            <w:pPr>
              <w:bidi w:val="0"/>
              <w:spacing w:after="0" w:line="240" w:lineRule="auto"/>
              <w:ind w:left="142" w:hanging="142"/>
              <w:rPr>
                <w:rFonts w:ascii="Times New Roman" w:hAnsi="Times New Roman" w:cs="Times New Roman"/>
              </w:rPr>
            </w:pPr>
          </w:p>
          <w:p w:rsidR="006D65BC" w:rsidRPr="006D65BC" w:rsidP="00E91028">
            <w:pPr>
              <w:bidi w:val="0"/>
              <w:spacing w:after="0" w:line="240" w:lineRule="auto"/>
              <w:ind w:left="142" w:hanging="142"/>
              <w:rPr>
                <w:rFonts w:ascii="Times New Roman" w:hAnsi="Times New Roman" w:cs="Times New Roman"/>
              </w:rPr>
            </w:pPr>
            <w:r w:rsidRPr="006D65BC">
              <w:rPr>
                <w:rFonts w:ascii="Times New Roman" w:hAnsi="Times New Roman" w:cs="Times New Roman"/>
              </w:rPr>
              <w:t xml:space="preserve">* vyplniť iba v prípade, ak materiál nie je zahrnutý do Plánu práce vlády Slovenskej republiky alebo Plánu        legislatívnych úloh vlády Slovenskej republiky. </w:t>
            </w:r>
          </w:p>
          <w:p w:rsidR="006D65BC" w:rsidRPr="006D65BC" w:rsidP="00E91028">
            <w:pPr>
              <w:bidi w:val="0"/>
              <w:spacing w:after="0" w:line="240" w:lineRule="auto"/>
              <w:rPr>
                <w:rFonts w:ascii="Times New Roman" w:hAnsi="Times New Roman" w:cs="Times New Roman"/>
              </w:rPr>
            </w:pPr>
            <w:r w:rsidRPr="006D65BC">
              <w:rPr>
                <w:rFonts w:ascii="Times New Roman" w:hAnsi="Times New Roman" w:cs="Times New Roman"/>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Gothic"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Pozitívne</w:t>
            </w:r>
          </w:p>
        </w:tc>
        <w:tc>
          <w:tcPr>
            <w:tcW w:w="569"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ind w:left="-107" w:right="-108"/>
              <w:jc w:val="center"/>
              <w:rPr>
                <w:rFonts w:ascii="Times New Roman" w:hAnsi="Times New Roman" w:cs="Times New Roman"/>
                <w:b/>
              </w:rPr>
            </w:pPr>
            <w:r w:rsidRPr="006D65BC">
              <w:rPr>
                <w:rFonts w:ascii="Segoe UI Symbol" w:eastAsia="MS Gothic"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6D65BC" w:rsidRPr="006D65BC" w:rsidP="00E91028">
            <w:pPr>
              <w:bidi w:val="0"/>
              <w:spacing w:after="0" w:line="240" w:lineRule="auto"/>
              <w:ind w:left="34"/>
              <w:rPr>
                <w:rFonts w:ascii="Times New Roman" w:hAnsi="Times New Roman" w:cs="Times New Roman"/>
                <w:b/>
              </w:rPr>
            </w:pPr>
            <w:r w:rsidRPr="006D65BC">
              <w:rPr>
                <w:rFonts w:ascii="Times New Roman" w:hAnsi="Times New Roman" w:cs="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6D65BC" w:rsidRPr="006D65BC" w:rsidP="00E91028">
            <w:pPr>
              <w:bidi w:val="0"/>
              <w:spacing w:after="0" w:line="240" w:lineRule="auto"/>
              <w:rPr>
                <w:rFonts w:ascii="Times New Roman" w:hAnsi="Times New Roman" w:cs="Times New Roman"/>
              </w:rPr>
            </w:pPr>
            <w:r w:rsidRPr="006D65BC">
              <w:rPr>
                <w:rFonts w:ascii="Times New Roman" w:hAnsi="Times New Roman" w:cs="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Gothic"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rPr>
                <w:rFonts w:ascii="Times New Roman" w:hAnsi="Times New Roman" w:cs="Times New Roman"/>
              </w:rPr>
            </w:pPr>
            <w:r w:rsidRPr="006D65BC">
              <w:rPr>
                <w:rFonts w:ascii="Times New Roman" w:hAnsi="Times New Roman" w:cs="Times New Roman"/>
              </w:rPr>
              <w:t>Áno</w:t>
            </w:r>
          </w:p>
        </w:tc>
        <w:tc>
          <w:tcPr>
            <w:tcW w:w="569"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rPr>
                <w:rFonts w:ascii="Times New Roman" w:hAnsi="Times New Roman" w:cs="Times New Roman"/>
              </w:rPr>
            </w:pPr>
            <w:r w:rsidRPr="006D65BC">
              <w:rPr>
                <w:rFonts w:ascii="Times New Roman" w:hAnsi="Times New Roman" w:cs="Times New Roman"/>
              </w:rPr>
              <w:t>Nie</w:t>
            </w:r>
          </w:p>
        </w:tc>
        <w:tc>
          <w:tcPr>
            <w:tcW w:w="547"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ind w:left="-107" w:right="-108"/>
              <w:jc w:val="center"/>
              <w:rPr>
                <w:rFonts w:ascii="Times New Roman" w:hAnsi="Times New Roman" w:cs="Times New Roman"/>
              </w:rPr>
            </w:pPr>
            <w:r w:rsidRPr="006D65BC">
              <w:rPr>
                <w:rFonts w:ascii="Segoe UI Symbol" w:eastAsia="MS Mincho" w:hAnsi="Segoe UI Symbol" w:cs="Segoe UI Symbol" w:hint="default"/>
              </w:rPr>
              <w:t>☐</w:t>
            </w:r>
          </w:p>
        </w:tc>
        <w:tc>
          <w:tcPr>
            <w:tcW w:w="1297" w:type="dxa"/>
            <w:tcBorders>
              <w:top w:val="single" w:sz="4" w:space="0" w:color="auto"/>
              <w:left w:val="nil"/>
              <w:bottom w:val="single" w:sz="4" w:space="0" w:color="auto"/>
              <w:right w:val="single" w:sz="4" w:space="0" w:color="auto"/>
            </w:tcBorders>
            <w:textDirection w:val="lrTb"/>
            <w:vAlign w:val="top"/>
          </w:tcPr>
          <w:p w:rsidR="006D65BC" w:rsidRPr="006D65BC" w:rsidP="00E91028">
            <w:pPr>
              <w:bidi w:val="0"/>
              <w:spacing w:after="0" w:line="240" w:lineRule="auto"/>
              <w:ind w:left="34"/>
              <w:rPr>
                <w:rFonts w:ascii="Times New Roman" w:hAnsi="Times New Roman" w:cs="Times New Roman"/>
              </w:rPr>
            </w:pPr>
            <w:r w:rsidRPr="006D65BC">
              <w:rPr>
                <w:rFonts w:ascii="Times New Roman" w:hAnsi="Times New Roman" w:cs="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Gothic"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ind w:right="-108"/>
              <w:rPr>
                <w:rFonts w:ascii="Times New Roman" w:hAnsi="Times New Roman" w:cs="Times New Roman"/>
                <w:b/>
              </w:rPr>
            </w:pPr>
            <w:r w:rsidRPr="006D65BC">
              <w:rPr>
                <w:rFonts w:ascii="Times New Roman" w:hAnsi="Times New Roman" w:cs="Times New Roman"/>
                <w:b/>
              </w:rPr>
              <w:t>Pozitívne</w:t>
            </w:r>
          </w:p>
        </w:tc>
        <w:tc>
          <w:tcPr>
            <w:tcW w:w="569"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Gothic"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6D65BC" w:rsidRPr="006D65BC" w:rsidP="00E91028">
            <w:pPr>
              <w:bidi w:val="0"/>
              <w:spacing w:after="0" w:line="240" w:lineRule="auto"/>
              <w:ind w:left="54"/>
              <w:rPr>
                <w:rFonts w:ascii="Times New Roman" w:hAnsi="Times New Roman" w:cs="Times New Roman"/>
                <w:b/>
              </w:rPr>
            </w:pPr>
            <w:r w:rsidRPr="006D65BC">
              <w:rPr>
                <w:rFonts w:ascii="Times New Roman" w:hAnsi="Times New Roman" w:cs="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6D65BC" w:rsidRPr="006D65BC" w:rsidP="00E91028">
            <w:pPr>
              <w:bidi w:val="0"/>
              <w:spacing w:after="0" w:line="240" w:lineRule="auto"/>
              <w:rPr>
                <w:rFonts w:ascii="Times New Roman" w:hAnsi="Times New Roman" w:cs="Times New Roman"/>
              </w:rPr>
            </w:pPr>
            <w:r w:rsidRPr="006D65BC">
              <w:rPr>
                <w:rFonts w:ascii="Times New Roman" w:hAnsi="Times New Roman" w:cs="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Gothic"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ind w:right="-108"/>
              <w:rPr>
                <w:rFonts w:ascii="Times New Roman" w:hAnsi="Times New Roman" w:cs="Times New Roman"/>
              </w:rPr>
            </w:pPr>
            <w:r w:rsidRPr="006D65BC">
              <w:rPr>
                <w:rFonts w:ascii="Times New Roman" w:hAnsi="Times New Roman" w:cs="Times New Roman"/>
              </w:rPr>
              <w:t>Pozitívne</w:t>
            </w:r>
          </w:p>
        </w:tc>
        <w:tc>
          <w:tcPr>
            <w:tcW w:w="569"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rPr>
                <w:rFonts w:ascii="Times New Roman" w:hAnsi="Times New Roman" w:cs="Times New Roman"/>
              </w:rPr>
            </w:pPr>
            <w:r w:rsidRPr="006D65BC">
              <w:rPr>
                <w:rFonts w:ascii="Times New Roman" w:hAnsi="Times New Roman" w:cs="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rPr>
            </w:pPr>
            <w:r w:rsidRPr="006D65BC">
              <w:rPr>
                <w:rFonts w:ascii="Segoe UI Symbol" w:eastAsia="MS Gothic"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6D65BC" w:rsidRPr="006D65BC" w:rsidP="00E91028">
            <w:pPr>
              <w:bidi w:val="0"/>
              <w:spacing w:after="0" w:line="240" w:lineRule="auto"/>
              <w:ind w:left="54"/>
              <w:rPr>
                <w:rFonts w:ascii="Times New Roman" w:hAnsi="Times New Roman" w:cs="Times New Roman"/>
              </w:rPr>
            </w:pPr>
            <w:r w:rsidRPr="006D65BC">
              <w:rPr>
                <w:rFonts w:ascii="Times New Roman" w:hAnsi="Times New Roman" w:cs="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ind w:right="-108"/>
              <w:rPr>
                <w:rFonts w:ascii="Times New Roman" w:hAnsi="Times New Roman" w:cs="Times New Roman"/>
                <w:b/>
              </w:rPr>
            </w:pPr>
            <w:r w:rsidRPr="006D65BC">
              <w:rPr>
                <w:rFonts w:ascii="Times New Roman" w:hAnsi="Times New Roman" w:cs="Times New Roman"/>
                <w:b/>
              </w:rPr>
              <w:t>Pozitívne</w:t>
            </w:r>
          </w:p>
        </w:tc>
        <w:tc>
          <w:tcPr>
            <w:tcW w:w="569"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Mincho"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Gothic"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6D65BC" w:rsidRPr="006D65BC" w:rsidP="00E91028">
            <w:pPr>
              <w:bidi w:val="0"/>
              <w:spacing w:after="0" w:line="240" w:lineRule="auto"/>
              <w:ind w:left="54"/>
              <w:rPr>
                <w:rFonts w:ascii="Times New Roman" w:hAnsi="Times New Roman" w:cs="Times New Roman"/>
                <w:b/>
              </w:rPr>
            </w:pPr>
            <w:r w:rsidRPr="006D65BC">
              <w:rPr>
                <w:rFonts w:ascii="Times New Roman" w:hAnsi="Times New Roman" w:cs="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ind w:right="-108"/>
              <w:rPr>
                <w:rFonts w:ascii="Times New Roman" w:hAnsi="Times New Roman" w:cs="Times New Roman"/>
                <w:b/>
              </w:rPr>
            </w:pPr>
            <w:r w:rsidRPr="006D65BC">
              <w:rPr>
                <w:rFonts w:ascii="Times New Roman" w:hAnsi="Times New Roman" w:cs="Times New Roman"/>
                <w:b/>
              </w:rPr>
              <w:t>Pozitívne</w:t>
            </w:r>
          </w:p>
        </w:tc>
        <w:tc>
          <w:tcPr>
            <w:tcW w:w="569"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Gothic"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6D65BC" w:rsidRPr="006D65BC" w:rsidP="00E91028">
            <w:pPr>
              <w:bidi w:val="0"/>
              <w:spacing w:after="0" w:line="240" w:lineRule="auto"/>
              <w:ind w:left="54"/>
              <w:rPr>
                <w:rFonts w:ascii="Times New Roman" w:hAnsi="Times New Roman" w:cs="Times New Roman"/>
                <w:b/>
              </w:rPr>
            </w:pPr>
            <w:r w:rsidRPr="006D65BC">
              <w:rPr>
                <w:rFonts w:ascii="Times New Roman" w:hAnsi="Times New Roman" w:cs="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Mincho" w:hAnsi="Segoe UI Symbol" w:cs="Segoe UI Symbol" w:hint="default"/>
                <w:b/>
              </w:rPr>
              <w:t>☐</w:t>
            </w:r>
          </w:p>
        </w:tc>
        <w:tc>
          <w:tcPr>
            <w:tcW w:w="1281"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ind w:right="-108"/>
              <w:rPr>
                <w:rFonts w:ascii="Times New Roman" w:hAnsi="Times New Roman" w:cs="Times New Roman"/>
                <w:b/>
              </w:rPr>
            </w:pPr>
            <w:r w:rsidRPr="006D65BC">
              <w:rPr>
                <w:rFonts w:ascii="Times New Roman" w:hAnsi="Times New Roman" w:cs="Times New Roman"/>
                <w:b/>
              </w:rPr>
              <w:t>Pozitívne</w:t>
            </w:r>
          </w:p>
        </w:tc>
        <w:tc>
          <w:tcPr>
            <w:tcW w:w="569"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Gothic" w:hAnsi="Segoe UI Symbol" w:cs="Segoe UI Symbol" w:hint="default"/>
                <w:b/>
              </w:rPr>
              <w:t>☒</w:t>
            </w:r>
          </w:p>
        </w:tc>
        <w:tc>
          <w:tcPr>
            <w:tcW w:w="1133" w:type="dxa"/>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6D65BC" w:rsidRPr="006D65BC" w:rsidP="00E91028">
            <w:pPr>
              <w:bidi w:val="0"/>
              <w:spacing w:after="0" w:line="240" w:lineRule="auto"/>
              <w:jc w:val="center"/>
              <w:rPr>
                <w:rFonts w:ascii="Times New Roman" w:hAnsi="Times New Roman" w:cs="Times New Roman"/>
                <w:b/>
              </w:rPr>
            </w:pPr>
            <w:r w:rsidRPr="006D65BC">
              <w:rPr>
                <w:rFonts w:ascii="Segoe UI Symbol" w:eastAsia="MS Mincho" w:hAnsi="Segoe UI Symbol" w:cs="Segoe UI Symbol" w:hint="default"/>
                <w:b/>
              </w:rPr>
              <w:t>☐</w:t>
            </w:r>
          </w:p>
        </w:tc>
        <w:tc>
          <w:tcPr>
            <w:tcW w:w="1297" w:type="dxa"/>
            <w:tcBorders>
              <w:top w:val="single" w:sz="4" w:space="0" w:color="auto"/>
              <w:left w:val="nil"/>
              <w:bottom w:val="single" w:sz="4" w:space="0" w:color="auto"/>
              <w:right w:val="single" w:sz="4" w:space="0" w:color="auto"/>
            </w:tcBorders>
            <w:textDirection w:val="lrTb"/>
            <w:vAlign w:val="top"/>
          </w:tcPr>
          <w:p w:rsidR="006D65BC" w:rsidRPr="006D65BC" w:rsidP="00E91028">
            <w:pPr>
              <w:bidi w:val="0"/>
              <w:spacing w:after="0" w:line="240" w:lineRule="auto"/>
              <w:ind w:left="54"/>
              <w:rPr>
                <w:rFonts w:ascii="Times New Roman" w:hAnsi="Times New Roman" w:cs="Times New Roman"/>
                <w:b/>
              </w:rPr>
            </w:pPr>
            <w:r w:rsidRPr="006D65BC">
              <w:rPr>
                <w:rFonts w:ascii="Times New Roman" w:hAnsi="Times New Roman" w:cs="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6D65BC" w:rsidRPr="006D65BC" w:rsidP="00E91028">
            <w:pPr>
              <w:bidi w:val="0"/>
              <w:rPr>
                <w:rFonts w:ascii="Times New Roman" w:hAnsi="Times New Roman" w:cs="Times New Roman"/>
                <w:b/>
              </w:rPr>
            </w:pPr>
            <w:r w:rsidRPr="006D65BC">
              <w:rPr>
                <w:rFonts w:ascii="Times New Roman" w:hAnsi="Times New Roman" w:cs="Times New Roman"/>
                <w:b/>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6D65BC" w:rsidRPr="006D65BC" w:rsidP="00E91028">
            <w:pPr>
              <w:bidi w:val="0"/>
              <w:jc w:val="center"/>
              <w:rPr>
                <w:rFonts w:ascii="Times New Roman" w:eastAsia="MS Mincho" w:hAnsi="Times New Roman" w:cs="Times New Roman"/>
                <w:b/>
              </w:rPr>
            </w:pPr>
          </w:p>
        </w:tc>
        <w:tc>
          <w:tcPr>
            <w:tcW w:w="1281" w:type="dxa"/>
            <w:tcBorders>
              <w:top w:val="single" w:sz="4" w:space="0" w:color="auto"/>
              <w:left w:val="nil"/>
              <w:bottom w:val="nil"/>
              <w:right w:val="nil"/>
            </w:tcBorders>
            <w:textDirection w:val="lrTb"/>
            <w:vAlign w:val="top"/>
          </w:tcPr>
          <w:p w:rsidR="006D65BC" w:rsidRPr="006D65BC" w:rsidP="00E91028">
            <w:pPr>
              <w:bidi w:val="0"/>
              <w:ind w:right="-108"/>
              <w:rPr>
                <w:rFonts w:ascii="Times New Roman" w:hAnsi="Times New Roman" w:cs="Times New Roman"/>
                <w:b/>
              </w:rPr>
            </w:pPr>
          </w:p>
        </w:tc>
        <w:tc>
          <w:tcPr>
            <w:tcW w:w="569" w:type="dxa"/>
            <w:tcBorders>
              <w:top w:val="single" w:sz="4" w:space="0" w:color="auto"/>
              <w:left w:val="nil"/>
              <w:bottom w:val="nil"/>
              <w:right w:val="nil"/>
            </w:tcBorders>
            <w:textDirection w:val="lrTb"/>
            <w:vAlign w:val="top"/>
          </w:tcPr>
          <w:p w:rsidR="006D65BC" w:rsidRPr="006D65BC" w:rsidP="00E91028">
            <w:pPr>
              <w:bidi w:val="0"/>
              <w:jc w:val="center"/>
              <w:rPr>
                <w:rFonts w:ascii="Times New Roman" w:eastAsia="MS Mincho" w:hAnsi="Times New Roman" w:cs="Times New Roman"/>
                <w:b/>
              </w:rPr>
            </w:pPr>
          </w:p>
        </w:tc>
        <w:tc>
          <w:tcPr>
            <w:tcW w:w="1133" w:type="dxa"/>
            <w:tcBorders>
              <w:top w:val="single" w:sz="4" w:space="0" w:color="auto"/>
              <w:left w:val="nil"/>
              <w:bottom w:val="nil"/>
              <w:right w:val="nil"/>
            </w:tcBorders>
            <w:textDirection w:val="lrTb"/>
            <w:vAlign w:val="top"/>
          </w:tcPr>
          <w:p w:rsidR="006D65BC" w:rsidRPr="006D65BC" w:rsidP="00E91028">
            <w:pPr>
              <w:bidi w:val="0"/>
              <w:rPr>
                <w:rFonts w:ascii="Times New Roman" w:hAnsi="Times New Roman" w:cs="Times New Roman"/>
                <w:b/>
              </w:rPr>
            </w:pPr>
          </w:p>
        </w:tc>
        <w:tc>
          <w:tcPr>
            <w:tcW w:w="547" w:type="dxa"/>
            <w:tcBorders>
              <w:top w:val="single" w:sz="4" w:space="0" w:color="auto"/>
              <w:left w:val="nil"/>
              <w:bottom w:val="nil"/>
              <w:right w:val="nil"/>
            </w:tcBorders>
            <w:textDirection w:val="lrTb"/>
            <w:vAlign w:val="top"/>
          </w:tcPr>
          <w:p w:rsidR="006D65BC" w:rsidRPr="006D65BC" w:rsidP="00E91028">
            <w:pPr>
              <w:bidi w:val="0"/>
              <w:jc w:val="center"/>
              <w:rPr>
                <w:rFonts w:ascii="Times New Roman" w:eastAsia="MS Mincho" w:hAnsi="Times New Roman" w:cs="Times New Roman"/>
                <w:b/>
              </w:rPr>
            </w:pPr>
          </w:p>
        </w:tc>
        <w:tc>
          <w:tcPr>
            <w:tcW w:w="1297" w:type="dxa"/>
            <w:tcBorders>
              <w:top w:val="single" w:sz="4" w:space="0" w:color="auto"/>
              <w:left w:val="nil"/>
              <w:bottom w:val="nil"/>
              <w:right w:val="single" w:sz="4" w:space="0" w:color="auto"/>
            </w:tcBorders>
            <w:textDirection w:val="lrTb"/>
            <w:vAlign w:val="top"/>
          </w:tcPr>
          <w:p w:rsidR="006D65BC" w:rsidRPr="006D65BC" w:rsidP="00E91028">
            <w:pPr>
              <w:bidi w:val="0"/>
              <w:ind w:left="54"/>
              <w:rPr>
                <w:rFonts w:ascii="Times New Roman" w:hAnsi="Times New Roman" w:cs="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6D65BC" w:rsidRPr="006D65BC" w:rsidP="00E91028">
            <w:pPr>
              <w:bidi w:val="0"/>
              <w:ind w:left="196" w:hanging="196"/>
              <w:rPr>
                <w:rFonts w:ascii="Times New Roman" w:hAnsi="Times New Roman" w:cs="Times New Roman"/>
                <w:b/>
              </w:rPr>
            </w:pPr>
            <w:r w:rsidRPr="006D65BC">
              <w:rPr>
                <w:rFonts w:ascii="Times New Roman" w:hAnsi="Times New Roman" w:cs="Times New Roman"/>
                <w:b/>
              </w:rPr>
              <w:t xml:space="preserve">    vplyvy služieb verejnej správy na občana</w:t>
            </w:r>
          </w:p>
        </w:tc>
        <w:tc>
          <w:tcPr>
            <w:tcW w:w="541" w:type="dxa"/>
            <w:tcBorders>
              <w:top w:val="nil"/>
              <w:left w:val="single" w:sz="4" w:space="0" w:color="auto"/>
              <w:bottom w:val="nil"/>
              <w:right w:val="nil"/>
            </w:tcBorders>
            <w:textDirection w:val="lrTb"/>
            <w:vAlign w:val="top"/>
          </w:tcPr>
          <w:p w:rsidR="006D65BC" w:rsidRPr="006D65BC" w:rsidP="00E91028">
            <w:pPr>
              <w:bidi w:val="0"/>
              <w:jc w:val="center"/>
              <w:rPr>
                <w:rFonts w:ascii="Times New Roman" w:eastAsia="MS Mincho" w:hAnsi="Times New Roman" w:cs="Times New Roman"/>
                <w:b/>
              </w:rPr>
            </w:pPr>
            <w:r w:rsidRPr="006D65BC">
              <w:rPr>
                <w:rFonts w:ascii="Segoe UI Symbol" w:eastAsia="MS Gothic" w:hAnsi="Segoe UI Symbol" w:cs="Segoe UI Symbol" w:hint="default"/>
                <w:b/>
              </w:rPr>
              <w:t>☒</w:t>
            </w:r>
          </w:p>
        </w:tc>
        <w:tc>
          <w:tcPr>
            <w:tcW w:w="1281" w:type="dxa"/>
            <w:tcBorders>
              <w:top w:val="nil"/>
              <w:left w:val="nil"/>
              <w:bottom w:val="nil"/>
              <w:right w:val="nil"/>
            </w:tcBorders>
            <w:textDirection w:val="lrTb"/>
            <w:vAlign w:val="top"/>
          </w:tcPr>
          <w:p w:rsidR="006D65BC" w:rsidRPr="006D65BC" w:rsidP="00E91028">
            <w:pPr>
              <w:bidi w:val="0"/>
              <w:ind w:right="-108"/>
              <w:rPr>
                <w:rFonts w:ascii="Times New Roman" w:hAnsi="Times New Roman" w:cs="Times New Roman"/>
                <w:b/>
              </w:rPr>
            </w:pPr>
            <w:r w:rsidRPr="006D65BC">
              <w:rPr>
                <w:rFonts w:ascii="Times New Roman" w:hAnsi="Times New Roman" w:cs="Times New Roman"/>
                <w:b/>
              </w:rPr>
              <w:t>Pozitívne</w:t>
            </w:r>
          </w:p>
        </w:tc>
        <w:tc>
          <w:tcPr>
            <w:tcW w:w="569" w:type="dxa"/>
            <w:tcBorders>
              <w:top w:val="nil"/>
              <w:left w:val="nil"/>
              <w:bottom w:val="nil"/>
              <w:right w:val="nil"/>
            </w:tcBorders>
            <w:textDirection w:val="lrTb"/>
            <w:vAlign w:val="top"/>
          </w:tcPr>
          <w:p w:rsidR="006D65BC" w:rsidRPr="006D65BC" w:rsidP="00E91028">
            <w:pPr>
              <w:bidi w:val="0"/>
              <w:jc w:val="center"/>
              <w:rPr>
                <w:rFonts w:ascii="Times New Roman" w:eastAsia="MS Mincho" w:hAnsi="Times New Roman" w:cs="Times New Roman"/>
                <w:b/>
              </w:rPr>
            </w:pPr>
            <w:r w:rsidRPr="006D65BC">
              <w:rPr>
                <w:rFonts w:ascii="Segoe UI Symbol" w:eastAsia="MS Mincho" w:hAnsi="Segoe UI Symbol" w:cs="Segoe UI Symbol" w:hint="default"/>
                <w:b/>
              </w:rPr>
              <w:t>☐</w:t>
            </w:r>
          </w:p>
        </w:tc>
        <w:tc>
          <w:tcPr>
            <w:tcW w:w="1133" w:type="dxa"/>
            <w:tcBorders>
              <w:top w:val="nil"/>
              <w:left w:val="nil"/>
              <w:bottom w:val="nil"/>
              <w:right w:val="nil"/>
            </w:tcBorders>
            <w:textDirection w:val="lrTb"/>
            <w:vAlign w:val="top"/>
          </w:tcPr>
          <w:p w:rsidR="006D65BC" w:rsidRPr="006D65BC" w:rsidP="00E91028">
            <w:pPr>
              <w:bidi w:val="0"/>
              <w:rPr>
                <w:rFonts w:ascii="Times New Roman" w:hAnsi="Times New Roman" w:cs="Times New Roman"/>
                <w:b/>
              </w:rPr>
            </w:pPr>
            <w:r w:rsidRPr="006D65BC">
              <w:rPr>
                <w:rFonts w:ascii="Times New Roman" w:hAnsi="Times New Roman" w:cs="Times New Roman"/>
                <w:b/>
              </w:rPr>
              <w:t>Žiadne</w:t>
            </w:r>
          </w:p>
        </w:tc>
        <w:tc>
          <w:tcPr>
            <w:tcW w:w="547" w:type="dxa"/>
            <w:tcBorders>
              <w:top w:val="nil"/>
              <w:left w:val="nil"/>
              <w:bottom w:val="nil"/>
              <w:right w:val="nil"/>
            </w:tcBorders>
            <w:textDirection w:val="lrTb"/>
            <w:vAlign w:val="top"/>
          </w:tcPr>
          <w:p w:rsidR="006D65BC" w:rsidRPr="006D65BC" w:rsidP="00E91028">
            <w:pPr>
              <w:bidi w:val="0"/>
              <w:jc w:val="center"/>
              <w:rPr>
                <w:rFonts w:ascii="Times New Roman" w:eastAsia="MS Mincho" w:hAnsi="Times New Roman" w:cs="Times New Roman"/>
                <w:b/>
              </w:rPr>
            </w:pPr>
            <w:r w:rsidRPr="006D65BC">
              <w:rPr>
                <w:rFonts w:ascii="Segoe UI Symbol" w:eastAsia="MS Gothic" w:hAnsi="Segoe UI Symbol" w:cs="Segoe UI Symbol" w:hint="default"/>
                <w:b/>
              </w:rPr>
              <w:t>☒</w:t>
            </w:r>
          </w:p>
        </w:tc>
        <w:tc>
          <w:tcPr>
            <w:tcW w:w="1297" w:type="dxa"/>
            <w:tcBorders>
              <w:top w:val="nil"/>
              <w:left w:val="nil"/>
              <w:bottom w:val="nil"/>
              <w:right w:val="single" w:sz="4" w:space="0" w:color="auto"/>
            </w:tcBorders>
            <w:textDirection w:val="lrTb"/>
            <w:vAlign w:val="top"/>
          </w:tcPr>
          <w:p w:rsidR="006D65BC" w:rsidRPr="006D65BC" w:rsidP="00E91028">
            <w:pPr>
              <w:bidi w:val="0"/>
              <w:ind w:left="54"/>
              <w:rPr>
                <w:rFonts w:ascii="Times New Roman" w:hAnsi="Times New Roman" w:cs="Times New Roman"/>
                <w:b/>
              </w:rPr>
            </w:pPr>
            <w:r w:rsidRPr="006D65BC">
              <w:rPr>
                <w:rFonts w:ascii="Times New Roman" w:hAnsi="Times New Roman" w:cs="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6D65BC" w:rsidRPr="006D65BC" w:rsidP="00E91028">
            <w:pPr>
              <w:bidi w:val="0"/>
              <w:ind w:left="168" w:hanging="168"/>
              <w:rPr>
                <w:rFonts w:ascii="Times New Roman" w:hAnsi="Times New Roman" w:cs="Times New Roman"/>
                <w:b/>
              </w:rPr>
            </w:pPr>
            <w:r w:rsidRPr="006D65BC">
              <w:rPr>
                <w:rFonts w:ascii="Times New Roman" w:hAnsi="Times New Roman" w:cs="Times New Roman"/>
                <w:b/>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6D65BC" w:rsidRPr="006D65BC" w:rsidP="00E91028">
            <w:pPr>
              <w:bidi w:val="0"/>
              <w:jc w:val="center"/>
              <w:rPr>
                <w:rFonts w:ascii="Times New Roman" w:eastAsia="MS Mincho" w:hAnsi="Times New Roman" w:cs="Times New Roman"/>
                <w:b/>
              </w:rPr>
            </w:pPr>
            <w:r w:rsidRPr="006D65BC">
              <w:rPr>
                <w:rFonts w:ascii="Segoe UI Symbol" w:eastAsia="MS Gothic" w:hAnsi="Segoe UI Symbol" w:cs="Segoe UI Symbol" w:hint="default"/>
                <w:b/>
              </w:rPr>
              <w:t>☒</w:t>
            </w:r>
          </w:p>
        </w:tc>
        <w:tc>
          <w:tcPr>
            <w:tcW w:w="1281" w:type="dxa"/>
            <w:tcBorders>
              <w:top w:val="nil"/>
              <w:left w:val="nil"/>
              <w:bottom w:val="single" w:sz="4" w:space="0" w:color="auto"/>
              <w:right w:val="nil"/>
            </w:tcBorders>
            <w:textDirection w:val="lrTb"/>
            <w:vAlign w:val="top"/>
          </w:tcPr>
          <w:p w:rsidR="006D65BC" w:rsidRPr="006D65BC" w:rsidP="00E91028">
            <w:pPr>
              <w:bidi w:val="0"/>
              <w:ind w:right="-108"/>
              <w:rPr>
                <w:rFonts w:ascii="Times New Roman" w:hAnsi="Times New Roman" w:cs="Times New Roman"/>
                <w:b/>
              </w:rPr>
            </w:pPr>
            <w:r w:rsidRPr="006D65BC">
              <w:rPr>
                <w:rFonts w:ascii="Times New Roman" w:hAnsi="Times New Roman" w:cs="Times New Roman"/>
                <w:b/>
              </w:rPr>
              <w:t>Pozitívne</w:t>
            </w:r>
          </w:p>
        </w:tc>
        <w:tc>
          <w:tcPr>
            <w:tcW w:w="569" w:type="dxa"/>
            <w:tcBorders>
              <w:top w:val="nil"/>
              <w:left w:val="nil"/>
              <w:bottom w:val="single" w:sz="4" w:space="0" w:color="auto"/>
              <w:right w:val="nil"/>
            </w:tcBorders>
            <w:textDirection w:val="lrTb"/>
            <w:vAlign w:val="top"/>
          </w:tcPr>
          <w:p w:rsidR="006D65BC" w:rsidRPr="006D65BC" w:rsidP="00E91028">
            <w:pPr>
              <w:bidi w:val="0"/>
              <w:jc w:val="center"/>
              <w:rPr>
                <w:rFonts w:ascii="Times New Roman" w:eastAsia="MS Mincho" w:hAnsi="Times New Roman" w:cs="Times New Roman"/>
                <w:b/>
              </w:rPr>
            </w:pPr>
            <w:r w:rsidRPr="006D65BC">
              <w:rPr>
                <w:rFonts w:ascii="Segoe UI Symbol" w:eastAsia="MS Mincho" w:hAnsi="Segoe UI Symbol" w:cs="Segoe UI Symbol" w:hint="default"/>
                <w:b/>
              </w:rPr>
              <w:t>☐</w:t>
            </w:r>
          </w:p>
        </w:tc>
        <w:tc>
          <w:tcPr>
            <w:tcW w:w="1133" w:type="dxa"/>
            <w:tcBorders>
              <w:top w:val="nil"/>
              <w:left w:val="nil"/>
              <w:bottom w:val="single" w:sz="4" w:space="0" w:color="auto"/>
              <w:right w:val="nil"/>
            </w:tcBorders>
            <w:textDirection w:val="lrTb"/>
            <w:vAlign w:val="top"/>
          </w:tcPr>
          <w:p w:rsidR="006D65BC" w:rsidRPr="006D65BC" w:rsidP="00E91028">
            <w:pPr>
              <w:bidi w:val="0"/>
              <w:rPr>
                <w:rFonts w:ascii="Times New Roman" w:hAnsi="Times New Roman" w:cs="Times New Roman"/>
                <w:b/>
              </w:rPr>
            </w:pPr>
            <w:r w:rsidRPr="006D65BC">
              <w:rPr>
                <w:rFonts w:ascii="Times New Roman" w:hAnsi="Times New Roman" w:cs="Times New Roman"/>
                <w:b/>
              </w:rPr>
              <w:t>Žiadne</w:t>
            </w:r>
          </w:p>
        </w:tc>
        <w:tc>
          <w:tcPr>
            <w:tcW w:w="547" w:type="dxa"/>
            <w:tcBorders>
              <w:top w:val="nil"/>
              <w:left w:val="nil"/>
              <w:bottom w:val="single" w:sz="4" w:space="0" w:color="auto"/>
              <w:right w:val="nil"/>
            </w:tcBorders>
            <w:textDirection w:val="lrTb"/>
            <w:vAlign w:val="top"/>
          </w:tcPr>
          <w:p w:rsidR="006D65BC" w:rsidRPr="006D65BC" w:rsidP="00E91028">
            <w:pPr>
              <w:bidi w:val="0"/>
              <w:jc w:val="center"/>
              <w:rPr>
                <w:rFonts w:ascii="Times New Roman" w:eastAsia="MS Mincho" w:hAnsi="Times New Roman" w:cs="Times New Roman"/>
                <w:b/>
              </w:rPr>
            </w:pPr>
            <w:r w:rsidRPr="006D65BC">
              <w:rPr>
                <w:rFonts w:ascii="Segoe UI Symbol" w:eastAsia="MS Gothic" w:hAnsi="Segoe UI Symbol" w:cs="Segoe UI Symbol" w:hint="default"/>
                <w:b/>
              </w:rPr>
              <w:t>☒</w:t>
            </w:r>
          </w:p>
        </w:tc>
        <w:tc>
          <w:tcPr>
            <w:tcW w:w="1297" w:type="dxa"/>
            <w:tcBorders>
              <w:top w:val="nil"/>
              <w:left w:val="nil"/>
              <w:bottom w:val="single" w:sz="4" w:space="0" w:color="auto"/>
              <w:right w:val="single" w:sz="4" w:space="0" w:color="auto"/>
            </w:tcBorders>
            <w:textDirection w:val="lrTb"/>
            <w:vAlign w:val="top"/>
          </w:tcPr>
          <w:p w:rsidR="006D65BC" w:rsidRPr="006D65BC" w:rsidP="00E91028">
            <w:pPr>
              <w:bidi w:val="0"/>
              <w:ind w:left="54"/>
              <w:rPr>
                <w:rFonts w:ascii="Times New Roman" w:hAnsi="Times New Roman" w:cs="Times New Roman"/>
                <w:b/>
              </w:rPr>
            </w:pPr>
            <w:r w:rsidRPr="006D65BC">
              <w:rPr>
                <w:rFonts w:ascii="Times New Roman" w:hAnsi="Times New Roman" w:cs="Times New Roman"/>
                <w:b/>
              </w:rPr>
              <w:t>Negatívne</w:t>
            </w:r>
          </w:p>
        </w:tc>
      </w:tr>
    </w:tbl>
    <w:p w:rsidR="006D65BC" w:rsidRPr="006D65BC" w:rsidP="006D65BC">
      <w:pPr>
        <w:bidi w:val="0"/>
        <w:ind w:right="141"/>
        <w:rPr>
          <w:rFonts w:ascii="Times New Roman" w:hAnsi="Times New Roman" w:cs="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6D65BC" w:rsidRPr="006D65BC" w:rsidP="00E91028">
            <w:pPr>
              <w:pStyle w:val="ListParagraph"/>
              <w:bidi w:val="0"/>
              <w:ind w:left="426"/>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sz w:val="24"/>
                <w:szCs w:val="24"/>
              </w:rPr>
            </w:pPr>
            <w:hyperlink r:id="rId5" w:history="1">
              <w:r w:rsidRPr="006D65BC">
                <w:rPr>
                  <w:rStyle w:val="Hyperlink"/>
                  <w:rFonts w:ascii="Times New Roman" w:hAnsi="Times New Roman"/>
                  <w:sz w:val="24"/>
                  <w:szCs w:val="24"/>
                </w:rPr>
                <w:t>michaela.vidova@mfsr.sk</w:t>
              </w:r>
            </w:hyperlink>
            <w:r w:rsidRPr="006D65BC">
              <w:rPr>
                <w:rFonts w:ascii="Times New Roman" w:hAnsi="Times New Roman" w:cs="Times New Roman"/>
                <w:sz w:val="24"/>
                <w:szCs w:val="24"/>
              </w:rPr>
              <w:t>, tel.: 5958 3480</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rPr>
                <w:rFonts w:ascii="Times New Roman" w:hAnsi="Times New Roman" w:cs="Times New Roman"/>
                <w:b/>
                <w:sz w:val="24"/>
                <w:szCs w:val="24"/>
              </w:rPr>
            </w:pPr>
            <w:r w:rsidRPr="006D65BC">
              <w:rPr>
                <w:rFonts w:ascii="Times New Roman" w:hAnsi="Times New Roman" w:cs="Times New Roman"/>
                <w:sz w:val="24"/>
                <w:szCs w:val="24"/>
              </w:rPr>
              <w:t xml:space="preserve">Inštitút finančnej politiky, MF SR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D65BC" w:rsidRPr="006D65BC" w:rsidP="006D65BC">
            <w:pPr>
              <w:pStyle w:val="ListParagraph"/>
              <w:numPr>
                <w:numId w:val="4"/>
              </w:numPr>
              <w:bidi w:val="0"/>
              <w:ind w:left="426"/>
              <w:rPr>
                <w:rFonts w:ascii="Times New Roman" w:hAnsi="Times New Roman"/>
                <w:b/>
              </w:rPr>
            </w:pPr>
            <w:r w:rsidRPr="006D65BC">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D65BC" w:rsidRPr="006D65BC" w:rsidP="00E91028">
            <w:pPr>
              <w:bidi w:val="0"/>
              <w:spacing w:after="0" w:line="240" w:lineRule="auto"/>
              <w:jc w:val="both"/>
              <w:rPr>
                <w:rFonts w:ascii="Times New Roman" w:hAnsi="Times New Roman" w:cs="Times New Roman"/>
                <w:sz w:val="24"/>
                <w:szCs w:val="24"/>
              </w:rPr>
            </w:pPr>
          </w:p>
          <w:p w:rsidR="006D65BC" w:rsidRPr="006D65BC" w:rsidP="00E91028">
            <w:pPr>
              <w:bidi w:val="0"/>
              <w:spacing w:after="0" w:line="240" w:lineRule="auto"/>
              <w:jc w:val="both"/>
              <w:rPr>
                <w:rFonts w:ascii="Times New Roman" w:hAnsi="Times New Roman" w:cs="Times New Roman"/>
                <w:sz w:val="24"/>
                <w:szCs w:val="24"/>
              </w:rPr>
            </w:pPr>
            <w:r w:rsidRPr="006D65BC">
              <w:rPr>
                <w:rFonts w:ascii="Times New Roman" w:hAnsi="Times New Roman" w:cs="Times New Roman"/>
                <w:sz w:val="24"/>
                <w:szCs w:val="24"/>
              </w:rPr>
              <w:t>V rámci predbežného pripomienkového konania komisia pre posudzovanie vybraných vplyvov k predmetnému materiálu zaslala nesúhlasné stanovisko uvedené nižšie:</w:t>
            </w:r>
          </w:p>
          <w:p w:rsidR="006D65BC" w:rsidRPr="006D65BC" w:rsidP="00E91028">
            <w:pPr>
              <w:tabs>
                <w:tab w:val="center" w:pos="6379"/>
              </w:tabs>
              <w:bidi w:val="0"/>
              <w:spacing w:after="0" w:line="240" w:lineRule="auto"/>
              <w:ind w:right="-2"/>
              <w:jc w:val="both"/>
              <w:rPr>
                <w:rFonts w:ascii="Times New Roman" w:hAnsi="Times New Roman" w:cs="Times New Roman"/>
                <w:b/>
                <w:bCs/>
                <w:sz w:val="24"/>
                <w:szCs w:val="24"/>
              </w:rPr>
            </w:pPr>
          </w:p>
          <w:p w:rsidR="006D65BC" w:rsidRPr="006D65BC" w:rsidP="00E91028">
            <w:pPr>
              <w:tabs>
                <w:tab w:val="center" w:pos="6379"/>
              </w:tabs>
              <w:bidi w:val="0"/>
              <w:spacing w:after="0" w:line="240" w:lineRule="auto"/>
              <w:ind w:right="-2"/>
              <w:jc w:val="both"/>
              <w:rPr>
                <w:rFonts w:ascii="Times New Roman" w:hAnsi="Times New Roman" w:cs="Times New Roman"/>
                <w:b/>
                <w:bCs/>
                <w:sz w:val="24"/>
                <w:szCs w:val="24"/>
              </w:rPr>
            </w:pPr>
            <w:r w:rsidRPr="006D65BC">
              <w:rPr>
                <w:rFonts w:ascii="Times New Roman" w:hAnsi="Times New Roman" w:cs="Times New Roman"/>
                <w:b/>
                <w:bCs/>
                <w:sz w:val="24"/>
                <w:szCs w:val="24"/>
              </w:rPr>
              <w:t>K doložke vybraných vplyvov</w:t>
            </w: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r w:rsidRPr="006D65BC">
              <w:rPr>
                <w:rFonts w:ascii="Times New Roman" w:hAnsi="Times New Roman" w:cs="Times New Roman"/>
                <w:bCs/>
                <w:sz w:val="24"/>
                <w:szCs w:val="24"/>
              </w:rPr>
              <w:t>Komisia odporúča posúdiť nasledovné ustanovenia a v prípade, že navrhované zmeny budú mať skutočne vplyv na služby verejnej správy pre občana, vyznačiť tento vplyv v doložke vybraných vplyvov a zároveň vypracovať Analýzu vplyvov na služby verejnej správy pre občana.</w:t>
            </w: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p>
          <w:p w:rsidR="006D65BC" w:rsidRPr="006D65BC" w:rsidP="006D65BC">
            <w:pPr>
              <w:numPr>
                <w:numId w:val="6"/>
              </w:numPr>
              <w:suppressAutoHyphens/>
              <w:bidi w:val="0"/>
              <w:spacing w:after="0" w:line="100" w:lineRule="atLeast"/>
              <w:ind w:left="284" w:right="-2" w:hanging="284"/>
              <w:jc w:val="both"/>
              <w:rPr>
                <w:rFonts w:ascii="Times New Roman" w:hAnsi="Times New Roman" w:cs="Times New Roman"/>
                <w:bCs/>
                <w:sz w:val="24"/>
                <w:szCs w:val="24"/>
              </w:rPr>
            </w:pPr>
            <w:r w:rsidRPr="006D65BC">
              <w:rPr>
                <w:rFonts w:ascii="Times New Roman" w:hAnsi="Times New Roman" w:cs="Times New Roman"/>
                <w:bCs/>
                <w:sz w:val="24"/>
                <w:szCs w:val="24"/>
              </w:rPr>
              <w:t>V § 5 ods. 7 sa vypúšťa písmeno i) - podiel na zisku vyplatený obchodnou spoločnosťou alebo družstvom zamestnancovi bez účasti na základnom imaní tejto spoločnosti alebo družstva – bol to príjem oslobodený od dane – týmto sa tento príjem stane predmetom dane?</w:t>
            </w:r>
          </w:p>
          <w:p w:rsidR="006D65BC" w:rsidRPr="006D65BC" w:rsidP="006D65BC">
            <w:pPr>
              <w:numPr>
                <w:numId w:val="6"/>
              </w:numPr>
              <w:suppressAutoHyphens/>
              <w:bidi w:val="0"/>
              <w:spacing w:after="0" w:line="100" w:lineRule="atLeast"/>
              <w:ind w:left="284" w:right="-2" w:hanging="284"/>
              <w:jc w:val="both"/>
              <w:rPr>
                <w:rFonts w:ascii="Times New Roman" w:hAnsi="Times New Roman" w:cs="Times New Roman"/>
                <w:bCs/>
                <w:sz w:val="24"/>
                <w:szCs w:val="24"/>
              </w:rPr>
            </w:pPr>
            <w:r w:rsidRPr="006D65BC">
              <w:rPr>
                <w:rFonts w:ascii="Times New Roman" w:hAnsi="Times New Roman" w:cs="Times New Roman"/>
                <w:bCs/>
                <w:sz w:val="24"/>
                <w:szCs w:val="24"/>
              </w:rPr>
              <w:t>§ 15 písm. a) bod 3 – nová 10% daň – vzťahuje sa to na fyzickú osobu teda občana, ktorý bude zaťažený novou 10% daňou.</w:t>
            </w:r>
          </w:p>
          <w:p w:rsidR="006D65BC" w:rsidRPr="006D65BC" w:rsidP="006D65BC">
            <w:pPr>
              <w:numPr>
                <w:numId w:val="6"/>
              </w:numPr>
              <w:suppressAutoHyphens/>
              <w:bidi w:val="0"/>
              <w:spacing w:after="0" w:line="100" w:lineRule="atLeast"/>
              <w:ind w:left="284" w:right="-2" w:hanging="284"/>
              <w:jc w:val="both"/>
              <w:rPr>
                <w:rFonts w:ascii="Times New Roman" w:hAnsi="Times New Roman" w:cs="Times New Roman"/>
                <w:bCs/>
                <w:sz w:val="24"/>
                <w:szCs w:val="24"/>
              </w:rPr>
            </w:pPr>
            <w:r w:rsidRPr="006D65BC">
              <w:rPr>
                <w:rFonts w:ascii="Times New Roman" w:hAnsi="Times New Roman" w:cs="Times New Roman"/>
                <w:bCs/>
                <w:sz w:val="24"/>
                <w:szCs w:val="24"/>
              </w:rPr>
              <w:t xml:space="preserve">V § 17 ods. 6 sa pripája nová veta, ktorá prináša novú povinnosť a to povinnosť vykonať úpravu základu dane pre kontrolované transakcie. </w:t>
            </w:r>
          </w:p>
          <w:p w:rsidR="006D65BC" w:rsidRPr="006D65BC" w:rsidP="006D65BC">
            <w:pPr>
              <w:numPr>
                <w:numId w:val="6"/>
              </w:numPr>
              <w:suppressAutoHyphens/>
              <w:bidi w:val="0"/>
              <w:spacing w:after="0" w:line="100" w:lineRule="atLeast"/>
              <w:ind w:left="284" w:right="-2" w:hanging="284"/>
              <w:jc w:val="both"/>
              <w:rPr>
                <w:rFonts w:ascii="Times New Roman" w:hAnsi="Times New Roman" w:cs="Times New Roman"/>
                <w:bCs/>
                <w:sz w:val="24"/>
                <w:szCs w:val="24"/>
              </w:rPr>
            </w:pPr>
            <w:r w:rsidRPr="006D65BC">
              <w:rPr>
                <w:rFonts w:ascii="Times New Roman" w:hAnsi="Times New Roman" w:cs="Times New Roman"/>
                <w:bCs/>
                <w:sz w:val="24"/>
                <w:szCs w:val="24"/>
              </w:rPr>
              <w:t>V § 18 sa za odsek 4 vkladajú nové odseky 5 až 9 a konkrétne nový odsek 8 určuje, že daňovník zaplatí spolu so žiadosťou o vydanie rozhodnutia o odsúhlasení metódy ocenenia úhradu vo výške 10 000 eur ak ide o jednostranné odsúhlasenie správcom dane, a vo výške 30 000 eur ak ide o odsúhlasenie na základe uplatnenia zmluvy o zamedzení dvojitého zdanenia. Touto zmenou sú stanovené pevné sadzby úhrad, v pôvodnej úprave sú stanovené percentuálne a boli teda aj nižšie, takže dochádza k zvýšeniu finančných nákladov.</w:t>
            </w:r>
          </w:p>
          <w:p w:rsidR="006D65BC" w:rsidRPr="006D65BC" w:rsidP="006D65BC">
            <w:pPr>
              <w:numPr>
                <w:numId w:val="6"/>
              </w:numPr>
              <w:suppressAutoHyphens/>
              <w:bidi w:val="0"/>
              <w:spacing w:after="0" w:line="100" w:lineRule="atLeast"/>
              <w:ind w:left="284" w:right="-2" w:hanging="284"/>
              <w:jc w:val="both"/>
              <w:rPr>
                <w:rFonts w:ascii="Times New Roman" w:hAnsi="Times New Roman" w:cs="Times New Roman"/>
                <w:bCs/>
                <w:sz w:val="24"/>
                <w:szCs w:val="24"/>
              </w:rPr>
            </w:pPr>
            <w:r w:rsidRPr="006D65BC">
              <w:rPr>
                <w:rFonts w:ascii="Times New Roman" w:hAnsi="Times New Roman" w:cs="Times New Roman"/>
                <w:bCs/>
                <w:sz w:val="24"/>
                <w:szCs w:val="24"/>
              </w:rPr>
              <w:t>§ 43 ods. 1 písm. a) – nová 10% daň vyberaná zrážkou.</w:t>
            </w:r>
          </w:p>
          <w:p w:rsidR="006D65BC" w:rsidRPr="006D65BC" w:rsidP="006D65BC">
            <w:pPr>
              <w:numPr>
                <w:numId w:val="6"/>
              </w:numPr>
              <w:suppressAutoHyphens/>
              <w:bidi w:val="0"/>
              <w:spacing w:after="0" w:line="100" w:lineRule="atLeast"/>
              <w:ind w:left="284" w:right="-2" w:hanging="284"/>
              <w:jc w:val="both"/>
              <w:rPr>
                <w:rFonts w:ascii="Times New Roman" w:hAnsi="Times New Roman" w:cs="Times New Roman"/>
                <w:bCs/>
                <w:sz w:val="24"/>
                <w:szCs w:val="24"/>
              </w:rPr>
            </w:pPr>
            <w:r w:rsidRPr="006D65BC">
              <w:rPr>
                <w:rFonts w:ascii="Times New Roman" w:hAnsi="Times New Roman" w:cs="Times New Roman"/>
                <w:bCs/>
                <w:sz w:val="24"/>
                <w:szCs w:val="24"/>
              </w:rPr>
              <w:t>§ 51e – ďalšie príjmy, ktoré sú predmetom dane a vzťahuje sa to aj na fyzické osoby.</w:t>
            </w: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r w:rsidRPr="006D65BC">
              <w:rPr>
                <w:rFonts w:ascii="Times New Roman" w:hAnsi="Times New Roman" w:cs="Times New Roman"/>
                <w:bCs/>
                <w:sz w:val="24"/>
                <w:szCs w:val="24"/>
              </w:rPr>
              <w:t>Týmto návrhom zákona dochádza aj k zmene zákona č. 580/2004 Z. z. o zdravotnom poistení a o zmene a doplnení zákona č. 95/2002 Z. z. o poisťovníctve a o zmene a doplnení niektorých zákonov v znení neskorších predpisov.</w:t>
            </w: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p>
          <w:p w:rsidR="006D65BC" w:rsidRPr="006D65BC" w:rsidP="006D65BC">
            <w:pPr>
              <w:numPr>
                <w:numId w:val="7"/>
              </w:numPr>
              <w:suppressAutoHyphens/>
              <w:bidi w:val="0"/>
              <w:spacing w:after="0" w:line="100" w:lineRule="atLeast"/>
              <w:ind w:left="1418" w:right="-2"/>
              <w:jc w:val="both"/>
              <w:rPr>
                <w:rFonts w:ascii="Times New Roman" w:hAnsi="Times New Roman" w:cs="Times New Roman"/>
                <w:bCs/>
                <w:sz w:val="24"/>
                <w:szCs w:val="24"/>
              </w:rPr>
            </w:pPr>
            <w:r w:rsidRPr="006D65BC">
              <w:rPr>
                <w:rFonts w:ascii="Times New Roman" w:hAnsi="Times New Roman" w:cs="Times New Roman"/>
                <w:bCs/>
                <w:sz w:val="24"/>
                <w:szCs w:val="24"/>
              </w:rPr>
              <w:t>V § 13 sa vypúšťa odsek 6 – poistenec mal povinnosť platiť poistné aj z príjmu z dividend a týmto mu táto povinnosť zaniká.</w:t>
            </w:r>
          </w:p>
          <w:p w:rsidR="006D65BC" w:rsidRPr="006D65BC" w:rsidP="006D65BC">
            <w:pPr>
              <w:numPr>
                <w:numId w:val="7"/>
              </w:numPr>
              <w:suppressAutoHyphens/>
              <w:bidi w:val="0"/>
              <w:spacing w:after="0" w:line="100" w:lineRule="atLeast"/>
              <w:ind w:left="1418" w:right="-2"/>
              <w:jc w:val="both"/>
              <w:rPr>
                <w:rFonts w:ascii="Times New Roman" w:hAnsi="Times New Roman" w:cs="Times New Roman"/>
                <w:bCs/>
                <w:sz w:val="24"/>
                <w:szCs w:val="24"/>
              </w:rPr>
            </w:pPr>
            <w:r w:rsidRPr="006D65BC">
              <w:rPr>
                <w:rFonts w:ascii="Times New Roman" w:hAnsi="Times New Roman" w:cs="Times New Roman"/>
                <w:bCs/>
                <w:sz w:val="24"/>
                <w:szCs w:val="24"/>
              </w:rPr>
              <w:t>V § 23 sa vypúšťa odsek 15 – poistenec mal oznamovaciu povinnosť, ktorá mu týmto zaniká.</w:t>
              <w:tab/>
            </w: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p>
          <w:p w:rsidR="006D65BC" w:rsidRPr="006D65BC" w:rsidP="00E91028">
            <w:pPr>
              <w:tabs>
                <w:tab w:val="center" w:pos="6379"/>
              </w:tabs>
              <w:bidi w:val="0"/>
              <w:spacing w:after="0" w:line="240" w:lineRule="auto"/>
              <w:ind w:right="-2"/>
              <w:jc w:val="both"/>
              <w:rPr>
                <w:rFonts w:ascii="Times New Roman" w:hAnsi="Times New Roman" w:cs="Times New Roman"/>
                <w:b/>
                <w:bCs/>
                <w:sz w:val="24"/>
                <w:szCs w:val="24"/>
              </w:rPr>
            </w:pPr>
            <w:r w:rsidRPr="006D65BC">
              <w:rPr>
                <w:rFonts w:ascii="Times New Roman" w:hAnsi="Times New Roman" w:cs="Times New Roman"/>
                <w:b/>
                <w:bCs/>
                <w:sz w:val="24"/>
                <w:szCs w:val="24"/>
              </w:rPr>
              <w:t>K analýze vplyvov na rozpočet verejnej správy</w:t>
            </w: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r w:rsidRPr="006D65BC">
              <w:rPr>
                <w:rFonts w:ascii="Times New Roman" w:hAnsi="Times New Roman" w:cs="Times New Roman"/>
                <w:bCs/>
                <w:sz w:val="24"/>
                <w:szCs w:val="24"/>
              </w:rPr>
              <w:t xml:space="preserve">Vzhľadom na to, že analýza vplyvov na rozpočet verejnej správy je predložená vo formáte úprav so sumami, ktoré vzájomne nekorešpondujú, bez bližšej analýzy a popisu, nie je možné k nej zaujať stanovisko. Komisia preto žiada predkladateľa, aby predložil analýzu v súlade s Jednotnou metodikou na posudzovanie vybraných vplyvov tak, aby bola jasná a zrozumiteľná. </w:t>
            </w:r>
          </w:p>
          <w:p w:rsidR="006D65BC" w:rsidRPr="006D65BC" w:rsidP="00E91028">
            <w:pPr>
              <w:tabs>
                <w:tab w:val="center" w:pos="6379"/>
              </w:tabs>
              <w:bidi w:val="0"/>
              <w:spacing w:after="0" w:line="240" w:lineRule="auto"/>
              <w:ind w:right="-2"/>
              <w:jc w:val="both"/>
              <w:rPr>
                <w:rFonts w:ascii="Times New Roman" w:hAnsi="Times New Roman" w:cs="Times New Roman"/>
                <w:b/>
                <w:bCs/>
                <w:sz w:val="24"/>
                <w:szCs w:val="24"/>
              </w:rPr>
            </w:pPr>
          </w:p>
          <w:p w:rsidR="006D65BC" w:rsidRPr="006D65BC" w:rsidP="00E91028">
            <w:pPr>
              <w:tabs>
                <w:tab w:val="center" w:pos="6379"/>
              </w:tabs>
              <w:bidi w:val="0"/>
              <w:spacing w:after="0" w:line="240" w:lineRule="auto"/>
              <w:ind w:right="-2"/>
              <w:jc w:val="both"/>
              <w:rPr>
                <w:rFonts w:ascii="Times New Roman" w:hAnsi="Times New Roman" w:cs="Times New Roman"/>
                <w:b/>
                <w:bCs/>
                <w:sz w:val="24"/>
                <w:szCs w:val="24"/>
              </w:rPr>
            </w:pPr>
            <w:r w:rsidRPr="006D65BC">
              <w:rPr>
                <w:rFonts w:ascii="Times New Roman" w:hAnsi="Times New Roman" w:cs="Times New Roman"/>
                <w:b/>
                <w:bCs/>
                <w:sz w:val="24"/>
                <w:szCs w:val="24"/>
              </w:rPr>
              <w:t>K analýze vplyvov na podnikateľské prostredie</w:t>
            </w: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r w:rsidRPr="006D65BC">
              <w:rPr>
                <w:rFonts w:ascii="Times New Roman" w:hAnsi="Times New Roman" w:cs="Times New Roman"/>
                <w:bCs/>
                <w:sz w:val="24"/>
                <w:szCs w:val="24"/>
              </w:rPr>
              <w:t>Predkladateľ v rámci prípravy materiálu nevypracoval dostatočne Analýzu vplyvov na podnikateľské prostredie podľa bodu 4.5. Jednotnej metodiky, nakoľko nevyčíslil pozitívne vplyvy na podnikateľské prostredie v dôsledku zníženia dane z príjmu právnických osôb o 1 %. V časti „Priame finančné náklady“ má Komisia za to, že je potrebný popis, vyčíslenie aj v prípade, ak dochádza k ich zníženiu. Rovnako predkladateľ nevyčíslil negatívne vplyvy na podnikateľské prostredie vo forme priamych finančných nákladov v dôsledku zrušenia zdravotných odvodov z dividend (14 %) a zavedenia novej dane z dividend a iných príjmov (10 %), avšak zrušením zdravotných odvodov sa ruší automaticky aj súčasný strop preddavku na poistné, t. j. z vymeriavacieho základu, ktorým je maximálne 60-násobok priemernej mesačnej mzdy zamestnanca v hospodárstve SR zistenej štatistickým úradom za kalendárny rok, ktorý dva roky predchádza rozhodujúcemu obdobiu. Rovnako sa nová daň bude vzťahovať aj na iné príjmy, nielen na dividendy podľa súčasnej definície na účely platenia zdravotných odvodov, ale napr. aj na podiely na zisku akciovej spoločnosti alebo obdobnej obchodnej spoločnosti so sídlom v zahraničí, ktorej akcie sú prijaté na obchodovanie na regulovanom trhu (vyňaté novelou č. 253/2015 účinnou k 1.1.2016 z dôvodu, že toto vyňatie „prispeje k zníženiu daňovo – odvodového zaťaženia investorov pri obchodovaní na kapitálovom trhu a prispeje k zvýšeniu jeho likvidity“) či na podiel na likvidačnom zostatku obchodnej spoločnosti alebo družstva (vyňatý novelou č. 429/2015 účinnou k 2.1.2016 z dôvodu „nespravodlivosti takejto právnej úpravy, nakoľko sa jedná iba o časť majetku spoločníka, ktorý bol na začiatku podnikania vložený do majetku spoločnosti a jedná sa iba o jeho vrátenie“). Rovnako je potrebné pri vyčíslení týchto negatívnych dopadov vziať do úvahy i skutočnosť, že kým podľa súčasnej platnej právnej úpravy sa povinnosť platiť 14 % zdravotné odvody z dividend (definícia podľa§ § 10 ods. 1 písm. e) zákona č. č. 580/2004 Z. z. o zdravotnom poistení) vzťahuje z podnikateľov len na SZČO, pričom právnické osoby, logicky, zdravotné odvody z dividend neplatia, podľa navrhovanej úpravy sa daň z dividend (definícia podľa navrhovaného nadpisu § 51e zákona č. 595/2003 Z. z. o dani z príjmov v znení neskorších predpisov) bude vzťahovať na všetky osoby – teda aj právnické osoby, ktorým sú tieto dividendy vyplácané, nakoľko tieto sa stávajú predmetom dane. Sadzba pre právnické osoby na daň z dividend však nebude predstavovať 10 %, nakoľko táto sadzba sa vzťahuje len na fyzické osoby, ale až 35 %.</w:t>
            </w: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r w:rsidRPr="006D65BC">
              <w:rPr>
                <w:rFonts w:ascii="Times New Roman" w:hAnsi="Times New Roman" w:cs="Times New Roman"/>
                <w:bCs/>
                <w:sz w:val="24"/>
                <w:szCs w:val="24"/>
              </w:rPr>
              <w:t>Hore uvedené zmeny, ktoré predkladateľ vôbec nezdôvodnil v dôvodovej správe, budú mať významné negatívne vplyvy na podnikateľské prostredie – konkrétne na podnikateľov, ktorí sú akcionármi.</w:t>
            </w: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p>
          <w:p w:rsidR="006D65BC" w:rsidRPr="006D65BC" w:rsidP="00E91028">
            <w:pPr>
              <w:tabs>
                <w:tab w:val="center" w:pos="6379"/>
              </w:tabs>
              <w:bidi w:val="0"/>
              <w:spacing w:after="0" w:line="240" w:lineRule="auto"/>
              <w:ind w:right="-2"/>
              <w:jc w:val="both"/>
              <w:rPr>
                <w:rFonts w:ascii="Times New Roman" w:hAnsi="Times New Roman" w:cs="Times New Roman"/>
                <w:b/>
                <w:bCs/>
                <w:sz w:val="24"/>
                <w:szCs w:val="24"/>
              </w:rPr>
            </w:pPr>
          </w:p>
          <w:p w:rsidR="006D65BC" w:rsidRPr="006D65BC" w:rsidP="00E91028">
            <w:pPr>
              <w:tabs>
                <w:tab w:val="center" w:pos="6379"/>
              </w:tabs>
              <w:bidi w:val="0"/>
              <w:spacing w:after="0" w:line="240" w:lineRule="auto"/>
              <w:ind w:right="-2"/>
              <w:rPr>
                <w:rFonts w:ascii="Times New Roman" w:hAnsi="Times New Roman" w:cs="Times New Roman"/>
                <w:b/>
                <w:bCs/>
                <w:sz w:val="24"/>
                <w:szCs w:val="24"/>
              </w:rPr>
            </w:pPr>
            <w:r w:rsidRPr="006D65BC">
              <w:rPr>
                <w:rFonts w:ascii="Times New Roman" w:hAnsi="Times New Roman" w:cs="Times New Roman"/>
                <w:b/>
                <w:bCs/>
                <w:sz w:val="24"/>
                <w:szCs w:val="24"/>
              </w:rPr>
              <w:t>K procesu</w:t>
            </w:r>
          </w:p>
          <w:p w:rsidR="006D65BC" w:rsidRPr="006D65BC" w:rsidP="00E91028">
            <w:pPr>
              <w:tabs>
                <w:tab w:val="center" w:pos="6379"/>
              </w:tabs>
              <w:bidi w:val="0"/>
              <w:spacing w:after="0" w:line="240" w:lineRule="auto"/>
              <w:ind w:right="-2"/>
              <w:rPr>
                <w:rFonts w:ascii="Times New Roman" w:hAnsi="Times New Roman" w:cs="Times New Roman"/>
                <w:b/>
                <w:bCs/>
                <w:sz w:val="24"/>
                <w:szCs w:val="24"/>
              </w:rPr>
            </w:pPr>
          </w:p>
          <w:p w:rsidR="006D65BC" w:rsidRPr="006D65BC" w:rsidP="00E91028">
            <w:pPr>
              <w:tabs>
                <w:tab w:val="center" w:pos="6379"/>
              </w:tabs>
              <w:bidi w:val="0"/>
              <w:spacing w:after="0" w:line="240" w:lineRule="auto"/>
              <w:ind w:right="-2"/>
              <w:jc w:val="both"/>
              <w:rPr>
                <w:rFonts w:ascii="Times New Roman" w:hAnsi="Times New Roman" w:cs="Times New Roman"/>
                <w:bCs/>
                <w:sz w:val="24"/>
                <w:szCs w:val="24"/>
              </w:rPr>
            </w:pPr>
            <w:r w:rsidRPr="006D65BC">
              <w:rPr>
                <w:rFonts w:ascii="Times New Roman" w:hAnsi="Times New Roman" w:cs="Times New Roman"/>
                <w:bCs/>
                <w:sz w:val="24"/>
                <w:szCs w:val="24"/>
              </w:rPr>
              <w:t>Predkladateľ zaslal materiál dňa 24.06.2016 do Predbežného pripomienkového konania, čím nepostupoval v súlade s procesom podľa Jednotnej metodiky na posudzovanie vybraných vplyvov (účinná od 01.04.2016), nakoľko tejto fáze legislatívneho procesu predchádza:</w:t>
            </w:r>
          </w:p>
          <w:p w:rsidR="006D65BC" w:rsidRPr="006D65BC" w:rsidP="00E91028">
            <w:pPr>
              <w:tabs>
                <w:tab w:val="center" w:pos="6379"/>
              </w:tabs>
              <w:bidi w:val="0"/>
              <w:spacing w:after="0" w:line="240" w:lineRule="auto"/>
              <w:ind w:right="-2"/>
              <w:rPr>
                <w:rFonts w:ascii="Times New Roman" w:hAnsi="Times New Roman" w:cs="Times New Roman"/>
                <w:bCs/>
                <w:sz w:val="24"/>
                <w:szCs w:val="24"/>
              </w:rPr>
            </w:pPr>
          </w:p>
          <w:p w:rsidR="006D65BC" w:rsidRPr="006D65BC" w:rsidP="006D65BC">
            <w:pPr>
              <w:pStyle w:val="ListParagraph"/>
              <w:numPr>
                <w:numId w:val="5"/>
              </w:numPr>
              <w:bidi w:val="0"/>
              <w:contextualSpacing w:val="0"/>
              <w:jc w:val="both"/>
              <w:rPr>
                <w:rFonts w:ascii="Times New Roman" w:hAnsi="Times New Roman"/>
                <w:bCs/>
              </w:rPr>
            </w:pPr>
            <w:r w:rsidRPr="006D65BC">
              <w:rPr>
                <w:rFonts w:ascii="Times New Roman" w:hAnsi="Times New Roman"/>
                <w:bCs/>
              </w:rPr>
              <w:t>rozhodnutie Ministerstva hospodárstva SR o potrebe vykonať konzultácie s podnikateľskými subjektmi podľa bodu 5.5. Jednotnej metodiky, a to do desiatich pracovných dní od schválenia Plánu legislatívnych úloh vlády SR, ak je materiál  doň zahrnutý. Plán legislatívnych úloh vlády SR bol schválený vládou SR 15.06.2016 a teda Ministerstvu hospodárstva SR ešte neuplynula lehota desiatich pracovných dní na informovanie predkladateľa o povinnosti vykonať konzultácie s podnikateľskými subjektmi v momente, kedy predkladateľ predložil materiál do skráteného predbežného pripomienkového konania;</w:t>
            </w:r>
          </w:p>
          <w:p w:rsidR="006D65BC" w:rsidRPr="006D65BC" w:rsidP="006D65BC">
            <w:pPr>
              <w:pStyle w:val="ListParagraph"/>
              <w:numPr>
                <w:numId w:val="5"/>
              </w:numPr>
              <w:bidi w:val="0"/>
              <w:contextualSpacing w:val="0"/>
              <w:jc w:val="both"/>
              <w:rPr>
                <w:rFonts w:ascii="Times New Roman" w:hAnsi="Times New Roman"/>
                <w:bCs/>
              </w:rPr>
            </w:pPr>
            <w:r w:rsidRPr="006D65BC">
              <w:rPr>
                <w:rFonts w:ascii="Times New Roman" w:hAnsi="Times New Roman"/>
                <w:bCs/>
              </w:rPr>
              <w:t>povinnosť vykonať konzultácie s podnikateľskými subjektmi podľa bodu 5. Jednotnej metodiky, v prípade, ak o tejto povinnosti rozhodne Ministerstvo hospodárstva SR na odporúčanie SBA. Dňa 19.05.2016 SBA odporučila Ministerstvu hospodárstva SR rozhodnúť v predmetnom materiáli o povinnosti vykonať tieto konzultácie v rámci vyjadrenia sa k materiálom, ktoré sú zahrnuté do Plánu legislatívnych úloh vlády SR;</w:t>
            </w:r>
          </w:p>
          <w:p w:rsidR="006D65BC" w:rsidRPr="006D65BC" w:rsidP="006D65BC">
            <w:pPr>
              <w:pStyle w:val="ListParagraph"/>
              <w:numPr>
                <w:numId w:val="5"/>
              </w:numPr>
              <w:bidi w:val="0"/>
              <w:contextualSpacing w:val="0"/>
              <w:jc w:val="both"/>
              <w:rPr>
                <w:rFonts w:ascii="Times New Roman" w:hAnsi="Times New Roman"/>
                <w:bCs/>
              </w:rPr>
            </w:pPr>
            <w:r w:rsidRPr="006D65BC">
              <w:rPr>
                <w:rFonts w:ascii="Times New Roman" w:hAnsi="Times New Roman"/>
                <w:bCs/>
              </w:rPr>
              <w:t>rozhodnutie Ministerstva hospodárstva SR aby SBA vypracovala Test vplyvu na malé a stredné podniky podľa bodu 6. Jednotnej metodiky na posudzovanie vybraných vplyvov, ak jeho vykonanie SBA odporučí z dôvodu predpokladu existencie vplyvu na malé a stredné podniky a za predpokladu, že boli k materiálu vykonané konzultácie;</w:t>
            </w:r>
          </w:p>
          <w:p w:rsidR="006D65BC" w:rsidRPr="006D65BC" w:rsidP="00E91028">
            <w:pPr>
              <w:pStyle w:val="ListParagraph"/>
              <w:tabs>
                <w:tab w:val="center" w:pos="6379"/>
              </w:tabs>
              <w:bidi w:val="0"/>
              <w:ind w:left="780" w:right="-2"/>
              <w:rPr>
                <w:rFonts w:ascii="Times New Roman" w:hAnsi="Times New Roman"/>
                <w:bCs/>
              </w:rPr>
            </w:pPr>
            <w:r w:rsidRPr="006D65BC">
              <w:rPr>
                <w:rFonts w:ascii="Times New Roman" w:hAnsi="Times New Roman"/>
                <w:bCs/>
              </w:rPr>
              <w:t xml:space="preserve"> </w:t>
            </w:r>
          </w:p>
          <w:p w:rsidR="006D65BC" w:rsidRPr="006D65BC" w:rsidP="00E91028">
            <w:pPr>
              <w:bidi w:val="0"/>
              <w:spacing w:after="0" w:line="240" w:lineRule="auto"/>
              <w:rPr>
                <w:rFonts w:ascii="Times New Roman" w:hAnsi="Times New Roman" w:cs="Times New Roman"/>
                <w:b/>
                <w:bCs/>
                <w:sz w:val="24"/>
                <w:szCs w:val="24"/>
              </w:rPr>
            </w:pPr>
            <w:r w:rsidRPr="006D65BC">
              <w:rPr>
                <w:rFonts w:ascii="Times New Roman" w:hAnsi="Times New Roman" w:cs="Times New Roman"/>
                <w:b/>
                <w:bCs/>
                <w:sz w:val="24"/>
                <w:szCs w:val="24"/>
              </w:rPr>
              <w:t>Vyhodnotenie pripomienok MF SR:</w:t>
            </w:r>
          </w:p>
          <w:p w:rsidR="006D65BC" w:rsidRPr="006D65BC" w:rsidP="00E91028">
            <w:pPr>
              <w:bidi w:val="0"/>
              <w:spacing w:after="0" w:line="240" w:lineRule="auto"/>
              <w:rPr>
                <w:rFonts w:ascii="Times New Roman" w:hAnsi="Times New Roman" w:cs="Times New Roman"/>
                <w:b/>
                <w:bCs/>
                <w:sz w:val="24"/>
                <w:szCs w:val="24"/>
              </w:rPr>
            </w:pPr>
          </w:p>
          <w:p w:rsidR="006D65BC" w:rsidRPr="006D65BC" w:rsidP="00E91028">
            <w:pPr>
              <w:bidi w:val="0"/>
              <w:spacing w:after="0" w:line="240" w:lineRule="auto"/>
              <w:rPr>
                <w:rFonts w:ascii="Times New Roman" w:hAnsi="Times New Roman" w:cs="Times New Roman"/>
                <w:b/>
              </w:rPr>
            </w:pPr>
            <w:r w:rsidRPr="006D65BC">
              <w:rPr>
                <w:rFonts w:ascii="Times New Roman" w:hAnsi="Times New Roman" w:cs="Times New Roman"/>
                <w:b/>
                <w:bCs/>
                <w:sz w:val="24"/>
                <w:szCs w:val="24"/>
              </w:rPr>
              <w:t>K doložke vybraných vplyvov</w:t>
            </w:r>
          </w:p>
          <w:p w:rsidR="006D65BC" w:rsidRPr="006D65BC" w:rsidP="00E91028">
            <w:pPr>
              <w:bidi w:val="0"/>
              <w:spacing w:after="0" w:line="240" w:lineRule="auto"/>
              <w:jc w:val="both"/>
              <w:rPr>
                <w:rFonts w:ascii="Times New Roman" w:hAnsi="Times New Roman" w:cs="Times New Roman"/>
                <w:sz w:val="24"/>
                <w:szCs w:val="24"/>
              </w:rPr>
            </w:pPr>
            <w:r w:rsidRPr="006D65BC">
              <w:rPr>
                <w:rFonts w:ascii="Times New Roman" w:hAnsi="Times New Roman" w:cs="Times New Roman"/>
                <w:sz w:val="24"/>
                <w:szCs w:val="24"/>
              </w:rPr>
              <w:t xml:space="preserve">Odporúčaniu komisie o posúdenie vplyvu na služby verejnej správy pre občana bolo vyhovené a doložka vplyvu na služby verejnej správy na občana bola dopracovaná. </w:t>
            </w:r>
          </w:p>
          <w:p w:rsidR="006D65BC" w:rsidRPr="006D65BC" w:rsidP="00E91028">
            <w:pPr>
              <w:bidi w:val="0"/>
              <w:spacing w:after="0" w:line="240" w:lineRule="auto"/>
              <w:rPr>
                <w:rFonts w:ascii="Times New Roman" w:hAnsi="Times New Roman" w:cs="Times New Roman"/>
                <w:b/>
              </w:rPr>
            </w:pPr>
          </w:p>
          <w:p w:rsidR="006D65BC" w:rsidRPr="006D65BC" w:rsidP="00E91028">
            <w:pPr>
              <w:bidi w:val="0"/>
              <w:spacing w:after="0" w:line="240" w:lineRule="auto"/>
              <w:rPr>
                <w:rFonts w:ascii="Times New Roman" w:hAnsi="Times New Roman" w:cs="Times New Roman"/>
                <w:b/>
                <w:bCs/>
                <w:sz w:val="24"/>
                <w:szCs w:val="24"/>
              </w:rPr>
            </w:pPr>
            <w:r w:rsidRPr="006D65BC">
              <w:rPr>
                <w:rFonts w:ascii="Times New Roman" w:hAnsi="Times New Roman" w:cs="Times New Roman"/>
                <w:b/>
                <w:bCs/>
                <w:sz w:val="24"/>
                <w:szCs w:val="24"/>
              </w:rPr>
              <w:t>K analýze vplyvov na rozpočet verejnej správy</w:t>
            </w:r>
          </w:p>
          <w:p w:rsidR="006D65BC" w:rsidRPr="006D65BC" w:rsidP="00E91028">
            <w:pPr>
              <w:bidi w:val="0"/>
              <w:spacing w:after="0" w:line="240" w:lineRule="auto"/>
              <w:jc w:val="both"/>
              <w:rPr>
                <w:rFonts w:ascii="Times New Roman" w:hAnsi="Times New Roman" w:cs="Times New Roman"/>
                <w:bCs/>
                <w:sz w:val="24"/>
                <w:szCs w:val="24"/>
              </w:rPr>
            </w:pPr>
            <w:r w:rsidRPr="006D65BC">
              <w:rPr>
                <w:rFonts w:ascii="Times New Roman" w:hAnsi="Times New Roman" w:cs="Times New Roman"/>
                <w:bCs/>
                <w:sz w:val="24"/>
                <w:szCs w:val="24"/>
              </w:rPr>
              <w:t>V zmysle uplatnených pripomienok komisie bola analýza vplyvov na rozpočet verejnej správy upravená.</w:t>
            </w:r>
          </w:p>
          <w:p w:rsidR="006D65BC" w:rsidRPr="006D65BC" w:rsidP="00E91028">
            <w:pPr>
              <w:bidi w:val="0"/>
              <w:spacing w:after="0" w:line="240" w:lineRule="auto"/>
              <w:rPr>
                <w:rFonts w:ascii="Times New Roman" w:hAnsi="Times New Roman" w:cs="Times New Roman"/>
                <w:bCs/>
                <w:sz w:val="24"/>
                <w:szCs w:val="24"/>
              </w:rPr>
            </w:pPr>
          </w:p>
          <w:p w:rsidR="006D65BC" w:rsidRPr="006D65BC" w:rsidP="00E91028">
            <w:pPr>
              <w:bidi w:val="0"/>
              <w:spacing w:after="0" w:line="240" w:lineRule="auto"/>
              <w:rPr>
                <w:rFonts w:ascii="Times New Roman" w:hAnsi="Times New Roman" w:cs="Times New Roman"/>
                <w:b/>
                <w:bCs/>
                <w:sz w:val="24"/>
                <w:szCs w:val="24"/>
              </w:rPr>
            </w:pPr>
            <w:r w:rsidRPr="006D65BC">
              <w:rPr>
                <w:rFonts w:ascii="Times New Roman" w:hAnsi="Times New Roman" w:cs="Times New Roman"/>
                <w:b/>
                <w:bCs/>
                <w:sz w:val="24"/>
                <w:szCs w:val="24"/>
              </w:rPr>
              <w:t>K analýze vplyvov na podnikateľské prostredie</w:t>
            </w:r>
          </w:p>
          <w:p w:rsidR="006D65BC" w:rsidRPr="006D65BC" w:rsidP="00E91028">
            <w:pPr>
              <w:bidi w:val="0"/>
              <w:spacing w:after="0" w:line="240" w:lineRule="auto"/>
              <w:jc w:val="both"/>
              <w:rPr>
                <w:rFonts w:ascii="Times New Roman" w:hAnsi="Times New Roman" w:cs="Times New Roman"/>
                <w:bCs/>
                <w:sz w:val="24"/>
                <w:szCs w:val="24"/>
              </w:rPr>
            </w:pPr>
            <w:r w:rsidRPr="006D65BC">
              <w:rPr>
                <w:rFonts w:ascii="Times New Roman" w:hAnsi="Times New Roman" w:cs="Times New Roman"/>
                <w:bCs/>
                <w:sz w:val="24"/>
                <w:szCs w:val="24"/>
              </w:rPr>
              <w:t>Analýza vplyvov na podnikateľské prostredie bola na základe požiadaviek komisie čiastočne upravená. K vzneseniu pripomienky týkajúcej sa negatívneho vplyvu zdanenia podielov na zisku (dividend) na právnické osoby je potrebné uviesť, že podiely na zisku (dividendy)  budú predmetom dane a budú zdaňované vo výške 35 % iba v prípade, ak budú plynúť daňovníkovi s neobmedzenou daňovou povinnosťou od daňovníka z nezmluvného štátu alebo budú plynúť daňovníkovi z nezmluvného štátu, ak mu budú vyplatené tuzemskou právnickou osobou. Ide o opatrenie na zamedzenie agresívneho daňového plánovania. V ostatných prípadoch podiely na zisku (dividendy) právnickej osoby nebudú predmetom dane právnickej osoby. Uvedené sa vzťahuje aj na vyrovnací podiel, podiel na likvidačnom zostatku a podiel na výsledku hospodárenia.</w:t>
            </w:r>
          </w:p>
          <w:p w:rsidR="006D65BC" w:rsidRPr="006D65BC" w:rsidP="00E91028">
            <w:pPr>
              <w:bidi w:val="0"/>
              <w:spacing w:after="0" w:line="240" w:lineRule="auto"/>
              <w:jc w:val="both"/>
              <w:rPr>
                <w:rFonts w:ascii="Times New Roman" w:hAnsi="Times New Roman" w:cs="Times New Roman"/>
                <w:bCs/>
                <w:sz w:val="24"/>
                <w:szCs w:val="24"/>
              </w:rPr>
            </w:pPr>
          </w:p>
          <w:p w:rsidR="006D65BC" w:rsidRPr="006D65BC" w:rsidP="00E91028">
            <w:pPr>
              <w:bidi w:val="0"/>
              <w:spacing w:after="0" w:line="240" w:lineRule="auto"/>
              <w:jc w:val="both"/>
              <w:rPr>
                <w:rFonts w:ascii="Times New Roman" w:hAnsi="Times New Roman" w:cs="Times New Roman"/>
                <w:b/>
                <w:bCs/>
                <w:sz w:val="24"/>
                <w:szCs w:val="24"/>
              </w:rPr>
            </w:pPr>
            <w:r w:rsidRPr="006D65BC">
              <w:rPr>
                <w:rFonts w:ascii="Times New Roman" w:hAnsi="Times New Roman" w:cs="Times New Roman"/>
                <w:b/>
                <w:bCs/>
                <w:sz w:val="24"/>
                <w:szCs w:val="24"/>
              </w:rPr>
              <w:t>K procesu</w:t>
            </w:r>
          </w:p>
          <w:p w:rsidR="006D65BC" w:rsidRPr="006D65BC" w:rsidP="00E91028">
            <w:pPr>
              <w:bidi w:val="0"/>
              <w:spacing w:after="0" w:line="240" w:lineRule="auto"/>
              <w:jc w:val="both"/>
              <w:rPr>
                <w:rFonts w:ascii="Times New Roman" w:hAnsi="Times New Roman" w:cs="Times New Roman"/>
                <w:sz w:val="24"/>
                <w:szCs w:val="24"/>
              </w:rPr>
            </w:pPr>
            <w:r w:rsidRPr="006D65BC">
              <w:rPr>
                <w:rFonts w:ascii="Times New Roman" w:hAnsi="Times New Roman" w:cs="Times New Roman"/>
                <w:sz w:val="24"/>
                <w:szCs w:val="24"/>
              </w:rPr>
              <w:t xml:space="preserve">Predkladaný materiál je zahrnutý v Pláne legislatívnych úloh vlády SR s predpokladaným termínom predloženia na Rokovanie vlády SR 11.8.2016. Pripomienky komisie týkajúce sa nedodržania termínov možno odôvodniť skutočnosťou, že programové vyhlásenie vlády bolo zverejnené až 13.4.2016 a v II. polroku 2016 sa začalo predsedníctvo Slovenskej republiky v Rade EÚ. </w:t>
            </w:r>
          </w:p>
          <w:p w:rsidR="006D65BC" w:rsidRPr="006D65BC" w:rsidP="00E91028">
            <w:pPr>
              <w:tabs>
                <w:tab w:val="center" w:pos="6379"/>
              </w:tabs>
              <w:bidi w:val="0"/>
              <w:spacing w:after="0" w:line="240" w:lineRule="auto"/>
              <w:ind w:right="-2"/>
              <w:jc w:val="both"/>
              <w:rPr>
                <w:rFonts w:ascii="Times New Roman" w:hAnsi="Times New Roman" w:cs="Times New Roman"/>
                <w:sz w:val="24"/>
                <w:szCs w:val="24"/>
              </w:rPr>
            </w:pPr>
          </w:p>
          <w:p w:rsidR="006D65BC" w:rsidRPr="006D65BC" w:rsidP="00E91028">
            <w:pPr>
              <w:tabs>
                <w:tab w:val="center" w:pos="6379"/>
              </w:tabs>
              <w:bidi w:val="0"/>
              <w:spacing w:after="0" w:line="240" w:lineRule="auto"/>
              <w:ind w:right="-2"/>
              <w:jc w:val="both"/>
              <w:rPr>
                <w:rFonts w:ascii="Times New Roman" w:hAnsi="Times New Roman" w:cs="Times New Roman"/>
                <w:bCs/>
                <w:sz w:val="24"/>
              </w:rPr>
            </w:pPr>
          </w:p>
          <w:p w:rsidR="006D65BC" w:rsidRPr="006D65BC" w:rsidP="00E91028">
            <w:pPr>
              <w:tabs>
                <w:tab w:val="center" w:pos="6379"/>
              </w:tabs>
              <w:bidi w:val="0"/>
              <w:spacing w:after="0" w:line="240" w:lineRule="auto"/>
              <w:ind w:right="-2"/>
              <w:jc w:val="both"/>
              <w:rPr>
                <w:rFonts w:ascii="Times New Roman" w:hAnsi="Times New Roman" w:cs="Times New Roman"/>
                <w:bCs/>
                <w:sz w:val="24"/>
              </w:rPr>
            </w:pPr>
            <w:r w:rsidRPr="006D65BC">
              <w:rPr>
                <w:rFonts w:ascii="Times New Roman" w:hAnsi="Times New Roman" w:cs="Times New Roman"/>
                <w:b/>
                <w:i/>
                <w:sz w:val="24"/>
                <w:szCs w:val="24"/>
              </w:rPr>
              <w:t>Nesúhlasné stanovisko komisie neznamená zastavenie ďalšieho schvaľovacieho procesu.</w:t>
            </w:r>
          </w:p>
          <w:p w:rsidR="006D65BC" w:rsidRPr="006D65BC" w:rsidP="00E91028">
            <w:pPr>
              <w:bidi w:val="0"/>
              <w:spacing w:after="0" w:line="240" w:lineRule="auto"/>
              <w:jc w:val="both"/>
              <w:rPr>
                <w:rFonts w:ascii="Times New Roman" w:hAnsi="Times New Roman" w:cs="Times New Roman"/>
                <w:bCs/>
                <w:sz w:val="24"/>
                <w:szCs w:val="24"/>
              </w:rPr>
            </w:pPr>
          </w:p>
        </w:tc>
      </w:tr>
    </w:tbl>
    <w:p w:rsidR="006D65BC" w:rsidRPr="006D65BC" w:rsidP="00DA01F2">
      <w:pPr>
        <w:bidi w:val="0"/>
        <w:spacing w:after="0" w:line="240" w:lineRule="auto"/>
        <w:jc w:val="both"/>
        <w:rPr>
          <w:rFonts w:ascii="Times New Roman" w:hAnsi="Times New Roman" w:cs="Times New Roman"/>
          <w:sz w:val="24"/>
          <w:szCs w:val="24"/>
        </w:rPr>
      </w:pPr>
    </w:p>
    <w:p w:rsidR="00B5458A" w:rsidRPr="006D65BC" w:rsidP="00A241DB">
      <w:pPr>
        <w:shd w:val="clear" w:color="auto" w:fill="FFFFFF"/>
        <w:bidi w:val="0"/>
        <w:spacing w:after="0" w:line="240" w:lineRule="auto"/>
        <w:jc w:val="both"/>
        <w:rPr>
          <w:rFonts w:ascii="Times New Roman" w:hAnsi="Times New Roman" w:cs="Times New Roman"/>
          <w:sz w:val="24"/>
          <w:szCs w:val="24"/>
        </w:rPr>
      </w:pPr>
    </w:p>
    <w:p w:rsidR="00E008FB" w:rsidRPr="006D65BC" w:rsidP="00A241DB">
      <w:pPr>
        <w:shd w:val="clear" w:color="auto" w:fill="FFFFFF"/>
        <w:bidi w:val="0"/>
        <w:spacing w:after="0" w:line="240" w:lineRule="auto"/>
        <w:jc w:val="both"/>
        <w:rPr>
          <w:rFonts w:ascii="Times New Roman" w:hAnsi="Times New Roman" w:cs="Times New Roman"/>
          <w:sz w:val="24"/>
          <w:szCs w:val="24"/>
        </w:rPr>
      </w:pPr>
    </w:p>
    <w:p w:rsidR="00E008FB" w:rsidRPr="006D65BC" w:rsidP="00DA01F2">
      <w:pPr>
        <w:bidi w:val="0"/>
        <w:spacing w:after="0" w:line="240" w:lineRule="auto"/>
        <w:jc w:val="both"/>
        <w:rPr>
          <w:rFonts w:ascii="Times New Roman" w:hAnsi="Times New Roman" w:cs="Times New Roman"/>
          <w:b/>
          <w:sz w:val="24"/>
          <w:szCs w:val="24"/>
        </w:rPr>
      </w:pPr>
    </w:p>
    <w:p w:rsidR="00E008FB"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P="00DA01F2">
      <w:pPr>
        <w:bidi w:val="0"/>
        <w:spacing w:after="0" w:line="240" w:lineRule="auto"/>
        <w:ind w:left="360"/>
        <w:jc w:val="both"/>
        <w:rPr>
          <w:rFonts w:ascii="Times New Roman" w:hAnsi="Times New Roman" w:cs="Times New Roman"/>
          <w:b/>
          <w:sz w:val="24"/>
          <w:szCs w:val="24"/>
        </w:rPr>
      </w:pPr>
    </w:p>
    <w:p w:rsidR="00E91028" w:rsidRPr="007D5748" w:rsidP="00E91028">
      <w:pPr>
        <w:bidi w:val="0"/>
        <w:spacing w:after="0" w:line="240" w:lineRule="auto"/>
        <w:jc w:val="center"/>
        <w:rPr>
          <w:rFonts w:ascii="Times New Roman" w:hAnsi="Times New Roman" w:cs="Times New Roman"/>
          <w:b/>
          <w:bCs/>
          <w:sz w:val="28"/>
          <w:szCs w:val="28"/>
          <w:lang w:eastAsia="sk-SK"/>
        </w:rPr>
      </w:pPr>
      <w:r w:rsidRPr="007D5748">
        <w:rPr>
          <w:rFonts w:ascii="Times New Roman" w:hAnsi="Times New Roman" w:cs="Times New Roman"/>
          <w:b/>
          <w:bCs/>
          <w:sz w:val="28"/>
          <w:szCs w:val="28"/>
          <w:lang w:eastAsia="sk-SK"/>
        </w:rPr>
        <w:t>Analýza vplyvov na rozpočet verejnej správy,</w:t>
      </w:r>
    </w:p>
    <w:p w:rsidR="00E91028" w:rsidRPr="007D5748" w:rsidP="00E91028">
      <w:pPr>
        <w:bidi w:val="0"/>
        <w:spacing w:after="0" w:line="240" w:lineRule="auto"/>
        <w:jc w:val="center"/>
        <w:rPr>
          <w:rFonts w:ascii="Times New Roman" w:hAnsi="Times New Roman" w:cs="Times New Roman"/>
          <w:b/>
          <w:bCs/>
          <w:sz w:val="28"/>
          <w:szCs w:val="28"/>
          <w:lang w:eastAsia="sk-SK"/>
        </w:rPr>
      </w:pPr>
      <w:r w:rsidRPr="007D5748">
        <w:rPr>
          <w:rFonts w:ascii="Times New Roman" w:hAnsi="Times New Roman" w:cs="Times New Roman"/>
          <w:b/>
          <w:bCs/>
          <w:sz w:val="28"/>
          <w:szCs w:val="28"/>
          <w:lang w:eastAsia="sk-SK"/>
        </w:rPr>
        <w:t>na zamestnanosť vo verejnej správe a financovanie návrhu</w:t>
      </w:r>
    </w:p>
    <w:p w:rsidR="00E91028" w:rsidRPr="00212894" w:rsidP="00E91028">
      <w:pPr>
        <w:bidi w:val="0"/>
        <w:spacing w:after="0" w:line="240" w:lineRule="auto"/>
        <w:jc w:val="right"/>
        <w:rPr>
          <w:rFonts w:ascii="Times New Roman" w:hAnsi="Times New Roman" w:cs="Times New Roman"/>
          <w:b/>
          <w:bCs/>
          <w:sz w:val="24"/>
          <w:szCs w:val="24"/>
          <w:lang w:eastAsia="sk-SK"/>
        </w:rPr>
      </w:pPr>
    </w:p>
    <w:p w:rsidR="00E91028" w:rsidRPr="00212894" w:rsidP="00E91028">
      <w:pPr>
        <w:bidi w:val="0"/>
        <w:spacing w:after="0" w:line="240" w:lineRule="auto"/>
        <w:rPr>
          <w:rFonts w:ascii="Times New Roman" w:hAnsi="Times New Roman" w:cs="Times New Roman"/>
          <w:b/>
          <w:bCs/>
          <w:sz w:val="24"/>
          <w:szCs w:val="24"/>
          <w:lang w:eastAsia="sk-SK"/>
        </w:rPr>
      </w:pPr>
      <w:r w:rsidRPr="00212894">
        <w:rPr>
          <w:rFonts w:ascii="Times New Roman" w:hAnsi="Times New Roman" w:cs="Times New Roman"/>
          <w:b/>
          <w:bCs/>
          <w:sz w:val="24"/>
          <w:szCs w:val="24"/>
          <w:lang w:eastAsia="sk-SK"/>
        </w:rPr>
        <w:t>2.1 Zhrnutie vplyvov na rozpočet verejnej správy v návrhu</w:t>
      </w:r>
    </w:p>
    <w:p w:rsidR="00E91028" w:rsidP="00E91028">
      <w:pPr>
        <w:bidi w:val="0"/>
        <w:spacing w:after="0" w:line="240" w:lineRule="auto"/>
        <w:jc w:val="right"/>
        <w:rPr>
          <w:rFonts w:ascii="Times New Roman" w:hAnsi="Times New Roman" w:cs="Times New Roman"/>
          <w:sz w:val="20"/>
          <w:szCs w:val="20"/>
          <w:lang w:eastAsia="sk-SK"/>
        </w:rPr>
      </w:pPr>
    </w:p>
    <w:p w:rsidR="00E91028" w:rsidRPr="007D5748" w:rsidP="00E91028">
      <w:pPr>
        <w:bidi w:val="0"/>
        <w:spacing w:after="0" w:line="240" w:lineRule="auto"/>
        <w:jc w:val="right"/>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964"/>
        <w:gridCol w:w="1134"/>
        <w:gridCol w:w="1560"/>
        <w:gridCol w:w="1559"/>
        <w:gridCol w:w="1512"/>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3964"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bookmarkStart w:id="0" w:name="OLE_LINK1"/>
            <w:r w:rsidRPr="007D5748">
              <w:rPr>
                <w:rFonts w:ascii="Times New Roman" w:hAnsi="Times New Roman" w:cs="Times New Roman"/>
                <w:b/>
                <w:bCs/>
                <w:sz w:val="24"/>
                <w:szCs w:val="24"/>
                <w:lang w:eastAsia="sk-SK"/>
              </w:rPr>
              <w:t>Vplyvy na rozpočet verejnej správy</w:t>
            </w:r>
          </w:p>
        </w:tc>
        <w:tc>
          <w:tcPr>
            <w:tcW w:w="5765"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3964"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2016</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2017</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2018</w:t>
            </w:r>
          </w:p>
        </w:tc>
        <w:tc>
          <w:tcPr>
            <w:tcW w:w="151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2121C" w:rsidRPr="007D5748" w:rsidP="00E2121C">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Príjmy verejnej správy celkom</w:t>
            </w:r>
          </w:p>
        </w:tc>
        <w:tc>
          <w:tcPr>
            <w:tcW w:w="1134"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2121C" w:rsidRPr="007D5748" w:rsidP="00E2121C">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2121C" w:rsidRPr="007D5748" w:rsidP="00E2121C">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-159 040 000</w:t>
            </w:r>
          </w:p>
        </w:tc>
        <w:tc>
          <w:tcPr>
            <w:tcW w:w="1559"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2121C" w:rsidRPr="007D5748" w:rsidP="00E2121C">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-121 560 000</w:t>
            </w:r>
          </w:p>
        </w:tc>
        <w:tc>
          <w:tcPr>
            <w:tcW w:w="1512"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2121C" w:rsidRPr="007D5748" w:rsidP="00E2121C">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-138 600 000</w:t>
            </w:r>
          </w:p>
        </w:tc>
      </w:tr>
      <w:tr>
        <w:tblPrEx>
          <w:tblW w:w="9729" w:type="dxa"/>
          <w:jc w:val="center"/>
          <w:tblCellMar>
            <w:left w:w="70" w:type="dxa"/>
            <w:right w:w="70" w:type="dxa"/>
          </w:tblCellMar>
        </w:tblPrEx>
        <w:trPr>
          <w:trHeight w:val="132"/>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v tom: za každý subjekt verejnej správy zvlášť</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xml:space="preserve">z toho:  </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sz w:val="24"/>
                <w:szCs w:val="24"/>
                <w:lang w:eastAsia="sk-SK"/>
              </w:rPr>
              <w:t>-</w:t>
            </w:r>
            <w:r w:rsidR="00E2121C">
              <w:rPr>
                <w:rFonts w:ascii="Times New Roman" w:hAnsi="Times New Roman" w:cs="Times New Roman"/>
                <w:b/>
                <w:bCs/>
                <w:sz w:val="24"/>
                <w:szCs w:val="24"/>
                <w:lang w:eastAsia="sk-SK"/>
              </w:rPr>
              <w:t>159 040 000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870719">
            <w:pPr>
              <w:bidi w:val="0"/>
              <w:spacing w:after="0" w:line="240" w:lineRule="auto"/>
              <w:jc w:val="right"/>
              <w:rPr>
                <w:rFonts w:ascii="Times New Roman" w:hAnsi="Times New Roman" w:cs="Times New Roman"/>
                <w:b/>
                <w:bCs/>
                <w:iCs/>
                <w:sz w:val="24"/>
                <w:szCs w:val="24"/>
                <w:lang w:eastAsia="sk-SK"/>
              </w:rPr>
            </w:pPr>
            <w:r w:rsidR="00E2121C">
              <w:rPr>
                <w:rFonts w:ascii="Times New Roman" w:hAnsi="Times New Roman" w:cs="Times New Roman"/>
                <w:b/>
                <w:bCs/>
                <w:iCs/>
                <w:sz w:val="24"/>
                <w:szCs w:val="24"/>
                <w:lang w:eastAsia="sk-SK"/>
              </w:rPr>
              <w:t>-</w:t>
            </w:r>
            <w:r w:rsidR="00870719">
              <w:rPr>
                <w:rFonts w:ascii="Times New Roman" w:hAnsi="Times New Roman" w:cs="Times New Roman"/>
                <w:b/>
                <w:bCs/>
                <w:iCs/>
                <w:sz w:val="24"/>
                <w:szCs w:val="24"/>
                <w:lang w:eastAsia="sk-SK"/>
              </w:rPr>
              <w:t>81 960 000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870719">
            <w:pPr>
              <w:bidi w:val="0"/>
              <w:spacing w:after="0" w:line="240" w:lineRule="auto"/>
              <w:jc w:val="right"/>
              <w:rPr>
                <w:rFonts w:ascii="Times New Roman" w:hAnsi="Times New Roman" w:cs="Times New Roman"/>
                <w:b/>
                <w:bCs/>
                <w:iCs/>
                <w:sz w:val="24"/>
                <w:szCs w:val="24"/>
                <w:lang w:eastAsia="sk-SK"/>
              </w:rPr>
            </w:pPr>
            <w:r w:rsidR="00870719">
              <w:rPr>
                <w:rFonts w:ascii="Times New Roman" w:hAnsi="Times New Roman" w:cs="Times New Roman"/>
                <w:b/>
                <w:bCs/>
                <w:iCs/>
                <w:sz w:val="24"/>
                <w:szCs w:val="24"/>
                <w:lang w:eastAsia="sk-SK"/>
              </w:rPr>
              <w:t>-105 100 000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ind w:left="259"/>
              <w:rPr>
                <w:rFonts w:ascii="Times New Roman" w:hAnsi="Times New Roman" w:cs="Times New Roman"/>
                <w:b/>
                <w:bCs/>
                <w:i/>
                <w:iCs/>
                <w:sz w:val="24"/>
                <w:szCs w:val="24"/>
                <w:lang w:eastAsia="sk-SK"/>
              </w:rPr>
            </w:pPr>
            <w:r>
              <w:rPr>
                <w:rFonts w:ascii="Times New Roman" w:hAnsi="Times New Roman" w:cs="Times New Roman"/>
                <w:bCs/>
                <w:i/>
                <w:iCs/>
                <w:sz w:val="24"/>
                <w:szCs w:val="24"/>
                <w:lang w:eastAsia="sk-SK"/>
              </w:rPr>
              <w:t>Všeobecná pokladničná správa</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sz w:val="24"/>
                <w:szCs w:val="24"/>
                <w:lang w:eastAsia="sk-SK"/>
              </w:rPr>
              <w:t>-</w:t>
            </w:r>
            <w:r w:rsidR="00E2121C">
              <w:rPr>
                <w:rFonts w:ascii="Times New Roman" w:hAnsi="Times New Roman" w:cs="Times New Roman"/>
                <w:b/>
                <w:bCs/>
                <w:sz w:val="24"/>
                <w:szCs w:val="24"/>
                <w:lang w:eastAsia="sk-SK"/>
              </w:rPr>
              <w:t>159 040 000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00E2121C">
              <w:rPr>
                <w:rFonts w:ascii="Times New Roman" w:hAnsi="Times New Roman" w:cs="Times New Roman"/>
                <w:b/>
                <w:bCs/>
                <w:iCs/>
                <w:sz w:val="24"/>
                <w:szCs w:val="24"/>
                <w:lang w:eastAsia="sk-SK"/>
              </w:rPr>
              <w:t>-</w:t>
            </w:r>
            <w:r w:rsidR="00870719">
              <w:rPr>
                <w:rFonts w:ascii="Times New Roman" w:hAnsi="Times New Roman" w:cs="Times New Roman"/>
                <w:b/>
                <w:bCs/>
                <w:iCs/>
                <w:sz w:val="24"/>
                <w:szCs w:val="24"/>
                <w:lang w:eastAsia="sk-SK"/>
              </w:rPr>
              <w:t>81 960 000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00870719">
              <w:rPr>
                <w:rFonts w:ascii="Times New Roman" w:hAnsi="Times New Roman" w:cs="Times New Roman"/>
                <w:b/>
                <w:bCs/>
                <w:iCs/>
                <w:sz w:val="24"/>
                <w:szCs w:val="24"/>
                <w:lang w:eastAsia="sk-SK"/>
              </w:rPr>
              <w:t>-105 100 000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P="00E91028">
            <w:pPr>
              <w:bidi w:val="0"/>
              <w:spacing w:after="0" w:line="240" w:lineRule="auto"/>
              <w:ind w:left="259"/>
              <w:rPr>
                <w:rFonts w:ascii="Times New Roman" w:hAnsi="Times New Roman" w:cs="Times New Roman"/>
                <w:bCs/>
                <w:i/>
                <w:iCs/>
                <w:sz w:val="24"/>
                <w:szCs w:val="24"/>
                <w:lang w:eastAsia="sk-SK"/>
              </w:rPr>
            </w:pPr>
            <w:r>
              <w:rPr>
                <w:rFonts w:ascii="Times New Roman" w:hAnsi="Times New Roman" w:cs="Times New Roman"/>
                <w:bCs/>
                <w:i/>
                <w:iCs/>
                <w:sz w:val="24"/>
                <w:szCs w:val="24"/>
                <w:lang w:eastAsia="sk-SK"/>
              </w:rPr>
              <w:t>Rozpočtové prostriedky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P="00E91028">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ind w:left="259"/>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EÚ zdroje</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2121C">
            <w:pPr>
              <w:bidi w:val="0"/>
              <w:spacing w:after="0" w:line="240" w:lineRule="auto"/>
              <w:jc w:val="right"/>
              <w:rPr>
                <w:rFonts w:ascii="Times New Roman" w:hAnsi="Times New Roman" w:cs="Times New Roman"/>
                <w:b/>
                <w:bCs/>
                <w:iCs/>
                <w:sz w:val="24"/>
                <w:szCs w:val="24"/>
                <w:lang w:eastAsia="sk-SK"/>
              </w:rPr>
            </w:pPr>
            <w:r w:rsidR="00E2121C">
              <w:rPr>
                <w:rFonts w:ascii="Times New Roman" w:hAnsi="Times New Roman" w:cs="Times New Roman"/>
                <w:b/>
                <w:bCs/>
                <w:iCs/>
                <w:sz w:val="24"/>
                <w:szCs w:val="24"/>
                <w:lang w:eastAsia="sk-SK"/>
              </w:rPr>
              <w:t>-18 760 000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00870719">
              <w:rPr>
                <w:rFonts w:ascii="Times New Roman" w:hAnsi="Times New Roman" w:cs="Times New Roman"/>
                <w:b/>
                <w:bCs/>
                <w:iCs/>
                <w:sz w:val="24"/>
                <w:szCs w:val="24"/>
                <w:lang w:eastAsia="sk-SK"/>
              </w:rPr>
              <w:t>-9 380 000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00E2121C">
              <w:rPr>
                <w:rFonts w:ascii="Times New Roman" w:hAnsi="Times New Roman" w:cs="Times New Roman"/>
                <w:b/>
                <w:bCs/>
                <w:iCs/>
                <w:sz w:val="24"/>
                <w:szCs w:val="24"/>
                <w:lang w:eastAsia="sk-SK"/>
              </w:rPr>
              <w:t>-8 040 000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00870719">
              <w:rPr>
                <w:rFonts w:ascii="Times New Roman" w:hAnsi="Times New Roman" w:cs="Times New Roman"/>
                <w:b/>
                <w:bCs/>
                <w:iCs/>
                <w:sz w:val="24"/>
                <w:szCs w:val="24"/>
                <w:lang w:eastAsia="sk-SK"/>
              </w:rPr>
              <w:t>-4 020 000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00E2121C">
              <w:rPr>
                <w:rFonts w:ascii="Times New Roman" w:hAnsi="Times New Roman" w:cs="Times New Roman"/>
                <w:b/>
                <w:bCs/>
                <w:iCs/>
                <w:sz w:val="24"/>
                <w:szCs w:val="24"/>
                <w:lang w:eastAsia="sk-SK"/>
              </w:rPr>
              <w:t>-12 800 000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870719">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w:t>
            </w:r>
            <w:r w:rsidR="00870719">
              <w:rPr>
                <w:rFonts w:ascii="Times New Roman" w:hAnsi="Times New Roman" w:cs="Times New Roman"/>
                <w:b/>
                <w:bCs/>
                <w:iCs/>
                <w:sz w:val="24"/>
                <w:szCs w:val="24"/>
                <w:lang w:eastAsia="sk-SK"/>
              </w:rPr>
              <w:t xml:space="preserve">20 100 000       </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Výdavky verejnej správy celkom</w:t>
            </w:r>
          </w:p>
        </w:tc>
        <w:tc>
          <w:tcPr>
            <w:tcW w:w="113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0   </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v tom: za každý subjekt verejnej správy / program zvlášť</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xml:space="preserve">z toho: </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ind w:left="259"/>
              <w:rPr>
                <w:rFonts w:ascii="Times New Roman" w:hAnsi="Times New Roman" w:cs="Times New Roman"/>
                <w:b/>
                <w:bCs/>
                <w:i/>
                <w:iCs/>
                <w:sz w:val="24"/>
                <w:szCs w:val="24"/>
                <w:lang w:eastAsia="sk-SK"/>
              </w:rPr>
            </w:pPr>
            <w:r>
              <w:rPr>
                <w:rFonts w:ascii="Times New Roman" w:hAnsi="Times New Roman" w:cs="Times New Roman"/>
                <w:bCs/>
                <w:i/>
                <w:iCs/>
                <w:sz w:val="24"/>
                <w:szCs w:val="24"/>
                <w:lang w:eastAsia="sk-SK"/>
              </w:rPr>
              <w:t>Rozpočtové prostriedky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 xml:space="preserve">    EÚ zdroje</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 xml:space="preserve">    spolufinancovanie</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Vplyv na počet zamestnancov </w:t>
            </w:r>
          </w:p>
        </w:tc>
        <w:tc>
          <w:tcPr>
            <w:tcW w:w="11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Vplyv na mzdové výdavky</w:t>
            </w:r>
          </w:p>
        </w:tc>
        <w:tc>
          <w:tcPr>
            <w:tcW w:w="11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Financovanie zabezpečené v rozpočte</w:t>
            </w:r>
          </w:p>
        </w:tc>
        <w:tc>
          <w:tcPr>
            <w:tcW w:w="113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v tom: za každý subjekt verejnej správy / program zvlášť</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noWrap/>
            <w:textDirection w:val="lrTb"/>
            <w:vAlign w:val="center"/>
          </w:tcPr>
          <w:p w:rsidR="00E91028" w:rsidRPr="007D5748" w:rsidP="00E91028">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Iné ako rozpočtové zdroje</w:t>
            </w:r>
          </w:p>
        </w:tc>
        <w:tc>
          <w:tcPr>
            <w:tcW w:w="11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Rozpočtovo nekrytý vplyv / úspora</w:t>
            </w:r>
          </w:p>
        </w:tc>
        <w:tc>
          <w:tcPr>
            <w:tcW w:w="113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1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E91028" w:rsidRPr="007D5748" w:rsidP="00E91028">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bl>
    <w:p w:rsidR="00E91028" w:rsidRPr="007D5748" w:rsidP="00E91028">
      <w:pPr>
        <w:bidi w:val="0"/>
        <w:rPr>
          <w:rFonts w:ascii="Times New Roman" w:hAnsi="Times New Roman" w:cs="Times New Roman"/>
          <w:b/>
          <w:bCs/>
          <w:sz w:val="24"/>
          <w:szCs w:val="24"/>
          <w:lang w:eastAsia="sk-SK"/>
        </w:rPr>
      </w:pPr>
      <w:bookmarkEnd w:id="0"/>
      <w:r w:rsidRPr="007D5748">
        <w:rPr>
          <w:rFonts w:ascii="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E91028" w:rsidRPr="007D5748" w:rsidP="00E91028">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cs="Times New Roman"/>
          <w:b/>
          <w:bCs/>
          <w:sz w:val="24"/>
          <w:szCs w:val="24"/>
          <w:lang w:eastAsia="sk-SK"/>
        </w:rPr>
      </w:pPr>
      <w:r w:rsidRPr="000E1143">
        <w:rPr>
          <w:rFonts w:ascii="Times New Roman" w:hAnsi="Times New Roman" w:cs="Times New Roman"/>
          <w:bCs/>
          <w:sz w:val="24"/>
          <w:szCs w:val="24"/>
          <w:lang w:eastAsia="sk-SK"/>
        </w:rPr>
        <w:t xml:space="preserve">Úbytok príjmov </w:t>
      </w:r>
      <w:r>
        <w:rPr>
          <w:rFonts w:ascii="Times New Roman" w:hAnsi="Times New Roman" w:cs="Times New Roman"/>
          <w:bCs/>
          <w:sz w:val="24"/>
          <w:szCs w:val="24"/>
          <w:lang w:eastAsia="sk-SK"/>
        </w:rPr>
        <w:t>verejných financií bude finančne krytý očakávaným zvýšeným výberom ostatných druhov daní.</w:t>
      </w:r>
      <w:r w:rsidRPr="000E1143">
        <w:rPr>
          <w:rFonts w:ascii="Times New Roman" w:hAnsi="Times New Roman" w:cs="Times New Roman"/>
          <w:bCs/>
          <w:sz w:val="24"/>
          <w:szCs w:val="24"/>
          <w:lang w:eastAsia="sk-SK"/>
        </w:rPr>
        <w:t xml:space="preserve"> </w:t>
      </w:r>
    </w:p>
    <w:p w:rsidR="00E91028" w:rsidP="00E91028">
      <w:pPr>
        <w:bidi w:val="0"/>
        <w:spacing w:after="0" w:line="240" w:lineRule="auto"/>
        <w:rPr>
          <w:rFonts w:ascii="Times New Roman" w:hAnsi="Times New Roman" w:cs="Times New Roman"/>
          <w:b/>
          <w:bCs/>
          <w:sz w:val="24"/>
          <w:szCs w:val="24"/>
          <w:lang w:eastAsia="sk-SK"/>
        </w:rPr>
      </w:pPr>
    </w:p>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 Popis a charakteristika návrhu</w:t>
      </w:r>
    </w:p>
    <w:p w:rsidR="00E91028" w:rsidRPr="007D5748" w:rsidP="00E91028">
      <w:pPr>
        <w:bidi w:val="0"/>
        <w:spacing w:after="0" w:line="240" w:lineRule="auto"/>
        <w:rPr>
          <w:rFonts w:ascii="Times New Roman" w:hAnsi="Times New Roman" w:cs="Times New Roman"/>
          <w:sz w:val="24"/>
          <w:szCs w:val="24"/>
          <w:lang w:eastAsia="sk-SK"/>
        </w:rPr>
      </w:pPr>
    </w:p>
    <w:p w:rsidR="00E91028" w:rsidRPr="007D5748" w:rsidP="00E91028">
      <w:pPr>
        <w:bidi w:val="0"/>
        <w:spacing w:after="0" w:line="240" w:lineRule="auto"/>
        <w:jc w:val="both"/>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2.2.1. Popis návrhu:</w:t>
      </w:r>
    </w:p>
    <w:p w:rsidR="00E91028" w:rsidRPr="007D5748" w:rsidP="00E91028">
      <w:pPr>
        <w:bidi w:val="0"/>
        <w:spacing w:after="0" w:line="240" w:lineRule="auto"/>
        <w:jc w:val="both"/>
        <w:rPr>
          <w:rFonts w:ascii="Times New Roman" w:hAnsi="Times New Roman" w:cs="Times New Roman"/>
          <w:b/>
          <w:bCs/>
          <w:sz w:val="24"/>
          <w:szCs w:val="24"/>
          <w:lang w:eastAsia="sk-SK"/>
        </w:rPr>
      </w:pPr>
    </w:p>
    <w:p w:rsidR="00E91028" w:rsidP="00E91028">
      <w:pPr>
        <w:bidi w:val="0"/>
        <w:spacing w:after="0" w:line="240" w:lineRule="auto"/>
        <w:ind w:firstLine="708"/>
        <w:jc w:val="both"/>
        <w:rPr>
          <w:rFonts w:ascii="Times New Roman" w:hAnsi="Times New Roman" w:cs="Times New Roman"/>
          <w:sz w:val="24"/>
          <w:szCs w:val="24"/>
          <w:lang w:eastAsia="sk-SK"/>
        </w:rPr>
      </w:pPr>
      <w:r>
        <w:rPr>
          <w:rFonts w:ascii="Times New Roman" w:hAnsi="Times New Roman" w:cs="Times New Roman"/>
          <w:sz w:val="24"/>
          <w:szCs w:val="24"/>
          <w:lang w:eastAsia="sk-SK"/>
        </w:rPr>
        <w:t>Návrh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w:t>
      </w:r>
    </w:p>
    <w:p w:rsidR="00E91028" w:rsidP="00E91028">
      <w:pPr>
        <w:bidi w:val="0"/>
        <w:spacing w:after="0" w:line="240" w:lineRule="auto"/>
        <w:ind w:firstLine="708"/>
        <w:jc w:val="both"/>
        <w:rPr>
          <w:rFonts w:ascii="Times New Roman" w:hAnsi="Times New Roman" w:cs="Times New Roman"/>
          <w:sz w:val="24"/>
          <w:szCs w:val="24"/>
          <w:lang w:eastAsia="sk-SK"/>
        </w:rPr>
      </w:pPr>
    </w:p>
    <w:p w:rsidR="00E91028" w:rsidP="00E91028">
      <w:pPr>
        <w:pStyle w:val="ListParagraph"/>
        <w:numPr>
          <w:numId w:val="8"/>
        </w:numPr>
        <w:bidi w:val="0"/>
        <w:jc w:val="both"/>
        <w:rPr>
          <w:rFonts w:ascii="Times New Roman" w:hAnsi="Times New Roman"/>
        </w:rPr>
      </w:pPr>
      <w:r>
        <w:rPr>
          <w:rFonts w:ascii="Times New Roman" w:hAnsi="Times New Roman"/>
        </w:rPr>
        <w:t>Zníženie sadzby dane z príjmov právnickej osoby na 21 %</w:t>
      </w:r>
    </w:p>
    <w:p w:rsidR="00E91028" w:rsidP="00E91028">
      <w:pPr>
        <w:pStyle w:val="ListParagraph"/>
        <w:numPr>
          <w:numId w:val="8"/>
        </w:numPr>
        <w:bidi w:val="0"/>
        <w:jc w:val="both"/>
        <w:rPr>
          <w:rFonts w:ascii="Times New Roman" w:hAnsi="Times New Roman"/>
        </w:rPr>
      </w:pPr>
      <w:r>
        <w:rPr>
          <w:rFonts w:ascii="Times New Roman" w:hAnsi="Times New Roman"/>
        </w:rPr>
        <w:t>Z</w:t>
      </w:r>
      <w:r w:rsidRPr="000E1143">
        <w:rPr>
          <w:rFonts w:ascii="Times New Roman" w:hAnsi="Times New Roman"/>
        </w:rPr>
        <w:t>avedenie zdanenia podielov na zisku (dividend) pri súčasnom zrušení zdravotných odvodov z týchto podielov na zisku (dividend)</w:t>
      </w:r>
    </w:p>
    <w:p w:rsidR="00E91028" w:rsidP="00E91028">
      <w:pPr>
        <w:pStyle w:val="ListParagraph"/>
        <w:numPr>
          <w:numId w:val="8"/>
        </w:numPr>
        <w:bidi w:val="0"/>
        <w:jc w:val="both"/>
        <w:rPr>
          <w:rFonts w:ascii="Times New Roman" w:hAnsi="Times New Roman"/>
        </w:rPr>
      </w:pPr>
      <w:r>
        <w:rPr>
          <w:rFonts w:ascii="Times New Roman" w:hAnsi="Times New Roman"/>
        </w:rPr>
        <w:t>Zmena zahrnovania príspevku na zabezpečenie účinného uplatňovania opatrení na riešenie krízových situácii do daňových výdavkov</w:t>
      </w:r>
    </w:p>
    <w:p w:rsidR="00E91028" w:rsidP="00E91028">
      <w:pPr>
        <w:pStyle w:val="ListParagraph"/>
        <w:numPr>
          <w:numId w:val="8"/>
        </w:numPr>
        <w:bidi w:val="0"/>
        <w:jc w:val="both"/>
        <w:rPr>
          <w:rFonts w:ascii="Times New Roman" w:hAnsi="Times New Roman"/>
        </w:rPr>
      </w:pPr>
      <w:r>
        <w:rPr>
          <w:rFonts w:ascii="Times New Roman" w:hAnsi="Times New Roman"/>
        </w:rPr>
        <w:t>Zmena limitu uplatňovania výdavkov percentom z príjmov</w:t>
      </w:r>
    </w:p>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w:t>
      </w:r>
    </w:p>
    <w:p w:rsidR="00E91028" w:rsidRPr="007D5748" w:rsidP="00E91028">
      <w:pPr>
        <w:bidi w:val="0"/>
        <w:spacing w:after="0" w:line="240" w:lineRule="auto"/>
        <w:rPr>
          <w:rFonts w:ascii="Times New Roman" w:hAnsi="Times New Roman" w:cs="Times New Roman"/>
          <w:sz w:val="24"/>
          <w:szCs w:val="24"/>
          <w:lang w:eastAsia="sk-SK"/>
        </w:rPr>
      </w:pPr>
    </w:p>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2.2.2. Charakteristika návrhu:</w:t>
      </w:r>
    </w:p>
    <w:p w:rsidR="00E91028" w:rsidRPr="007D5748" w:rsidP="00E91028">
      <w:pPr>
        <w:bidi w:val="0"/>
        <w:spacing w:after="0" w:line="240" w:lineRule="auto"/>
        <w:rPr>
          <w:rFonts w:ascii="Times New Roman" w:hAnsi="Times New Roman" w:cs="Times New Roman"/>
          <w:sz w:val="24"/>
          <w:szCs w:val="24"/>
          <w:lang w:eastAsia="sk-SK"/>
        </w:rPr>
      </w:pPr>
    </w:p>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sz w:val="24"/>
          <w:szCs w:val="24"/>
          <w:bdr w:val="single" w:sz="4" w:space="0" w:color="auto"/>
          <w:lang w:eastAsia="sk-SK"/>
        </w:rPr>
        <w:t xml:space="preserve">  </w:t>
      </w:r>
      <w:r>
        <w:rPr>
          <w:rFonts w:ascii="Times New Roman" w:hAnsi="Times New Roman" w:cs="Times New Roman"/>
          <w:b/>
          <w:sz w:val="24"/>
          <w:szCs w:val="24"/>
          <w:bdr w:val="single" w:sz="4" w:space="0" w:color="auto"/>
          <w:lang w:eastAsia="sk-SK"/>
        </w:rPr>
        <w:t>x</w:t>
      </w:r>
      <w:r w:rsidRPr="007D5748">
        <w:rPr>
          <w:rFonts w:ascii="Times New Roman" w:hAnsi="Times New Roman" w:cs="Times New Roman"/>
          <w:b/>
          <w:sz w:val="24"/>
          <w:szCs w:val="24"/>
          <w:bdr w:val="single" w:sz="4" w:space="0" w:color="auto"/>
          <w:lang w:eastAsia="sk-SK"/>
        </w:rPr>
        <w:t xml:space="preserve">   </w:t>
      </w:r>
      <w:r w:rsidRPr="007D5748">
        <w:rPr>
          <w:rFonts w:ascii="Times New Roman" w:hAnsi="Times New Roman" w:cs="Times New Roman"/>
          <w:b/>
          <w:sz w:val="24"/>
          <w:szCs w:val="24"/>
          <w:lang w:eastAsia="sk-SK"/>
        </w:rPr>
        <w:t xml:space="preserve">  </w:t>
      </w:r>
      <w:r w:rsidRPr="007D5748">
        <w:rPr>
          <w:rFonts w:ascii="Times New Roman" w:hAnsi="Times New Roman" w:cs="Times New Roman"/>
          <w:sz w:val="24"/>
          <w:szCs w:val="24"/>
          <w:lang w:eastAsia="sk-SK"/>
        </w:rPr>
        <w:t>zmena sadzby</w:t>
      </w:r>
    </w:p>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zmena v nároku</w:t>
      </w:r>
    </w:p>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nová služba alebo nariadenie (alebo ich zrušenie)</w:t>
      </w:r>
    </w:p>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kombinovaný návrh</w:t>
      </w:r>
    </w:p>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Pr>
          <w:rFonts w:ascii="Times New Roman" w:hAnsi="Times New Roman" w:cs="Times New Roman"/>
          <w:sz w:val="24"/>
          <w:szCs w:val="24"/>
          <w:bdr w:val="single" w:sz="4" w:space="0" w:color="auto"/>
          <w:lang w:eastAsia="sk-SK"/>
        </w:rPr>
        <w:t>x</w:t>
      </w: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iné </w:t>
      </w:r>
    </w:p>
    <w:p w:rsidR="00E91028" w:rsidRPr="007D5748" w:rsidP="00E91028">
      <w:pPr>
        <w:bidi w:val="0"/>
        <w:spacing w:after="0" w:line="240" w:lineRule="auto"/>
        <w:rPr>
          <w:rFonts w:ascii="Times New Roman" w:hAnsi="Times New Roman" w:cs="Times New Roman"/>
          <w:sz w:val="24"/>
          <w:szCs w:val="24"/>
          <w:lang w:eastAsia="sk-SK"/>
        </w:rPr>
      </w:pPr>
    </w:p>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2.2.3. Predpoklady vývoja objemu aktivít:</w:t>
      </w:r>
    </w:p>
    <w:p w:rsidR="00E91028" w:rsidRPr="007D5748" w:rsidP="00E91028">
      <w:pPr>
        <w:bidi w:val="0"/>
        <w:spacing w:after="0" w:line="240" w:lineRule="auto"/>
        <w:rPr>
          <w:rFonts w:ascii="Times New Roman" w:hAnsi="Times New Roman" w:cs="Times New Roman"/>
          <w:sz w:val="24"/>
          <w:szCs w:val="24"/>
          <w:lang w:eastAsia="sk-SK"/>
        </w:rPr>
      </w:pPr>
    </w:p>
    <w:p w:rsidR="00E91028" w:rsidRPr="007D5748" w:rsidP="00E91028">
      <w:pPr>
        <w:bidi w:val="0"/>
        <w:spacing w:after="0" w:line="240" w:lineRule="auto"/>
        <w:rPr>
          <w:rFonts w:ascii="Times New Roman" w:hAnsi="Times New Roman" w:cs="Times New Roman"/>
          <w:sz w:val="24"/>
          <w:szCs w:val="24"/>
          <w:lang w:eastAsia="sk-SK"/>
        </w:rPr>
      </w:pPr>
      <w:r>
        <w:rPr>
          <w:rFonts w:ascii="Times New Roman" w:hAnsi="Times New Roman" w:cs="Times New Roman"/>
          <w:sz w:val="24"/>
          <w:szCs w:val="24"/>
          <w:lang w:eastAsia="sk-SK"/>
        </w:rPr>
        <w:t>-</w:t>
      </w:r>
    </w:p>
    <w:p w:rsidR="00E91028" w:rsidRPr="007D5748" w:rsidP="00E91028">
      <w:pPr>
        <w:bidi w:val="0"/>
        <w:spacing w:after="0" w:line="240" w:lineRule="auto"/>
        <w:rPr>
          <w:rFonts w:ascii="Times New Roman" w:hAnsi="Times New Roman" w:cs="Times New Roman"/>
          <w:sz w:val="24"/>
          <w:szCs w:val="24"/>
          <w:lang w:eastAsia="sk-SK"/>
        </w:rPr>
      </w:pPr>
    </w:p>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2.2.4. Výpočty vplyvov na verejné financie</w:t>
      </w:r>
    </w:p>
    <w:p w:rsidR="00E91028" w:rsidRPr="007D5748" w:rsidP="00E91028">
      <w:pPr>
        <w:bidi w:val="0"/>
        <w:spacing w:after="0" w:line="240" w:lineRule="auto"/>
        <w:rPr>
          <w:rFonts w:ascii="Times New Roman" w:hAnsi="Times New Roman" w:cs="Times New Roman"/>
          <w:sz w:val="24"/>
          <w:szCs w:val="24"/>
          <w:lang w:eastAsia="sk-SK"/>
        </w:rPr>
      </w:pPr>
    </w:p>
    <w:p w:rsidR="00E91028" w:rsidP="00E91028">
      <w:p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Kvantifikácia predpokladá negatívny akruálny vplyv na rozpočet verejnej správy na úrovni 136 500 tis eur v roku 2017 a pozitívny akruálny vplyv na úrovni 62 000 tis. eur v roku 2018 a 63 000 tis. eur v roku 2019. </w:t>
      </w:r>
    </w:p>
    <w:p w:rsidR="00E91028" w:rsidP="00E91028">
      <w:pPr>
        <w:bidi w:val="0"/>
        <w:spacing w:after="0" w:line="240" w:lineRule="auto"/>
        <w:jc w:val="both"/>
        <w:rPr>
          <w:rFonts w:ascii="Times New Roman" w:hAnsi="Times New Roman" w:cs="Times New Roman"/>
          <w:sz w:val="24"/>
          <w:szCs w:val="24"/>
          <w:lang w:eastAsia="sk-SK"/>
        </w:rPr>
      </w:pPr>
    </w:p>
    <w:p w:rsidR="00E91028" w:rsidRPr="007D5748" w:rsidP="00E91028">
      <w:p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Kvantifikácia príjmov</w:t>
      </w:r>
    </w:p>
    <w:p w:rsidR="00E91028" w:rsidP="00E91028">
      <w:pPr>
        <w:tabs>
          <w:tab w:val="num" w:pos="1080"/>
        </w:tabs>
        <w:bidi w:val="0"/>
        <w:spacing w:after="0" w:line="240" w:lineRule="auto"/>
        <w:jc w:val="both"/>
        <w:rPr>
          <w:rFonts w:ascii="Times New Roman" w:hAnsi="Times New Roman" w:cs="Times New Roman"/>
          <w:bCs/>
          <w:sz w:val="24"/>
          <w:szCs w:val="24"/>
          <w:lang w:eastAsia="sk-SK"/>
        </w:rPr>
      </w:pPr>
    </w:p>
    <w:p w:rsidR="00E91028" w:rsidP="00E91028">
      <w:pPr>
        <w:tabs>
          <w:tab w:val="num" w:pos="1080"/>
        </w:tabs>
        <w:bidi w:val="0"/>
        <w:spacing w:after="0" w:line="240"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A - Kvantifikácia vplyvu zníženia sadzby DPPO vychádza z aktuálneho odhadu výnosu DPPO na rok 2015, ktorý sa prenáša do ďalších rokov a berie do úvahy vývoj daňovej základne pre DPPO. Kvantifikácia nepredpokladá zmenu správania sa podnikateľských subjektov po znížení sadzby.</w:t>
      </w:r>
    </w:p>
    <w:p w:rsidR="00E91028" w:rsidRPr="007D5748" w:rsidP="00E91028">
      <w:pPr>
        <w:tabs>
          <w:tab w:val="num" w:pos="1080"/>
        </w:tabs>
        <w:bidi w:val="0"/>
        <w:spacing w:after="0" w:line="240" w:lineRule="auto"/>
        <w:jc w:val="both"/>
        <w:rPr>
          <w:rFonts w:ascii="Times New Roman" w:hAnsi="Times New Roman" w:cs="Times New Roman"/>
          <w:bCs/>
          <w:sz w:val="24"/>
          <w:szCs w:val="24"/>
          <w:lang w:eastAsia="sk-SK"/>
        </w:rPr>
      </w:pPr>
    </w:p>
    <w:p w:rsidR="00E91028" w:rsidP="00E91028">
      <w:pPr>
        <w:tabs>
          <w:tab w:val="num" w:pos="1080"/>
        </w:tabs>
        <w:bidi w:val="0"/>
        <w:spacing w:after="0" w:line="240"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 xml:space="preserve">B – Kvantifikácia zavedenia zrážkovej dane z dividend vychádza z údajov Štatistického úradu SR o objeme vyplatených dividend za rok 2014, ktoré boli indexované odhadovaným vývojom nominálneho HDP. </w:t>
      </w:r>
    </w:p>
    <w:p w:rsidR="00E91028" w:rsidP="00E91028">
      <w:pPr>
        <w:tabs>
          <w:tab w:val="num" w:pos="1080"/>
        </w:tabs>
        <w:bidi w:val="0"/>
        <w:spacing w:after="0" w:line="240" w:lineRule="auto"/>
        <w:jc w:val="both"/>
        <w:rPr>
          <w:rFonts w:ascii="Times New Roman" w:hAnsi="Times New Roman" w:cs="Times New Roman"/>
          <w:bCs/>
          <w:sz w:val="24"/>
          <w:szCs w:val="24"/>
          <w:lang w:eastAsia="sk-SK"/>
        </w:rPr>
      </w:pPr>
    </w:p>
    <w:p w:rsidR="00E91028" w:rsidP="00E91028">
      <w:pPr>
        <w:tabs>
          <w:tab w:val="num" w:pos="1080"/>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bCs/>
          <w:sz w:val="24"/>
          <w:szCs w:val="24"/>
          <w:lang w:eastAsia="sk-SK"/>
        </w:rPr>
        <w:t xml:space="preserve">C – Kvantifikácia zmeny zahrnovania </w:t>
      </w:r>
      <w:r>
        <w:rPr>
          <w:rFonts w:ascii="Times New Roman" w:hAnsi="Times New Roman" w:cs="Times New Roman"/>
          <w:sz w:val="24"/>
          <w:szCs w:val="24"/>
          <w:lang w:eastAsia="sk-SK"/>
        </w:rPr>
        <w:t>príspevku na zabezpečenie účinného uplatňovania opatrení na riešenie krízových situácii do daňových výdavkov vychádza z výšky chránených vkladov v bankovom sektore, výšky krytých vkladov v bankovom sektore a z predpokladaného nárastu krytých vkladov</w:t>
      </w: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870719" w:rsidP="00E91028">
      <w:pPr>
        <w:tabs>
          <w:tab w:val="num" w:pos="1080"/>
        </w:tabs>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D – Kvantifikácia zmeny limitu zahrnovania výdavkov percentom z príjmov </w:t>
      </w:r>
      <w:r w:rsidR="00761C25">
        <w:rPr>
          <w:rFonts w:ascii="Times New Roman" w:hAnsi="Times New Roman" w:cs="Times New Roman"/>
          <w:sz w:val="24"/>
          <w:szCs w:val="24"/>
          <w:lang w:eastAsia="sk-SK"/>
        </w:rPr>
        <w:t>vychádza z údajov daňových priznaní dane z príjmov fyzických osôb za rok 2014, pričom sa abstrahovalo od údajov o platcoch DPH. Pri kvantifikácii vplyvu sa aplikoval expertný predpoklad z dôvodu skreslenia vplyvu viacerými faktormi.</w:t>
      </w: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P="00E91028">
      <w:pPr>
        <w:tabs>
          <w:tab w:val="num" w:pos="1080"/>
        </w:tabs>
        <w:bidi w:val="0"/>
        <w:spacing w:after="0" w:line="240" w:lineRule="auto"/>
        <w:jc w:val="both"/>
        <w:rPr>
          <w:rFonts w:ascii="Times New Roman" w:hAnsi="Times New Roman" w:cs="Times New Roman"/>
          <w:sz w:val="24"/>
          <w:szCs w:val="24"/>
          <w:lang w:eastAsia="sk-SK"/>
        </w:rPr>
      </w:pPr>
    </w:p>
    <w:p w:rsidR="005532B6" w:rsidRPr="007D5748" w:rsidP="00E91028">
      <w:pPr>
        <w:tabs>
          <w:tab w:val="num" w:pos="1080"/>
        </w:tabs>
        <w:bidi w:val="0"/>
        <w:spacing w:after="0" w:line="240" w:lineRule="auto"/>
        <w:jc w:val="both"/>
        <w:rPr>
          <w:rFonts w:ascii="Times New Roman" w:hAnsi="Times New Roman" w:cs="Times New Roman"/>
          <w:bCs/>
          <w:sz w:val="24"/>
          <w:szCs w:val="20"/>
          <w:lang w:eastAsia="sk-SK"/>
        </w:rPr>
        <w:sectPr w:rsidSect="00E91028">
          <w:headerReference w:type="even" r:id="rId6"/>
          <w:footerReference w:type="even" r:id="rId7"/>
          <w:footerReference w:type="default" r:id="rId8"/>
          <w:headerReference w:type="first" r:id="rId9"/>
          <w:footerReference w:type="first" r:id="rId10"/>
          <w:pgSz w:w="11906" w:h="16838"/>
          <w:pgMar w:top="1417" w:right="1417" w:bottom="1276" w:left="1417" w:header="708" w:footer="708" w:gutter="0"/>
          <w:lnNumType w:distance="0"/>
          <w:pgNumType w:start="1"/>
          <w:cols w:space="708"/>
          <w:noEndnote w:val="0"/>
          <w:bidi w:val="0"/>
          <w:docGrid w:linePitch="360"/>
        </w:sectPr>
      </w:pPr>
    </w:p>
    <w:p w:rsidR="00E91028" w:rsidRPr="007D5748" w:rsidP="00E91028">
      <w:pPr>
        <w:tabs>
          <w:tab w:val="num" w:pos="1080"/>
        </w:tabs>
        <w:bidi w:val="0"/>
        <w:spacing w:after="0" w:line="240" w:lineRule="auto"/>
        <w:jc w:val="right"/>
        <w:rPr>
          <w:rFonts w:ascii="Times New Roman" w:hAnsi="Times New Roman" w:cs="Times New Roman"/>
          <w:bCs/>
          <w:sz w:val="24"/>
          <w:szCs w:val="24"/>
          <w:lang w:eastAsia="sk-SK"/>
        </w:rPr>
      </w:pPr>
      <w:r w:rsidRPr="007D5748">
        <w:rPr>
          <w:rFonts w:ascii="Times New Roman" w:hAnsi="Times New Roman" w:cs="Times New Roman"/>
          <w:bCs/>
          <w:sz w:val="24"/>
          <w:szCs w:val="24"/>
          <w:lang w:eastAsia="sk-SK"/>
        </w:rPr>
        <w:t xml:space="preserve">Tabuľka č. 3 </w:t>
      </w:r>
    </w:p>
    <w:p w:rsidR="00E91028" w:rsidRPr="007D5748" w:rsidP="00E91028">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424"/>
        <w:gridCol w:w="1559"/>
        <w:gridCol w:w="1517"/>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E91028" w:rsidRPr="007D5748" w:rsidP="00E91028">
            <w:pPr>
              <w:bidi w:val="0"/>
              <w:spacing w:after="0" w:line="240" w:lineRule="auto"/>
              <w:rPr>
                <w:rFonts w:ascii="Times New Roman" w:hAnsi="Times New Roman" w:cs="Times New Roman"/>
                <w:b/>
                <w:bCs/>
                <w:color w:val="FFFFFF"/>
                <w:sz w:val="24"/>
                <w:szCs w:val="24"/>
                <w:lang w:eastAsia="sk-SK"/>
              </w:rPr>
            </w:pPr>
          </w:p>
        </w:tc>
        <w:tc>
          <w:tcPr>
            <w:tcW w:w="1424"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2016</w:t>
            </w:r>
          </w:p>
        </w:tc>
        <w:tc>
          <w:tcPr>
            <w:tcW w:w="1559"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2017</w:t>
            </w:r>
          </w:p>
        </w:tc>
        <w:tc>
          <w:tcPr>
            <w:tcW w:w="1517"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E91028" w:rsidRPr="007D5748" w:rsidP="00E91028">
            <w:pPr>
              <w:bidi w:val="0"/>
              <w:spacing w:after="0" w:line="240" w:lineRule="auto"/>
              <w:rPr>
                <w:rFonts w:ascii="Times New Roman" w:hAnsi="Times New Roman" w:cs="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vertAlign w:val="superscript"/>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424"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extDirection w:val="lrTb"/>
            <w:vAlign w:val="top"/>
          </w:tcPr>
          <w:p w:rsidR="00E91028" w:rsidRPr="007D5748" w:rsidP="00A3178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w:t>
            </w:r>
            <w:r w:rsidR="00A3178E">
              <w:rPr>
                <w:rFonts w:ascii="Times New Roman" w:hAnsi="Times New Roman" w:cs="Times New Roman"/>
                <w:b/>
                <w:bCs/>
                <w:sz w:val="24"/>
                <w:szCs w:val="24"/>
                <w:lang w:eastAsia="sk-SK"/>
              </w:rPr>
              <w:t>159 040 000</w:t>
            </w:r>
          </w:p>
        </w:tc>
        <w:tc>
          <w:tcPr>
            <w:tcW w:w="1517" w:type="dxa"/>
            <w:tcBorders>
              <w:top w:val="nil"/>
              <w:left w:val="nil"/>
              <w:bottom w:val="single" w:sz="4" w:space="0" w:color="auto"/>
              <w:right w:val="single" w:sz="4" w:space="0" w:color="auto"/>
            </w:tcBorders>
            <w:textDirection w:val="lrTb"/>
            <w:vAlign w:val="top"/>
          </w:tcPr>
          <w:p w:rsidR="00E91028" w:rsidRPr="007D5748" w:rsidP="00167882">
            <w:pPr>
              <w:bidi w:val="0"/>
              <w:spacing w:after="0" w:line="240" w:lineRule="auto"/>
              <w:jc w:val="center"/>
              <w:rPr>
                <w:rFonts w:ascii="Times New Roman" w:hAnsi="Times New Roman" w:cs="Times New Roman"/>
                <w:b/>
                <w:bCs/>
                <w:sz w:val="24"/>
                <w:szCs w:val="24"/>
                <w:lang w:eastAsia="sk-SK"/>
              </w:rPr>
            </w:pPr>
            <w:r w:rsidR="0075093A">
              <w:rPr>
                <w:rFonts w:ascii="Times New Roman" w:hAnsi="Times New Roman" w:cs="Times New Roman"/>
                <w:b/>
                <w:bCs/>
                <w:sz w:val="24"/>
                <w:szCs w:val="24"/>
                <w:lang w:eastAsia="sk-SK"/>
              </w:rPr>
              <w:t>-</w:t>
            </w:r>
            <w:r w:rsidR="00167882">
              <w:rPr>
                <w:rFonts w:ascii="Times New Roman" w:hAnsi="Times New Roman" w:cs="Times New Roman"/>
                <w:b/>
                <w:bCs/>
                <w:sz w:val="24"/>
                <w:szCs w:val="24"/>
                <w:lang w:eastAsia="sk-SK"/>
              </w:rPr>
              <w:t>121 560 000</w:t>
            </w:r>
          </w:p>
        </w:tc>
        <w:tc>
          <w:tcPr>
            <w:tcW w:w="1500" w:type="dxa"/>
            <w:tcBorders>
              <w:top w:val="nil"/>
              <w:left w:val="nil"/>
              <w:bottom w:val="single" w:sz="4" w:space="0" w:color="auto"/>
              <w:right w:val="single" w:sz="4" w:space="0" w:color="auto"/>
            </w:tcBorders>
            <w:textDirection w:val="lrTb"/>
            <w:vAlign w:val="top"/>
          </w:tcPr>
          <w:p w:rsidR="00E91028" w:rsidRPr="007D5748" w:rsidP="00167882">
            <w:pPr>
              <w:bidi w:val="0"/>
              <w:spacing w:after="0" w:line="240" w:lineRule="auto"/>
              <w:jc w:val="center"/>
              <w:rPr>
                <w:rFonts w:ascii="Times New Roman" w:hAnsi="Times New Roman" w:cs="Times New Roman"/>
                <w:b/>
                <w:bCs/>
                <w:sz w:val="24"/>
                <w:szCs w:val="24"/>
                <w:lang w:eastAsia="sk-SK"/>
              </w:rPr>
            </w:pPr>
            <w:r w:rsidR="0075093A">
              <w:rPr>
                <w:rFonts w:ascii="Times New Roman" w:hAnsi="Times New Roman" w:cs="Times New Roman"/>
                <w:b/>
                <w:bCs/>
                <w:sz w:val="24"/>
                <w:szCs w:val="24"/>
                <w:lang w:eastAsia="sk-SK"/>
              </w:rPr>
              <w:t>-</w:t>
            </w:r>
            <w:r w:rsidR="00167882">
              <w:rPr>
                <w:rFonts w:ascii="Times New Roman" w:hAnsi="Times New Roman" w:cs="Times New Roman"/>
                <w:b/>
                <w:bCs/>
                <w:sz w:val="24"/>
                <w:szCs w:val="24"/>
                <w:lang w:eastAsia="sk-SK"/>
              </w:rPr>
              <w:t>138 600 000</w:t>
            </w:r>
          </w:p>
        </w:tc>
        <w:tc>
          <w:tcPr>
            <w:tcW w:w="300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5093A" w:rsidP="00E91028">
            <w:pPr>
              <w:bidi w:val="0"/>
              <w:spacing w:after="0" w:line="240" w:lineRule="auto"/>
              <w:rPr>
                <w:rFonts w:ascii="Times New Roman" w:hAnsi="Times New Roman" w:cs="Times New Roman"/>
                <w:b/>
                <w:bCs/>
                <w:sz w:val="24"/>
                <w:szCs w:val="24"/>
                <w:lang w:eastAsia="sk-SK"/>
              </w:rPr>
            </w:pPr>
            <w:r>
              <w:rPr>
                <w:rFonts w:ascii="Times New Roman" w:hAnsi="Times New Roman"/>
                <w:b/>
                <w:bCs/>
                <w:sz w:val="24"/>
                <w:szCs w:val="24"/>
                <w:lang w:eastAsia="sk-SK"/>
              </w:rPr>
              <w:t>DPFO (111)</w:t>
            </w:r>
          </w:p>
        </w:tc>
        <w:tc>
          <w:tcPr>
            <w:tcW w:w="1424" w:type="dxa"/>
            <w:tcBorders>
              <w:top w:val="nil"/>
              <w:left w:val="nil"/>
              <w:bottom w:val="single" w:sz="4" w:space="0" w:color="auto"/>
              <w:right w:val="single" w:sz="4" w:space="0" w:color="auto"/>
            </w:tcBorders>
            <w:textDirection w:val="lrTb"/>
            <w:vAlign w:val="top"/>
          </w:tcPr>
          <w:p w:rsidR="0075093A"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extDirection w:val="lrTb"/>
            <w:vAlign w:val="top"/>
          </w:tcPr>
          <w:p w:rsidR="0075093A"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 xml:space="preserve">  -13 400 000</w:t>
            </w:r>
          </w:p>
        </w:tc>
        <w:tc>
          <w:tcPr>
            <w:tcW w:w="1517" w:type="dxa"/>
            <w:tcBorders>
              <w:top w:val="nil"/>
              <w:left w:val="nil"/>
              <w:bottom w:val="single" w:sz="4" w:space="0" w:color="auto"/>
              <w:right w:val="single" w:sz="4" w:space="0" w:color="auto"/>
            </w:tcBorders>
            <w:textDirection w:val="lrTb"/>
            <w:vAlign w:val="top"/>
          </w:tcPr>
          <w:p w:rsidR="0075093A"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-13 400 000</w:t>
            </w:r>
          </w:p>
        </w:tc>
        <w:tc>
          <w:tcPr>
            <w:tcW w:w="1500" w:type="dxa"/>
            <w:tcBorders>
              <w:top w:val="nil"/>
              <w:left w:val="nil"/>
              <w:bottom w:val="single" w:sz="4" w:space="0" w:color="auto"/>
              <w:right w:val="single" w:sz="4" w:space="0" w:color="auto"/>
            </w:tcBorders>
            <w:textDirection w:val="lrTb"/>
            <w:vAlign w:val="top"/>
          </w:tcPr>
          <w:p w:rsidR="0075093A"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-13 400 000</w:t>
            </w:r>
          </w:p>
        </w:tc>
        <w:tc>
          <w:tcPr>
            <w:tcW w:w="3000" w:type="dxa"/>
            <w:tcBorders>
              <w:top w:val="nil"/>
              <w:left w:val="nil"/>
              <w:bottom w:val="single" w:sz="4" w:space="0" w:color="auto"/>
              <w:right w:val="single" w:sz="4" w:space="0" w:color="auto"/>
            </w:tcBorders>
            <w:noWrap/>
            <w:textDirection w:val="lrTb"/>
            <w:vAlign w:val="bottom"/>
          </w:tcPr>
          <w:p w:rsidR="0075093A" w:rsidRPr="007D5748" w:rsidP="00E91028">
            <w:pPr>
              <w:bidi w:val="0"/>
              <w:spacing w:after="0" w:line="240" w:lineRule="auto"/>
              <w:rPr>
                <w:rFonts w:ascii="Times New Roman" w:hAnsi="Times New Roman" w:cs="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Pr>
                <w:rFonts w:ascii="Times New Roman" w:hAnsi="Times New Roman" w:cs="Times New Roman"/>
                <w:b/>
                <w:bCs/>
                <w:sz w:val="24"/>
                <w:szCs w:val="24"/>
                <w:lang w:eastAsia="sk-SK"/>
              </w:rPr>
              <w:t>DPPO (112)</w:t>
            </w:r>
          </w:p>
        </w:tc>
        <w:tc>
          <w:tcPr>
            <w:tcW w:w="1424"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extDirection w:val="lrTb"/>
            <w:vAlign w:val="top"/>
          </w:tcPr>
          <w:p w:rsidR="00E91028"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-145 640 000</w:t>
            </w:r>
          </w:p>
        </w:tc>
        <w:tc>
          <w:tcPr>
            <w:tcW w:w="1517" w:type="dxa"/>
            <w:tcBorders>
              <w:top w:val="nil"/>
              <w:left w:val="nil"/>
              <w:bottom w:val="single" w:sz="4" w:space="0" w:color="auto"/>
              <w:right w:val="single" w:sz="4" w:space="0" w:color="auto"/>
            </w:tcBorders>
            <w:textDirection w:val="lrTb"/>
            <w:vAlign w:val="top"/>
          </w:tcPr>
          <w:p w:rsidR="00E91028"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-151 460 000</w:t>
            </w:r>
          </w:p>
        </w:tc>
        <w:tc>
          <w:tcPr>
            <w:tcW w:w="1500" w:type="dxa"/>
            <w:tcBorders>
              <w:top w:val="nil"/>
              <w:left w:val="nil"/>
              <w:bottom w:val="single" w:sz="4" w:space="0" w:color="auto"/>
              <w:right w:val="single" w:sz="4" w:space="0" w:color="auto"/>
            </w:tcBorders>
            <w:textDirection w:val="lrTb"/>
            <w:vAlign w:val="top"/>
          </w:tcPr>
          <w:p w:rsidR="00E91028"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-164 300 000</w:t>
            </w:r>
          </w:p>
        </w:tc>
        <w:tc>
          <w:tcPr>
            <w:tcW w:w="300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Pr>
                <w:rFonts w:ascii="Times New Roman" w:hAnsi="Times New Roman" w:cs="Times New Roman"/>
                <w:b/>
                <w:bCs/>
                <w:sz w:val="24"/>
                <w:szCs w:val="24"/>
                <w:lang w:eastAsia="sk-SK"/>
              </w:rPr>
              <w:t>Daň z prímov vyberaná zrážkou (113)</w:t>
            </w:r>
          </w:p>
        </w:tc>
        <w:tc>
          <w:tcPr>
            <w:tcW w:w="1424"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extDirection w:val="lrTb"/>
            <w:vAlign w:val="top"/>
          </w:tcPr>
          <w:p w:rsidR="00E91028"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0</w:t>
            </w:r>
          </w:p>
        </w:tc>
        <w:tc>
          <w:tcPr>
            <w:tcW w:w="1517" w:type="dxa"/>
            <w:tcBorders>
              <w:top w:val="nil"/>
              <w:left w:val="nil"/>
              <w:bottom w:val="single" w:sz="4" w:space="0" w:color="auto"/>
              <w:right w:val="single" w:sz="4" w:space="0" w:color="auto"/>
            </w:tcBorders>
            <w:textDirection w:val="lrTb"/>
            <w:vAlign w:val="top"/>
          </w:tcPr>
          <w:p w:rsidR="00E91028"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56 100 000</w:t>
            </w:r>
          </w:p>
        </w:tc>
        <w:tc>
          <w:tcPr>
            <w:tcW w:w="1500" w:type="dxa"/>
            <w:tcBorders>
              <w:top w:val="nil"/>
              <w:left w:val="nil"/>
              <w:bottom w:val="single" w:sz="4" w:space="0" w:color="auto"/>
              <w:right w:val="single" w:sz="4" w:space="0" w:color="auto"/>
            </w:tcBorders>
            <w:textDirection w:val="lrTb"/>
            <w:vAlign w:val="top"/>
          </w:tcPr>
          <w:p w:rsidR="00E91028"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59 200 000</w:t>
            </w:r>
          </w:p>
        </w:tc>
        <w:tc>
          <w:tcPr>
            <w:tcW w:w="300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5093A" w:rsidP="00E91028">
            <w:pPr>
              <w:bidi w:val="0"/>
              <w:spacing w:after="0" w:line="240" w:lineRule="auto"/>
              <w:rPr>
                <w:rFonts w:ascii="Times New Roman" w:hAnsi="Times New Roman" w:cs="Times New Roman"/>
                <w:b/>
                <w:bCs/>
                <w:sz w:val="24"/>
                <w:szCs w:val="24"/>
                <w:lang w:eastAsia="sk-SK"/>
              </w:rPr>
            </w:pPr>
            <w:r>
              <w:rPr>
                <w:rFonts w:ascii="Times New Roman" w:hAnsi="Times New Roman"/>
                <w:b/>
                <w:bCs/>
                <w:sz w:val="24"/>
                <w:szCs w:val="24"/>
                <w:lang w:eastAsia="sk-SK"/>
              </w:rPr>
              <w:t>Sociálne odvody (151 až 158 okrem 154)</w:t>
            </w:r>
          </w:p>
        </w:tc>
        <w:tc>
          <w:tcPr>
            <w:tcW w:w="1424" w:type="dxa"/>
            <w:tcBorders>
              <w:top w:val="nil"/>
              <w:left w:val="nil"/>
              <w:bottom w:val="single" w:sz="4" w:space="0" w:color="auto"/>
              <w:right w:val="single" w:sz="4" w:space="0" w:color="auto"/>
            </w:tcBorders>
            <w:textDirection w:val="lrTb"/>
            <w:vAlign w:val="top"/>
          </w:tcPr>
          <w:p w:rsidR="0075093A"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extDirection w:val="lrTb"/>
            <w:vAlign w:val="top"/>
          </w:tcPr>
          <w:p w:rsidR="0075093A"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0</w:t>
            </w:r>
          </w:p>
        </w:tc>
        <w:tc>
          <w:tcPr>
            <w:tcW w:w="1517" w:type="dxa"/>
            <w:tcBorders>
              <w:top w:val="nil"/>
              <w:left w:val="nil"/>
              <w:bottom w:val="single" w:sz="4" w:space="0" w:color="auto"/>
              <w:right w:val="single" w:sz="4" w:space="0" w:color="auto"/>
            </w:tcBorders>
            <w:textDirection w:val="lrTb"/>
            <w:vAlign w:val="top"/>
          </w:tcPr>
          <w:p w:rsidR="0075093A" w:rsidP="00E9102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-3 600 000</w:t>
            </w:r>
          </w:p>
        </w:tc>
        <w:tc>
          <w:tcPr>
            <w:tcW w:w="1500" w:type="dxa"/>
            <w:tcBorders>
              <w:top w:val="nil"/>
              <w:left w:val="nil"/>
              <w:bottom w:val="single" w:sz="4" w:space="0" w:color="auto"/>
              <w:right w:val="single" w:sz="4" w:space="0" w:color="auto"/>
            </w:tcBorders>
            <w:textDirection w:val="lrTb"/>
            <w:vAlign w:val="top"/>
          </w:tcPr>
          <w:p w:rsidR="0075093A" w:rsidP="007B05F8">
            <w:pPr>
              <w:bidi w:val="0"/>
              <w:spacing w:after="0" w:line="240" w:lineRule="auto"/>
              <w:jc w:val="center"/>
              <w:rPr>
                <w:rFonts w:ascii="Times New Roman" w:hAnsi="Times New Roman" w:cs="Times New Roman"/>
                <w:b/>
                <w:bCs/>
                <w:sz w:val="24"/>
                <w:szCs w:val="24"/>
                <w:lang w:eastAsia="sk-SK"/>
              </w:rPr>
            </w:pPr>
            <w:r w:rsidR="007B05F8">
              <w:rPr>
                <w:rFonts w:ascii="Times New Roman" w:hAnsi="Times New Roman" w:cs="Times New Roman"/>
                <w:b/>
                <w:bCs/>
                <w:sz w:val="24"/>
                <w:szCs w:val="24"/>
                <w:lang w:eastAsia="sk-SK"/>
              </w:rPr>
              <w:t>-7 600 000</w:t>
            </w:r>
          </w:p>
        </w:tc>
        <w:tc>
          <w:tcPr>
            <w:tcW w:w="3000" w:type="dxa"/>
            <w:tcBorders>
              <w:top w:val="nil"/>
              <w:left w:val="nil"/>
              <w:bottom w:val="single" w:sz="4" w:space="0" w:color="auto"/>
              <w:right w:val="single" w:sz="4" w:space="0" w:color="auto"/>
            </w:tcBorders>
            <w:noWrap/>
            <w:textDirection w:val="lrTb"/>
            <w:vAlign w:val="bottom"/>
          </w:tcPr>
          <w:p w:rsidR="0075093A" w:rsidRPr="007D5748" w:rsidP="00E91028">
            <w:pPr>
              <w:bidi w:val="0"/>
              <w:spacing w:after="0" w:line="240" w:lineRule="auto"/>
              <w:rPr>
                <w:rFonts w:ascii="Times New Roman" w:hAnsi="Times New Roman" w:cs="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Pr>
                <w:rFonts w:ascii="Times New Roman" w:hAnsi="Times New Roman" w:cs="Times New Roman"/>
                <w:b/>
                <w:bCs/>
                <w:sz w:val="24"/>
                <w:szCs w:val="24"/>
                <w:lang w:eastAsia="sk-SK"/>
              </w:rPr>
              <w:t>Zdravotné odvody (154)</w:t>
            </w:r>
          </w:p>
        </w:tc>
        <w:tc>
          <w:tcPr>
            <w:tcW w:w="1424"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textDirection w:val="lrTb"/>
            <w:vAlign w:val="top"/>
          </w:tcPr>
          <w:p w:rsidR="00E91028" w:rsidP="00E91028">
            <w:pPr>
              <w:bidi w:val="0"/>
              <w:spacing w:after="0" w:line="240" w:lineRule="auto"/>
              <w:jc w:val="center"/>
              <w:rPr>
                <w:rFonts w:ascii="Times New Roman" w:hAnsi="Times New Roman" w:cs="Times New Roman"/>
                <w:b/>
                <w:bCs/>
                <w:sz w:val="24"/>
                <w:szCs w:val="24"/>
                <w:lang w:eastAsia="sk-SK"/>
              </w:rPr>
            </w:pPr>
            <w:r w:rsidR="00E2121C">
              <w:rPr>
                <w:rFonts w:ascii="Times New Roman" w:hAnsi="Times New Roman" w:cs="Times New Roman"/>
                <w:b/>
                <w:bCs/>
                <w:sz w:val="24"/>
                <w:szCs w:val="24"/>
                <w:lang w:eastAsia="sk-SK"/>
              </w:rPr>
              <w:t>0</w:t>
            </w:r>
          </w:p>
        </w:tc>
        <w:tc>
          <w:tcPr>
            <w:tcW w:w="1517" w:type="dxa"/>
            <w:tcBorders>
              <w:top w:val="nil"/>
              <w:left w:val="nil"/>
              <w:bottom w:val="single" w:sz="4" w:space="0" w:color="auto"/>
              <w:right w:val="single" w:sz="4" w:space="0" w:color="auto"/>
            </w:tcBorders>
            <w:textDirection w:val="lrTb"/>
            <w:vAlign w:val="top"/>
          </w:tcPr>
          <w:p w:rsidR="00E91028" w:rsidP="00E91028">
            <w:pPr>
              <w:bidi w:val="0"/>
              <w:spacing w:after="0" w:line="240" w:lineRule="auto"/>
              <w:jc w:val="center"/>
              <w:rPr>
                <w:rFonts w:ascii="Times New Roman" w:hAnsi="Times New Roman" w:cs="Times New Roman"/>
                <w:b/>
                <w:bCs/>
                <w:sz w:val="24"/>
                <w:szCs w:val="24"/>
                <w:lang w:eastAsia="sk-SK"/>
              </w:rPr>
            </w:pPr>
            <w:r w:rsidR="00E2121C">
              <w:rPr>
                <w:rFonts w:ascii="Times New Roman" w:hAnsi="Times New Roman" w:cs="Times New Roman"/>
                <w:b/>
                <w:bCs/>
                <w:sz w:val="24"/>
                <w:szCs w:val="24"/>
                <w:lang w:eastAsia="sk-SK"/>
              </w:rPr>
              <w:t>-9 200 000</w:t>
            </w:r>
          </w:p>
        </w:tc>
        <w:tc>
          <w:tcPr>
            <w:tcW w:w="1500" w:type="dxa"/>
            <w:tcBorders>
              <w:top w:val="nil"/>
              <w:left w:val="nil"/>
              <w:bottom w:val="single" w:sz="4" w:space="0" w:color="auto"/>
              <w:right w:val="single" w:sz="4" w:space="0" w:color="auto"/>
            </w:tcBorders>
            <w:textDirection w:val="lrTb"/>
            <w:vAlign w:val="top"/>
          </w:tcPr>
          <w:p w:rsidR="00E91028" w:rsidP="00E91028">
            <w:pPr>
              <w:bidi w:val="0"/>
              <w:spacing w:after="0" w:line="240" w:lineRule="auto"/>
              <w:jc w:val="center"/>
              <w:rPr>
                <w:rFonts w:ascii="Times New Roman" w:hAnsi="Times New Roman" w:cs="Times New Roman"/>
                <w:b/>
                <w:bCs/>
                <w:sz w:val="24"/>
                <w:szCs w:val="24"/>
                <w:lang w:eastAsia="sk-SK"/>
              </w:rPr>
            </w:pPr>
            <w:r w:rsidR="00E2121C">
              <w:rPr>
                <w:rFonts w:ascii="Times New Roman" w:hAnsi="Times New Roman" w:cs="Times New Roman"/>
                <w:b/>
                <w:bCs/>
                <w:sz w:val="24"/>
                <w:szCs w:val="24"/>
                <w:lang w:eastAsia="sk-SK"/>
              </w:rPr>
              <w:t>-12 500 000</w:t>
            </w:r>
          </w:p>
        </w:tc>
        <w:tc>
          <w:tcPr>
            <w:tcW w:w="300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424"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559"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517"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424"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559"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517"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424"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59"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17"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424"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59"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17"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167882" w:rsidRPr="007D5748" w:rsidP="00167882">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Dopad na príjmy verejnej správy celkom</w:t>
            </w:r>
          </w:p>
        </w:tc>
        <w:tc>
          <w:tcPr>
            <w:tcW w:w="1424" w:type="dxa"/>
            <w:tcBorders>
              <w:top w:val="nil"/>
              <w:left w:val="nil"/>
              <w:bottom w:val="single" w:sz="4" w:space="0" w:color="auto"/>
              <w:right w:val="single" w:sz="4" w:space="0" w:color="auto"/>
            </w:tcBorders>
            <w:shd w:val="clear" w:color="auto" w:fill="BFBFBF"/>
            <w:textDirection w:val="lrTb"/>
            <w:vAlign w:val="top"/>
          </w:tcPr>
          <w:p w:rsidR="00167882" w:rsidRPr="007D5748" w:rsidP="00167882">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559" w:type="dxa"/>
            <w:tcBorders>
              <w:top w:val="nil"/>
              <w:left w:val="nil"/>
              <w:bottom w:val="single" w:sz="4" w:space="0" w:color="auto"/>
              <w:right w:val="single" w:sz="4" w:space="0" w:color="auto"/>
            </w:tcBorders>
            <w:shd w:val="clear" w:color="auto" w:fill="BFBFBF"/>
            <w:textDirection w:val="lrTb"/>
            <w:vAlign w:val="top"/>
          </w:tcPr>
          <w:p w:rsidR="00167882" w:rsidRPr="007D5748" w:rsidP="00167882">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-159 040 000</w:t>
            </w:r>
          </w:p>
        </w:tc>
        <w:tc>
          <w:tcPr>
            <w:tcW w:w="1517" w:type="dxa"/>
            <w:tcBorders>
              <w:top w:val="nil"/>
              <w:left w:val="nil"/>
              <w:bottom w:val="single" w:sz="4" w:space="0" w:color="auto"/>
              <w:right w:val="single" w:sz="4" w:space="0" w:color="auto"/>
            </w:tcBorders>
            <w:shd w:val="clear" w:color="auto" w:fill="BFBFBF"/>
            <w:textDirection w:val="lrTb"/>
            <w:vAlign w:val="top"/>
          </w:tcPr>
          <w:p w:rsidR="00167882" w:rsidRPr="007D5748" w:rsidP="00167882">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-121 560 000</w:t>
            </w:r>
          </w:p>
        </w:tc>
        <w:tc>
          <w:tcPr>
            <w:tcW w:w="1500" w:type="dxa"/>
            <w:tcBorders>
              <w:top w:val="nil"/>
              <w:left w:val="nil"/>
              <w:bottom w:val="single" w:sz="4" w:space="0" w:color="auto"/>
              <w:right w:val="single" w:sz="4" w:space="0" w:color="auto"/>
            </w:tcBorders>
            <w:shd w:val="clear" w:color="auto" w:fill="BFBFBF"/>
            <w:textDirection w:val="lrTb"/>
            <w:vAlign w:val="top"/>
          </w:tcPr>
          <w:p w:rsidR="00167882" w:rsidRPr="007D5748" w:rsidP="00167882">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-138 600 000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167882" w:rsidRPr="007D5748" w:rsidP="00167882">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bl>
    <w:p w:rsidR="00E91028" w:rsidRPr="00440704" w:rsidP="00E91028">
      <w:pPr>
        <w:bidi w:val="0"/>
        <w:spacing w:after="0" w:line="240" w:lineRule="auto"/>
        <w:jc w:val="right"/>
        <w:rPr>
          <w:rFonts w:ascii="Times New Roman" w:hAnsi="Times New Roman" w:cs="Times New Roman"/>
          <w:bCs/>
          <w:sz w:val="24"/>
          <w:szCs w:val="24"/>
          <w:lang w:eastAsia="sk-SK"/>
        </w:rPr>
      </w:pPr>
      <w:r>
        <w:rPr>
          <w:rFonts w:ascii="Times New Roman" w:hAnsi="Times New Roman" w:cs="Times New Roman"/>
          <w:bCs/>
          <w:sz w:val="20"/>
          <w:szCs w:val="20"/>
          <w:lang w:eastAsia="sk-SK"/>
        </w:rPr>
        <w:tab/>
        <w:tab/>
        <w:tab/>
        <w:tab/>
        <w:tab/>
        <w:tab/>
        <w:tab/>
        <w:tab/>
        <w:tab/>
        <w:tab/>
        <w:tab/>
        <w:tab/>
        <w:tab/>
        <w:tab/>
        <w:tab/>
      </w:r>
      <w:r w:rsidRPr="00440704">
        <w:rPr>
          <w:rFonts w:ascii="Times New Roman" w:hAnsi="Times New Roman" w:cs="Times New Roman"/>
          <w:bCs/>
          <w:sz w:val="24"/>
          <w:szCs w:val="24"/>
          <w:lang w:eastAsia="sk-SK"/>
        </w:rPr>
        <w:t xml:space="preserve">Tabuľka č. 3.1. </w:t>
      </w:r>
    </w:p>
    <w:tbl>
      <w:tblPr>
        <w:tblStyle w:val="TableGrid"/>
        <w:tblW w:w="14029" w:type="dxa"/>
        <w:tblLook w:val="04A0"/>
      </w:tblPr>
      <w:tblGrid>
        <w:gridCol w:w="4957"/>
        <w:gridCol w:w="1417"/>
        <w:gridCol w:w="1559"/>
        <w:gridCol w:w="1560"/>
        <w:gridCol w:w="1559"/>
        <w:gridCol w:w="2977"/>
      </w:tblGrid>
      <w:tr>
        <w:tblPrEx>
          <w:tblW w:w="14029" w:type="dxa"/>
          <w:tblLook w:val="04A0"/>
        </w:tblPrEx>
        <w:tc>
          <w:tcPr>
            <w:tcW w:w="495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(v eurách)</w:t>
            </w:r>
          </w:p>
        </w:tc>
        <w:tc>
          <w:tcPr>
            <w:tcW w:w="6095"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Vplyv na rozpočet verejnej správy</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poznámka</w:t>
            </w:r>
          </w:p>
        </w:tc>
      </w:tr>
      <w:tr>
        <w:tblPrEx>
          <w:tblW w:w="14029" w:type="dxa"/>
          <w:tblLook w:val="04A0"/>
        </w:tblPrEx>
        <w:tc>
          <w:tcPr>
            <w:tcW w:w="495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6</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7</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8</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w:t>
            </w:r>
            <w:r>
              <w:rPr>
                <w:rFonts w:ascii="Times New Roman" w:hAnsi="Times New Roman" w:cs="Times New Roman"/>
                <w:b/>
                <w:bCs/>
                <w:sz w:val="24"/>
                <w:szCs w:val="20"/>
                <w:lang w:eastAsia="sk-SK"/>
              </w:rPr>
              <w:t>19</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3A44F7">
            <w:pPr>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w:t>
            </w:r>
            <w:r w:rsidR="004432F5">
              <w:rPr>
                <w:rFonts w:ascii="Times New Roman" w:hAnsi="Times New Roman" w:cs="Times New Roman"/>
                <w:b/>
                <w:bCs/>
                <w:sz w:val="24"/>
                <w:szCs w:val="24"/>
                <w:lang w:eastAsia="sk-SK"/>
              </w:rPr>
              <w:t>141</w:t>
            </w:r>
            <w:r>
              <w:rPr>
                <w:rFonts w:ascii="Times New Roman" w:hAnsi="Times New Roman" w:cs="Times New Roman"/>
                <w:b/>
                <w:bCs/>
                <w:sz w:val="24"/>
                <w:szCs w:val="24"/>
                <w:lang w:eastAsia="sk-SK"/>
              </w:rPr>
              <w:t> </w:t>
            </w:r>
            <w:r w:rsidR="003A44F7">
              <w:rPr>
                <w:rFonts w:ascii="Times New Roman" w:hAnsi="Times New Roman" w:cs="Times New Roman"/>
                <w:b/>
                <w:bCs/>
                <w:sz w:val="24"/>
                <w:szCs w:val="24"/>
                <w:lang w:eastAsia="sk-SK"/>
              </w:rPr>
              <w:t>14</w:t>
            </w:r>
            <w:r>
              <w:rPr>
                <w:rFonts w:ascii="Times New Roman" w:hAnsi="Times New Roman" w:cs="Times New Roman"/>
                <w:b/>
                <w:bCs/>
                <w:sz w:val="24"/>
                <w:szCs w:val="24"/>
                <w:lang w:eastAsia="sk-SK"/>
              </w:rPr>
              <w:t>0 000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3A44F7">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-14</w:t>
            </w:r>
            <w:r w:rsidR="003A44F7">
              <w:rPr>
                <w:rFonts w:ascii="Times New Roman" w:hAnsi="Times New Roman" w:cs="Times New Roman"/>
                <w:b/>
                <w:bCs/>
                <w:sz w:val="24"/>
                <w:szCs w:val="24"/>
                <w:lang w:eastAsia="sk-SK"/>
              </w:rPr>
              <w:t>6</w:t>
            </w:r>
            <w:r>
              <w:rPr>
                <w:rFonts w:ascii="Times New Roman" w:hAnsi="Times New Roman" w:cs="Times New Roman"/>
                <w:b/>
                <w:bCs/>
                <w:sz w:val="24"/>
                <w:szCs w:val="24"/>
                <w:lang w:eastAsia="sk-SK"/>
              </w:rPr>
              <w:t> </w:t>
            </w:r>
            <w:r w:rsidR="003A44F7">
              <w:rPr>
                <w:rFonts w:ascii="Times New Roman" w:hAnsi="Times New Roman" w:cs="Times New Roman"/>
                <w:b/>
                <w:bCs/>
                <w:sz w:val="24"/>
                <w:szCs w:val="24"/>
                <w:lang w:eastAsia="sk-SK"/>
              </w:rPr>
              <w:t>96</w:t>
            </w:r>
            <w:r>
              <w:rPr>
                <w:rFonts w:ascii="Times New Roman" w:hAnsi="Times New Roman" w:cs="Times New Roman"/>
                <w:b/>
                <w:bCs/>
                <w:sz w:val="24"/>
                <w:szCs w:val="24"/>
                <w:lang w:eastAsia="sk-SK"/>
              </w:rPr>
              <w:t>0 000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3A44F7">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-1</w:t>
            </w:r>
            <w:r w:rsidR="003A44F7">
              <w:rPr>
                <w:rFonts w:ascii="Times New Roman" w:hAnsi="Times New Roman" w:cs="Times New Roman"/>
                <w:b/>
                <w:bCs/>
                <w:sz w:val="24"/>
                <w:szCs w:val="24"/>
                <w:lang w:eastAsia="sk-SK"/>
              </w:rPr>
              <w:t>59 80</w:t>
            </w:r>
            <w:r>
              <w:rPr>
                <w:rFonts w:ascii="Times New Roman" w:hAnsi="Times New Roman" w:cs="Times New Roman"/>
                <w:b/>
                <w:bCs/>
                <w:sz w:val="24"/>
                <w:szCs w:val="24"/>
                <w:lang w:eastAsia="sk-SK"/>
              </w:rPr>
              <w:t>0 000</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Zníženie sadzby dane z príjmov právnických osôb na 21 %</w:t>
            </w: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A44F7" w:rsidP="003A44F7">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DPPO (112)</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A44F7" w:rsidRPr="00526826" w:rsidP="003A44F7">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A44F7" w:rsidP="003A44F7">
            <w:pPr>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-141 140 000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A44F7" w:rsidP="003A44F7">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-146 960 000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A44F7" w:rsidP="003A44F7">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-159 800 000</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A44F7" w:rsidP="003A44F7">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A44F7" w:rsidP="003A44F7">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Dopad na príjmy verejnej správy celkom</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A44F7" w:rsidRPr="00526826" w:rsidP="003A44F7">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A44F7" w:rsidP="003A44F7">
            <w:pPr>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-141 140 000</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A44F7" w:rsidP="003A44F7">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-146 960 000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A44F7" w:rsidP="003A44F7">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-159 800 000</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A44F7" w:rsidP="003A44F7">
            <w:pPr>
              <w:tabs>
                <w:tab w:val="num" w:pos="1080"/>
              </w:tabs>
              <w:bidi w:val="0"/>
              <w:spacing w:after="0" w:line="240" w:lineRule="auto"/>
              <w:jc w:val="both"/>
              <w:rPr>
                <w:rFonts w:ascii="Times New Roman" w:hAnsi="Times New Roman" w:cs="Times New Roman"/>
                <w:bCs/>
                <w:sz w:val="24"/>
                <w:szCs w:val="20"/>
                <w:lang w:eastAsia="sk-SK"/>
              </w:rPr>
            </w:pPr>
          </w:p>
        </w:tc>
      </w:tr>
    </w:tbl>
    <w:p w:rsidR="00E91028" w:rsidRPr="007D5748" w:rsidP="00E91028">
      <w:pPr>
        <w:tabs>
          <w:tab w:val="num" w:pos="1080"/>
        </w:tabs>
        <w:bidi w:val="0"/>
        <w:spacing w:after="0" w:line="240" w:lineRule="auto"/>
        <w:jc w:val="both"/>
        <w:rPr>
          <w:rFonts w:ascii="Times New Roman" w:hAnsi="Times New Roman" w:cs="Times New Roman"/>
          <w:bCs/>
          <w:sz w:val="24"/>
          <w:szCs w:val="20"/>
          <w:lang w:eastAsia="sk-SK"/>
        </w:rPr>
      </w:pPr>
    </w:p>
    <w:p w:rsidR="00E91028" w:rsidP="00E91028">
      <w:pPr>
        <w:tabs>
          <w:tab w:val="num" w:pos="1080"/>
        </w:tabs>
        <w:bidi w:val="0"/>
        <w:spacing w:after="0" w:line="240" w:lineRule="auto"/>
        <w:ind w:right="-578"/>
        <w:jc w:val="right"/>
        <w:rPr>
          <w:rFonts w:ascii="Times New Roman" w:hAnsi="Times New Roman" w:cs="Times New Roman"/>
          <w:bCs/>
          <w:sz w:val="24"/>
          <w:szCs w:val="24"/>
          <w:lang w:eastAsia="sk-SK"/>
        </w:rPr>
      </w:pPr>
    </w:p>
    <w:p w:rsidR="00E91028" w:rsidP="00E91028">
      <w:pPr>
        <w:tabs>
          <w:tab w:val="num" w:pos="1080"/>
        </w:tabs>
        <w:bidi w:val="0"/>
        <w:spacing w:after="0" w:line="240" w:lineRule="auto"/>
        <w:ind w:right="-578"/>
        <w:jc w:val="right"/>
        <w:rPr>
          <w:rFonts w:ascii="Times New Roman" w:hAnsi="Times New Roman" w:cs="Times New Roman"/>
          <w:bCs/>
          <w:sz w:val="24"/>
          <w:szCs w:val="24"/>
          <w:lang w:eastAsia="sk-SK"/>
        </w:rPr>
      </w:pPr>
    </w:p>
    <w:p w:rsidR="00E91028" w:rsidP="00E91028">
      <w:pPr>
        <w:tabs>
          <w:tab w:val="num" w:pos="1080"/>
        </w:tabs>
        <w:bidi w:val="0"/>
        <w:spacing w:after="0" w:line="240" w:lineRule="auto"/>
        <w:ind w:right="-578"/>
        <w:jc w:val="right"/>
        <w:rPr>
          <w:rFonts w:ascii="Times New Roman" w:hAnsi="Times New Roman" w:cs="Times New Roman"/>
          <w:bCs/>
          <w:sz w:val="24"/>
          <w:szCs w:val="24"/>
          <w:lang w:eastAsia="sk-SK"/>
        </w:rPr>
      </w:pPr>
    </w:p>
    <w:p w:rsidR="00E91028" w:rsidRPr="007D5748" w:rsidP="00E91028">
      <w:pPr>
        <w:tabs>
          <w:tab w:val="num" w:pos="1080"/>
        </w:tabs>
        <w:bidi w:val="0"/>
        <w:spacing w:after="0" w:line="240" w:lineRule="auto"/>
        <w:ind w:right="-32"/>
        <w:jc w:val="right"/>
        <w:rPr>
          <w:rFonts w:ascii="Times New Roman" w:hAnsi="Times New Roman" w:cs="Times New Roman"/>
          <w:bCs/>
          <w:sz w:val="24"/>
          <w:szCs w:val="24"/>
          <w:lang w:eastAsia="sk-SK"/>
        </w:rPr>
      </w:pPr>
      <w:r>
        <w:rPr>
          <w:rFonts w:ascii="Times New Roman" w:hAnsi="Times New Roman" w:cs="Times New Roman"/>
          <w:bCs/>
          <w:sz w:val="24"/>
          <w:szCs w:val="24"/>
          <w:lang w:eastAsia="sk-SK"/>
        </w:rPr>
        <w:t>Tabuľka č. 3.2.</w:t>
      </w:r>
    </w:p>
    <w:tbl>
      <w:tblPr>
        <w:tblStyle w:val="TableGrid"/>
        <w:tblW w:w="14029" w:type="dxa"/>
        <w:tblLook w:val="04A0"/>
      </w:tblPr>
      <w:tblGrid>
        <w:gridCol w:w="4957"/>
        <w:gridCol w:w="1417"/>
        <w:gridCol w:w="1559"/>
        <w:gridCol w:w="1560"/>
        <w:gridCol w:w="1417"/>
        <w:gridCol w:w="3119"/>
      </w:tblGrid>
      <w:tr>
        <w:tblPrEx>
          <w:tblW w:w="14029" w:type="dxa"/>
          <w:tblLook w:val="04A0"/>
        </w:tblPrEx>
        <w:tc>
          <w:tcPr>
            <w:tcW w:w="495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(v eurách)</w:t>
            </w:r>
          </w:p>
        </w:tc>
        <w:tc>
          <w:tcPr>
            <w:tcW w:w="5953"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Vplyv na rozpočet verejnej správy</w:t>
            </w:r>
          </w:p>
        </w:tc>
        <w:tc>
          <w:tcPr>
            <w:tcW w:w="311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poznámka</w:t>
            </w:r>
          </w:p>
        </w:tc>
      </w:tr>
      <w:tr>
        <w:tblPrEx>
          <w:tblW w:w="14029" w:type="dxa"/>
          <w:tblLook w:val="04A0"/>
        </w:tblPrEx>
        <w:tc>
          <w:tcPr>
            <w:tcW w:w="495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AD48B8" w:rsidP="00E91028">
            <w:pPr>
              <w:tabs>
                <w:tab w:val="num" w:pos="1080"/>
              </w:tabs>
              <w:bidi w:val="0"/>
              <w:spacing w:after="0" w:line="240" w:lineRule="auto"/>
              <w:jc w:val="center"/>
              <w:rPr>
                <w:rFonts w:ascii="Times New Roman" w:hAnsi="Times New Roman" w:cs="Times New Roman"/>
                <w:b/>
                <w:bCs/>
                <w:sz w:val="24"/>
                <w:szCs w:val="20"/>
                <w:lang w:eastAsia="sk-SK"/>
              </w:rPr>
            </w:pPr>
            <w:r w:rsidRPr="00AD48B8">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6</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AD48B8" w:rsidP="00E91028">
            <w:pPr>
              <w:tabs>
                <w:tab w:val="num" w:pos="1080"/>
              </w:tabs>
              <w:bidi w:val="0"/>
              <w:spacing w:after="0" w:line="240" w:lineRule="auto"/>
              <w:jc w:val="center"/>
              <w:rPr>
                <w:rFonts w:ascii="Times New Roman" w:hAnsi="Times New Roman" w:cs="Times New Roman"/>
                <w:b/>
                <w:bCs/>
                <w:sz w:val="24"/>
                <w:szCs w:val="20"/>
                <w:lang w:eastAsia="sk-SK"/>
              </w:rPr>
            </w:pPr>
            <w:r w:rsidRPr="00AD48B8">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7</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AD48B8" w:rsidP="00E91028">
            <w:pPr>
              <w:tabs>
                <w:tab w:val="num" w:pos="1080"/>
              </w:tabs>
              <w:bidi w:val="0"/>
              <w:spacing w:after="0" w:line="240" w:lineRule="auto"/>
              <w:jc w:val="center"/>
              <w:rPr>
                <w:rFonts w:ascii="Times New Roman" w:hAnsi="Times New Roman" w:cs="Times New Roman"/>
                <w:b/>
                <w:bCs/>
                <w:sz w:val="24"/>
                <w:szCs w:val="20"/>
                <w:lang w:eastAsia="sk-SK"/>
              </w:rPr>
            </w:pPr>
            <w:r w:rsidRPr="00AD48B8">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8</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AD48B8" w:rsidP="00E91028">
            <w:pPr>
              <w:tabs>
                <w:tab w:val="num" w:pos="1080"/>
              </w:tabs>
              <w:bidi w:val="0"/>
              <w:spacing w:after="0" w:line="240" w:lineRule="auto"/>
              <w:jc w:val="center"/>
              <w:rPr>
                <w:rFonts w:ascii="Times New Roman" w:hAnsi="Times New Roman" w:cs="Times New Roman"/>
                <w:b/>
                <w:bCs/>
                <w:sz w:val="24"/>
                <w:szCs w:val="20"/>
                <w:lang w:eastAsia="sk-SK"/>
              </w:rPr>
            </w:pPr>
            <w:r w:rsidRPr="00AD48B8">
              <w:rPr>
                <w:rFonts w:ascii="Times New Roman" w:hAnsi="Times New Roman" w:cs="Times New Roman"/>
                <w:b/>
                <w:bCs/>
                <w:sz w:val="24"/>
                <w:szCs w:val="20"/>
                <w:lang w:eastAsia="sk-SK"/>
              </w:rPr>
              <w:t>20</w:t>
            </w:r>
            <w:r>
              <w:rPr>
                <w:rFonts w:ascii="Times New Roman" w:hAnsi="Times New Roman" w:cs="Times New Roman"/>
                <w:b/>
                <w:bCs/>
                <w:sz w:val="24"/>
                <w:szCs w:val="20"/>
                <w:lang w:eastAsia="sk-SK"/>
              </w:rPr>
              <w:t>19</w:t>
            </w:r>
          </w:p>
        </w:tc>
        <w:tc>
          <w:tcPr>
            <w:tcW w:w="311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003A44F7">
              <w:rPr>
                <w:rFonts w:ascii="Times New Roman" w:hAnsi="Times New Roman" w:cs="Times New Roman"/>
                <w:b/>
                <w:bCs/>
                <w:sz w:val="24"/>
                <w:szCs w:val="24"/>
                <w:lang w:eastAsia="sk-SK"/>
              </w:rPr>
              <w:t>50 500 0</w:t>
            </w:r>
            <w:r w:rsidR="008D55BB">
              <w:rPr>
                <w:rFonts w:ascii="Times New Roman" w:hAnsi="Times New Roman" w:cs="Times New Roman"/>
                <w:b/>
                <w:bCs/>
                <w:sz w:val="24"/>
                <w:szCs w:val="24"/>
                <w:lang w:eastAsia="sk-SK"/>
              </w:rPr>
              <w:t>0</w:t>
            </w:r>
            <w:r w:rsidR="003A44F7">
              <w:rPr>
                <w:rFonts w:ascii="Times New Roman" w:hAnsi="Times New Roman" w:cs="Times New Roman"/>
                <w:b/>
                <w:b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3A44F7">
            <w:pPr>
              <w:tabs>
                <w:tab w:val="num" w:pos="1080"/>
              </w:tabs>
              <w:bidi w:val="0"/>
              <w:spacing w:after="0" w:line="240" w:lineRule="auto"/>
              <w:jc w:val="center"/>
              <w:rPr>
                <w:rFonts w:ascii="Times New Roman" w:hAnsi="Times New Roman" w:cs="Times New Roman"/>
                <w:bCs/>
                <w:sz w:val="24"/>
                <w:szCs w:val="20"/>
                <w:lang w:eastAsia="sk-SK"/>
              </w:rPr>
            </w:pPr>
            <w:r w:rsidR="003A44F7">
              <w:rPr>
                <w:rFonts w:ascii="Times New Roman" w:hAnsi="Times New Roman" w:cs="Times New Roman"/>
                <w:b/>
                <w:bCs/>
                <w:sz w:val="24"/>
                <w:szCs w:val="24"/>
                <w:lang w:eastAsia="sk-SK"/>
              </w:rPr>
              <w:t>5</w:t>
            </w:r>
            <w:r>
              <w:rPr>
                <w:rFonts w:ascii="Times New Roman" w:hAnsi="Times New Roman" w:cs="Times New Roman"/>
                <w:b/>
                <w:bCs/>
                <w:sz w:val="24"/>
                <w:szCs w:val="24"/>
                <w:lang w:eastAsia="sk-SK"/>
              </w:rPr>
              <w:t>0 </w:t>
            </w:r>
            <w:r w:rsidR="003A44F7">
              <w:rPr>
                <w:rFonts w:ascii="Times New Roman" w:hAnsi="Times New Roman" w:cs="Times New Roman"/>
                <w:b/>
                <w:bCs/>
                <w:sz w:val="24"/>
                <w:szCs w:val="24"/>
                <w:lang w:eastAsia="sk-SK"/>
              </w:rPr>
              <w:t>3</w:t>
            </w:r>
            <w:r>
              <w:rPr>
                <w:rFonts w:ascii="Times New Roman" w:hAnsi="Times New Roman" w:cs="Times New Roman"/>
                <w:b/>
                <w:bCs/>
                <w:sz w:val="24"/>
                <w:szCs w:val="24"/>
                <w:lang w:eastAsia="sk-SK"/>
              </w:rPr>
              <w:t>00 000</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 xml:space="preserve">Zavedenie zdanenia podielov na zisku (dividend) so súčasným zrušením platenia zdravotných odvodov </w:t>
            </w: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Daň z prímov vyberaná zrážkou (113)</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008D55BB">
              <w:rPr>
                <w:rFonts w:ascii="Times New Roman" w:hAnsi="Times New Roman" w:cs="Times New Roman"/>
                <w:b/>
                <w:bCs/>
                <w:sz w:val="24"/>
                <w:szCs w:val="24"/>
                <w:lang w:eastAsia="sk-SK"/>
              </w:rPr>
              <w:t>56 100 000</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008D55BB">
              <w:rPr>
                <w:rFonts w:ascii="Times New Roman" w:hAnsi="Times New Roman" w:cs="Times New Roman"/>
                <w:b/>
                <w:bCs/>
                <w:sz w:val="24"/>
                <w:szCs w:val="24"/>
                <w:lang w:eastAsia="sk-SK"/>
              </w:rPr>
              <w:t>59 200 000</w:t>
            </w: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Zdravotné odvody (154)</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8D55BB">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 xml:space="preserve"> -</w:t>
            </w:r>
            <w:r w:rsidR="008D55BB">
              <w:rPr>
                <w:rFonts w:ascii="Times New Roman" w:hAnsi="Times New Roman" w:cs="Times New Roman"/>
                <w:b/>
                <w:bCs/>
                <w:sz w:val="24"/>
                <w:szCs w:val="24"/>
                <w:lang w:eastAsia="sk-SK"/>
              </w:rPr>
              <w:t>5 600 000</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8D55BB">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w:t>
            </w:r>
            <w:r w:rsidR="008D55BB">
              <w:rPr>
                <w:rFonts w:ascii="Times New Roman" w:hAnsi="Times New Roman" w:cs="Times New Roman"/>
                <w:b/>
                <w:bCs/>
                <w:sz w:val="24"/>
                <w:szCs w:val="24"/>
                <w:lang w:eastAsia="sk-SK"/>
              </w:rPr>
              <w:t>8</w:t>
            </w:r>
            <w:r>
              <w:rPr>
                <w:rFonts w:ascii="Times New Roman" w:hAnsi="Times New Roman" w:cs="Times New Roman"/>
                <w:b/>
                <w:bCs/>
                <w:sz w:val="24"/>
                <w:szCs w:val="24"/>
                <w:lang w:eastAsia="sk-SK"/>
              </w:rPr>
              <w:t> 900 000</w:t>
            </w: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 </w:t>
            </w:r>
          </w:p>
        </w:tc>
        <w:tc>
          <w:tcPr>
            <w:tcW w:w="3119"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P="008D55BB">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Dopad na príjmy verejnej správy celkom</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P="008D55BB">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P="008D55BB">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P="008D55BB">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50 500 000</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P="008D55BB">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50 300 000</w:t>
            </w:r>
          </w:p>
        </w:tc>
        <w:tc>
          <w:tcPr>
            <w:tcW w:w="311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P="008D55BB">
            <w:pPr>
              <w:tabs>
                <w:tab w:val="num" w:pos="1080"/>
              </w:tabs>
              <w:bidi w:val="0"/>
              <w:spacing w:after="0" w:line="240" w:lineRule="auto"/>
              <w:jc w:val="both"/>
              <w:rPr>
                <w:rFonts w:ascii="Times New Roman" w:hAnsi="Times New Roman" w:cs="Times New Roman"/>
                <w:bCs/>
                <w:sz w:val="24"/>
                <w:szCs w:val="20"/>
                <w:lang w:eastAsia="sk-SK"/>
              </w:rPr>
            </w:pPr>
          </w:p>
        </w:tc>
      </w:tr>
    </w:tbl>
    <w:p w:rsidR="00E91028" w:rsidP="00E91028">
      <w:pPr>
        <w:tabs>
          <w:tab w:val="num" w:pos="1080"/>
        </w:tabs>
        <w:bidi w:val="0"/>
        <w:spacing w:after="0" w:line="240" w:lineRule="auto"/>
        <w:ind w:right="-578"/>
        <w:jc w:val="right"/>
        <w:rPr>
          <w:rFonts w:ascii="Times New Roman" w:hAnsi="Times New Roman" w:cs="Times New Roman"/>
          <w:bCs/>
          <w:sz w:val="24"/>
          <w:szCs w:val="24"/>
          <w:lang w:eastAsia="sk-SK"/>
        </w:rPr>
      </w:pPr>
    </w:p>
    <w:p w:rsidR="00A3178E" w:rsidP="00E91028">
      <w:pPr>
        <w:tabs>
          <w:tab w:val="num" w:pos="1080"/>
        </w:tabs>
        <w:bidi w:val="0"/>
        <w:spacing w:after="0" w:line="240" w:lineRule="auto"/>
        <w:ind w:right="-578"/>
        <w:jc w:val="right"/>
        <w:rPr>
          <w:rFonts w:ascii="Times New Roman" w:hAnsi="Times New Roman" w:cs="Times New Roman"/>
          <w:bCs/>
          <w:sz w:val="24"/>
          <w:szCs w:val="24"/>
          <w:lang w:eastAsia="sk-SK"/>
        </w:rPr>
      </w:pPr>
    </w:p>
    <w:p w:rsidR="00A3178E" w:rsidRPr="007D5748" w:rsidP="00E91028">
      <w:pPr>
        <w:tabs>
          <w:tab w:val="num" w:pos="1080"/>
        </w:tabs>
        <w:bidi w:val="0"/>
        <w:spacing w:after="0" w:line="240" w:lineRule="auto"/>
        <w:ind w:right="-578"/>
        <w:jc w:val="right"/>
        <w:rPr>
          <w:rFonts w:ascii="Times New Roman" w:hAnsi="Times New Roman" w:cs="Times New Roman"/>
          <w:bCs/>
          <w:sz w:val="24"/>
          <w:szCs w:val="24"/>
          <w:lang w:eastAsia="sk-SK"/>
        </w:rPr>
      </w:pPr>
    </w:p>
    <w:p w:rsidR="00E91028" w:rsidRPr="007D5748" w:rsidP="00E91028">
      <w:pPr>
        <w:tabs>
          <w:tab w:val="num" w:pos="1080"/>
        </w:tabs>
        <w:bidi w:val="0"/>
        <w:spacing w:after="0" w:line="240" w:lineRule="auto"/>
        <w:ind w:right="-578"/>
        <w:rPr>
          <w:rFonts w:ascii="Times New Roman" w:hAnsi="Times New Roman" w:cs="Times New Roman"/>
          <w:bCs/>
          <w:sz w:val="24"/>
          <w:szCs w:val="24"/>
          <w:lang w:eastAsia="sk-SK"/>
        </w:rPr>
      </w:pPr>
      <w:r>
        <w:rPr>
          <w:rFonts w:ascii="Times New Roman" w:hAnsi="Times New Roman" w:cs="Times New Roman"/>
          <w:bCs/>
          <w:sz w:val="24"/>
          <w:szCs w:val="24"/>
          <w:lang w:eastAsia="sk-SK"/>
        </w:rPr>
        <w:tab/>
        <w:tab/>
        <w:tab/>
        <w:tab/>
        <w:tab/>
        <w:tab/>
        <w:tab/>
        <w:tab/>
        <w:tab/>
        <w:tab/>
        <w:tab/>
        <w:tab/>
        <w:tab/>
        <w:tab/>
        <w:tab/>
        <w:tab/>
        <w:tab/>
        <w:t xml:space="preserve">         Tabuľka č. 3.3.</w:t>
      </w:r>
    </w:p>
    <w:tbl>
      <w:tblPr>
        <w:tblStyle w:val="TableGrid"/>
        <w:tblW w:w="14029" w:type="dxa"/>
        <w:tblLook w:val="04A0"/>
      </w:tblPr>
      <w:tblGrid>
        <w:gridCol w:w="4957"/>
        <w:gridCol w:w="1417"/>
        <w:gridCol w:w="1559"/>
        <w:gridCol w:w="1560"/>
        <w:gridCol w:w="1559"/>
        <w:gridCol w:w="2977"/>
      </w:tblGrid>
      <w:tr>
        <w:tblPrEx>
          <w:tblW w:w="14029" w:type="dxa"/>
          <w:tblLook w:val="04A0"/>
        </w:tblPrEx>
        <w:tc>
          <w:tcPr>
            <w:tcW w:w="495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(v eurách)</w:t>
            </w:r>
          </w:p>
        </w:tc>
        <w:tc>
          <w:tcPr>
            <w:tcW w:w="6095"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Vplyv na rozpočet verejnej správy</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poznámka</w:t>
            </w:r>
          </w:p>
        </w:tc>
      </w:tr>
      <w:tr>
        <w:tblPrEx>
          <w:tblW w:w="14029" w:type="dxa"/>
          <w:tblLook w:val="04A0"/>
        </w:tblPrEx>
        <w:tc>
          <w:tcPr>
            <w:tcW w:w="495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6</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7</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8</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w:t>
            </w:r>
            <w:r>
              <w:rPr>
                <w:rFonts w:ascii="Times New Roman" w:hAnsi="Times New Roman" w:cs="Times New Roman"/>
                <w:b/>
                <w:bCs/>
                <w:sz w:val="24"/>
                <w:szCs w:val="20"/>
                <w:lang w:eastAsia="sk-SK"/>
              </w:rPr>
              <w:t>19</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-4 500 000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83682E">
              <w:rPr>
                <w:rFonts w:ascii="Times New Roman" w:hAnsi="Times New Roman" w:cs="Times New Roman"/>
                <w:b/>
                <w:bCs/>
                <w:sz w:val="24"/>
                <w:szCs w:val="24"/>
                <w:lang w:eastAsia="sk-SK"/>
              </w:rPr>
              <w:t>-4 500 000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1B2DF4">
              <w:rPr>
                <w:rFonts w:ascii="Times New Roman" w:hAnsi="Times New Roman" w:cs="Times New Roman"/>
                <w:b/>
                <w:bCs/>
                <w:sz w:val="24"/>
                <w:szCs w:val="24"/>
                <w:lang w:eastAsia="sk-SK"/>
              </w:rPr>
              <w:t>-4 500 000</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Zmena posudzovania príspevku na zabezpečenie účinného uplatňovania opatrení na riešenie krízových situácii</w:t>
            </w: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75093A">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4"/>
                <w:lang w:eastAsia="sk-SK"/>
              </w:rPr>
              <w:t>DP</w:t>
            </w:r>
            <w:r w:rsidR="0075093A">
              <w:rPr>
                <w:rFonts w:ascii="Times New Roman" w:hAnsi="Times New Roman" w:cs="Times New Roman"/>
                <w:b/>
                <w:bCs/>
                <w:sz w:val="24"/>
                <w:szCs w:val="24"/>
                <w:lang w:eastAsia="sk-SK"/>
              </w:rPr>
              <w:t>P</w:t>
            </w:r>
            <w:r w:rsidR="008D55BB">
              <w:rPr>
                <w:rFonts w:ascii="Times New Roman" w:hAnsi="Times New Roman" w:cs="Times New Roman"/>
                <w:b/>
                <w:bCs/>
                <w:sz w:val="24"/>
                <w:szCs w:val="24"/>
                <w:lang w:eastAsia="sk-SK"/>
              </w:rPr>
              <w:t>O</w:t>
            </w:r>
            <w:r>
              <w:rPr>
                <w:rFonts w:ascii="Times New Roman" w:hAnsi="Times New Roman" w:cs="Times New Roman"/>
                <w:b/>
                <w:bCs/>
                <w:sz w:val="24"/>
                <w:szCs w:val="24"/>
                <w:lang w:eastAsia="sk-SK"/>
              </w:rPr>
              <w:t xml:space="preserve"> (11</w:t>
            </w:r>
            <w:r w:rsidR="0075093A">
              <w:rPr>
                <w:rFonts w:ascii="Times New Roman" w:hAnsi="Times New Roman" w:cs="Times New Roman"/>
                <w:b/>
                <w:bCs/>
                <w:sz w:val="24"/>
                <w:szCs w:val="24"/>
                <w:lang w:eastAsia="sk-SK"/>
              </w:rPr>
              <w:t>2</w:t>
            </w:r>
            <w:r>
              <w:rPr>
                <w:rFonts w:ascii="Times New Roman" w:hAnsi="Times New Roman" w:cs="Times New Roman"/>
                <w:b/>
                <w:bCs/>
                <w:sz w:val="24"/>
                <w:szCs w:val="24"/>
                <w:lang w:eastAsia="sk-SK"/>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center"/>
              <w:rPr>
                <w:rFonts w:ascii="Times New Roman" w:hAnsi="Times New Roman" w:cs="Times New Roman"/>
                <w:bCs/>
                <w:sz w:val="24"/>
                <w:szCs w:val="20"/>
                <w:lang w:eastAsia="sk-SK"/>
              </w:rPr>
            </w:pPr>
            <w:r>
              <w:rPr>
                <w:rFonts w:ascii="Times New Roman" w:hAnsi="Times New Roman" w:cs="Times New Roman"/>
                <w:b/>
                <w:bCs/>
                <w:sz w:val="24"/>
                <w:szCs w:val="24"/>
                <w:lang w:eastAsia="sk-SK"/>
              </w:rPr>
              <w:t>-4 500 000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83682E">
              <w:rPr>
                <w:rFonts w:ascii="Times New Roman" w:hAnsi="Times New Roman" w:cs="Times New Roman"/>
                <w:b/>
                <w:bCs/>
                <w:sz w:val="24"/>
                <w:szCs w:val="24"/>
                <w:lang w:eastAsia="sk-SK"/>
              </w:rPr>
              <w:t>-4 500 000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1B2DF4">
              <w:rPr>
                <w:rFonts w:ascii="Times New Roman" w:hAnsi="Times New Roman" w:cs="Times New Roman"/>
                <w:b/>
                <w:bCs/>
                <w:sz w:val="24"/>
                <w:szCs w:val="24"/>
                <w:lang w:eastAsia="sk-SK"/>
              </w:rPr>
              <w:t>-4 500 000</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Dopad na príjmy verejnej správy celkom</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6307DF">
              <w:rPr>
                <w:rFonts w:ascii="Times New Roman" w:hAnsi="Times New Roman" w:cs="Times New Roman"/>
                <w:b/>
                <w:bCs/>
                <w:sz w:val="24"/>
                <w:szCs w:val="24"/>
                <w:lang w:eastAsia="sk-SK"/>
              </w:rPr>
              <w:t>-4 500 000</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6307DF">
              <w:rPr>
                <w:rFonts w:ascii="Times New Roman" w:hAnsi="Times New Roman" w:cs="Times New Roman"/>
                <w:b/>
                <w:bCs/>
                <w:sz w:val="24"/>
                <w:szCs w:val="24"/>
                <w:lang w:eastAsia="sk-SK"/>
              </w:rPr>
              <w:t>-4 500 000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526826" w:rsidP="00E91028">
            <w:pPr>
              <w:tabs>
                <w:tab w:val="num" w:pos="1080"/>
              </w:tabs>
              <w:bidi w:val="0"/>
              <w:spacing w:after="0" w:line="240" w:lineRule="auto"/>
              <w:jc w:val="center"/>
              <w:rPr>
                <w:rFonts w:ascii="Times New Roman" w:hAnsi="Times New Roman" w:cs="Times New Roman"/>
                <w:b/>
                <w:bCs/>
                <w:sz w:val="24"/>
                <w:szCs w:val="20"/>
                <w:lang w:eastAsia="sk-SK"/>
              </w:rPr>
            </w:pPr>
            <w:r w:rsidRPr="006307DF">
              <w:rPr>
                <w:rFonts w:ascii="Times New Roman" w:hAnsi="Times New Roman" w:cs="Times New Roman"/>
                <w:b/>
                <w:bCs/>
                <w:sz w:val="24"/>
                <w:szCs w:val="24"/>
                <w:lang w:eastAsia="sk-SK"/>
              </w:rPr>
              <w:t>-4 500 000</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P="00E91028">
            <w:pPr>
              <w:tabs>
                <w:tab w:val="num" w:pos="1080"/>
              </w:tabs>
              <w:bidi w:val="0"/>
              <w:spacing w:after="0" w:line="240" w:lineRule="auto"/>
              <w:jc w:val="both"/>
              <w:rPr>
                <w:rFonts w:ascii="Times New Roman" w:hAnsi="Times New Roman" w:cs="Times New Roman"/>
                <w:bCs/>
                <w:sz w:val="24"/>
                <w:szCs w:val="20"/>
                <w:lang w:eastAsia="sk-SK"/>
              </w:rPr>
            </w:pPr>
          </w:p>
        </w:tc>
      </w:tr>
    </w:tbl>
    <w:p w:rsidR="00E91028" w:rsidP="00E91028">
      <w:pPr>
        <w:tabs>
          <w:tab w:val="num" w:pos="1080"/>
        </w:tabs>
        <w:bidi w:val="0"/>
        <w:spacing w:after="0" w:line="240" w:lineRule="auto"/>
        <w:ind w:right="-32"/>
        <w:jc w:val="right"/>
        <w:rPr>
          <w:rFonts w:ascii="Times New Roman" w:hAnsi="Times New Roman" w:cs="Times New Roman"/>
          <w:bCs/>
          <w:sz w:val="24"/>
          <w:szCs w:val="24"/>
          <w:lang w:eastAsia="sk-SK"/>
        </w:rPr>
      </w:pPr>
    </w:p>
    <w:p w:rsidR="00E91028" w:rsidP="00E91028">
      <w:pPr>
        <w:tabs>
          <w:tab w:val="num" w:pos="1080"/>
        </w:tabs>
        <w:bidi w:val="0"/>
        <w:spacing w:after="0" w:line="240" w:lineRule="auto"/>
        <w:ind w:right="-32"/>
        <w:jc w:val="right"/>
        <w:rPr>
          <w:rFonts w:ascii="Times New Roman" w:hAnsi="Times New Roman" w:cs="Times New Roman"/>
          <w:bCs/>
          <w:sz w:val="24"/>
          <w:szCs w:val="24"/>
          <w:lang w:eastAsia="sk-SK"/>
        </w:rPr>
      </w:pPr>
    </w:p>
    <w:p w:rsidR="00AC2A0D" w:rsidP="00AC2A0D">
      <w:pPr>
        <w:tabs>
          <w:tab w:val="num" w:pos="1080"/>
        </w:tabs>
        <w:bidi w:val="0"/>
        <w:spacing w:after="0" w:line="240" w:lineRule="auto"/>
        <w:ind w:right="-32"/>
        <w:jc w:val="right"/>
        <w:rPr>
          <w:rFonts w:ascii="Times New Roman" w:hAnsi="Times New Roman" w:cs="Times New Roman"/>
          <w:bCs/>
          <w:sz w:val="24"/>
          <w:szCs w:val="24"/>
          <w:lang w:eastAsia="sk-SK"/>
        </w:rPr>
      </w:pPr>
      <w:r>
        <w:rPr>
          <w:rFonts w:ascii="Times New Roman" w:hAnsi="Times New Roman" w:cs="Times New Roman"/>
          <w:bCs/>
          <w:sz w:val="24"/>
          <w:szCs w:val="24"/>
          <w:lang w:eastAsia="sk-SK"/>
        </w:rPr>
        <w:t>Tabuľka č. 3.4.</w:t>
      </w:r>
    </w:p>
    <w:p w:rsidR="00AC2A0D" w:rsidP="00E91028">
      <w:pPr>
        <w:tabs>
          <w:tab w:val="num" w:pos="1080"/>
        </w:tabs>
        <w:bidi w:val="0"/>
        <w:spacing w:after="0" w:line="240" w:lineRule="auto"/>
        <w:ind w:right="-32"/>
        <w:jc w:val="right"/>
        <w:rPr>
          <w:rFonts w:ascii="Times New Roman" w:hAnsi="Times New Roman" w:cs="Times New Roman"/>
          <w:bCs/>
          <w:sz w:val="24"/>
          <w:szCs w:val="24"/>
          <w:lang w:eastAsia="sk-SK"/>
        </w:rPr>
      </w:pPr>
    </w:p>
    <w:p w:rsidR="00E91028" w:rsidP="00A3178E">
      <w:pPr>
        <w:tabs>
          <w:tab w:val="num" w:pos="1080"/>
        </w:tabs>
        <w:bidi w:val="0"/>
        <w:spacing w:after="0" w:line="240" w:lineRule="auto"/>
        <w:ind w:right="-32"/>
        <w:rPr>
          <w:rFonts w:ascii="Times New Roman" w:hAnsi="Times New Roman" w:cs="Times New Roman"/>
          <w:bCs/>
          <w:sz w:val="24"/>
          <w:szCs w:val="24"/>
          <w:lang w:eastAsia="sk-SK"/>
        </w:rPr>
      </w:pPr>
    </w:p>
    <w:tbl>
      <w:tblPr>
        <w:tblStyle w:val="TableGrid"/>
        <w:tblpPr w:leftFromText="141" w:rightFromText="141" w:vertAnchor="text" w:horzAnchor="margin" w:tblpY="-426"/>
        <w:tblW w:w="14029" w:type="dxa"/>
        <w:tblLook w:val="04A0"/>
      </w:tblPr>
      <w:tblGrid>
        <w:gridCol w:w="4957"/>
        <w:gridCol w:w="1417"/>
        <w:gridCol w:w="1559"/>
        <w:gridCol w:w="1560"/>
        <w:gridCol w:w="1559"/>
        <w:gridCol w:w="2977"/>
      </w:tblGrid>
      <w:tr>
        <w:tblPrEx>
          <w:tblW w:w="14029" w:type="dxa"/>
          <w:tblLook w:val="04A0"/>
        </w:tblPrEx>
        <w:tc>
          <w:tcPr>
            <w:tcW w:w="495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D55BB" w:rsidP="008D55BB">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(v eurách)</w:t>
            </w:r>
          </w:p>
        </w:tc>
        <w:tc>
          <w:tcPr>
            <w:tcW w:w="6095"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P="008D55BB">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Vplyv na rozpočet verejnej správy</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D55BB" w:rsidP="008D55BB">
            <w:pPr>
              <w:tabs>
                <w:tab w:val="num" w:pos="1080"/>
              </w:tabs>
              <w:bidi w:val="0"/>
              <w:spacing w:after="0" w:line="240" w:lineRule="auto"/>
              <w:jc w:val="center"/>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poznámka</w:t>
            </w:r>
          </w:p>
        </w:tc>
      </w:tr>
      <w:tr>
        <w:tblPrEx>
          <w:tblW w:w="14029" w:type="dxa"/>
          <w:tblLook w:val="04A0"/>
        </w:tblPrEx>
        <w:tc>
          <w:tcPr>
            <w:tcW w:w="495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P="008D55BB">
            <w:pPr>
              <w:tabs>
                <w:tab w:val="num" w:pos="1080"/>
              </w:tabs>
              <w:bidi w:val="0"/>
              <w:spacing w:after="0" w:line="240" w:lineRule="auto"/>
              <w:jc w:val="both"/>
              <w:rPr>
                <w:rFonts w:ascii="Times New Roman" w:hAnsi="Times New Roman" w:cs="Times New Roman"/>
                <w:bCs/>
                <w:sz w:val="24"/>
                <w:szCs w:val="20"/>
                <w:lang w:eastAsia="sk-SK"/>
              </w:rPr>
            </w:pP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RPr="00526826" w:rsidP="008D55BB">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6</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RPr="00526826" w:rsidP="008D55BB">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7</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RPr="00526826" w:rsidP="008D55BB">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201</w:t>
            </w:r>
            <w:r>
              <w:rPr>
                <w:rFonts w:ascii="Times New Roman" w:hAnsi="Times New Roman" w:cs="Times New Roman"/>
                <w:b/>
                <w:bCs/>
                <w:sz w:val="24"/>
                <w:szCs w:val="20"/>
                <w:lang w:eastAsia="sk-SK"/>
              </w:rPr>
              <w:t>8</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RPr="00526826" w:rsidP="008D55BB">
            <w:pPr>
              <w:tabs>
                <w:tab w:val="num" w:pos="1080"/>
              </w:tabs>
              <w:bidi w:val="0"/>
              <w:spacing w:after="0" w:line="240" w:lineRule="auto"/>
              <w:jc w:val="center"/>
              <w:rPr>
                <w:rFonts w:ascii="Times New Roman" w:hAnsi="Times New Roman" w:cs="Times New Roman"/>
                <w:b/>
                <w:bCs/>
                <w:sz w:val="24"/>
                <w:szCs w:val="20"/>
                <w:lang w:eastAsia="sk-SK"/>
              </w:rPr>
            </w:pPr>
            <w:r w:rsidRPr="00526826">
              <w:rPr>
                <w:rFonts w:ascii="Times New Roman" w:hAnsi="Times New Roman" w:cs="Times New Roman"/>
                <w:b/>
                <w:bCs/>
                <w:sz w:val="24"/>
                <w:szCs w:val="20"/>
                <w:lang w:eastAsia="sk-SK"/>
              </w:rPr>
              <w:t>20</w:t>
            </w:r>
            <w:r>
              <w:rPr>
                <w:rFonts w:ascii="Times New Roman" w:hAnsi="Times New Roman" w:cs="Times New Roman"/>
                <w:b/>
                <w:bCs/>
                <w:sz w:val="24"/>
                <w:szCs w:val="20"/>
                <w:lang w:eastAsia="sk-SK"/>
              </w:rPr>
              <w:t>19</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D55BB" w:rsidP="008D55BB">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3178E" w:rsidP="00A3178E">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3178E" w:rsidRPr="00526826" w:rsidP="00A3178E">
            <w:pPr>
              <w:tabs>
                <w:tab w:val="num" w:pos="1080"/>
              </w:tabs>
              <w:bidi w:val="0"/>
              <w:spacing w:after="0" w:line="240" w:lineRule="auto"/>
              <w:jc w:val="center"/>
              <w:rPr>
                <w:rFonts w:ascii="Times New Roman" w:hAnsi="Times New Roman" w:cs="Times New Roman"/>
                <w:b/>
                <w:bCs/>
                <w:sz w:val="24"/>
                <w:szCs w:val="20"/>
                <w:lang w:eastAsia="sk-SK"/>
              </w:rPr>
            </w:pPr>
            <w:r w:rsidR="0075093A">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3178E" w:rsidRPr="00526826" w:rsidP="00A3178E">
            <w:pPr>
              <w:tabs>
                <w:tab w:val="num" w:pos="1080"/>
              </w:tabs>
              <w:bidi w:val="0"/>
              <w:spacing w:after="0" w:line="240" w:lineRule="auto"/>
              <w:jc w:val="center"/>
              <w:rPr>
                <w:rFonts w:ascii="Times New Roman" w:hAnsi="Times New Roman" w:cs="Times New Roman"/>
                <w:b/>
                <w:bCs/>
                <w:sz w:val="24"/>
                <w:szCs w:val="20"/>
                <w:lang w:eastAsia="sk-SK"/>
              </w:rPr>
            </w:pPr>
            <w:r w:rsidR="0075093A">
              <w:rPr>
                <w:rFonts w:ascii="Times New Roman" w:hAnsi="Times New Roman" w:cs="Times New Roman"/>
                <w:b/>
                <w:bCs/>
                <w:sz w:val="24"/>
                <w:szCs w:val="20"/>
                <w:lang w:eastAsia="sk-SK"/>
              </w:rPr>
              <w:t>-13 400 000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3178E" w:rsidRPr="00A3178E" w:rsidP="00A3178E">
            <w:pPr>
              <w:tabs>
                <w:tab w:val="num" w:pos="1080"/>
              </w:tabs>
              <w:bidi w:val="0"/>
              <w:spacing w:after="0" w:line="240" w:lineRule="auto"/>
              <w:jc w:val="center"/>
              <w:rPr>
                <w:rFonts w:ascii="Times New Roman" w:hAnsi="Times New Roman" w:cs="Times New Roman"/>
                <w:b/>
                <w:bCs/>
                <w:sz w:val="24"/>
                <w:szCs w:val="20"/>
                <w:lang w:eastAsia="sk-SK"/>
              </w:rPr>
            </w:pPr>
            <w:r w:rsidR="0075093A">
              <w:rPr>
                <w:rFonts w:ascii="Times New Roman" w:hAnsi="Times New Roman" w:cs="Times New Roman"/>
                <w:b/>
                <w:bCs/>
                <w:sz w:val="24"/>
                <w:szCs w:val="20"/>
                <w:lang w:eastAsia="sk-SK"/>
              </w:rPr>
              <w:t>-20 600 000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3178E" w:rsidRPr="00A3178E" w:rsidP="00A3178E">
            <w:pPr>
              <w:tabs>
                <w:tab w:val="num" w:pos="1080"/>
              </w:tabs>
              <w:bidi w:val="0"/>
              <w:spacing w:after="0" w:line="240" w:lineRule="auto"/>
              <w:jc w:val="center"/>
              <w:rPr>
                <w:rFonts w:ascii="Times New Roman" w:hAnsi="Times New Roman" w:cs="Times New Roman"/>
                <w:b/>
                <w:bCs/>
                <w:sz w:val="24"/>
                <w:szCs w:val="20"/>
                <w:lang w:eastAsia="sk-SK"/>
              </w:rPr>
            </w:pPr>
            <w:r w:rsidR="00167882">
              <w:rPr>
                <w:rFonts w:ascii="Times New Roman" w:hAnsi="Times New Roman" w:cs="Times New Roman"/>
                <w:b/>
                <w:bCs/>
                <w:sz w:val="24"/>
                <w:szCs w:val="20"/>
                <w:lang w:eastAsia="sk-SK"/>
              </w:rPr>
              <w:t>-24 600 000</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3178E" w:rsidP="00A3178E">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Cs/>
                <w:sz w:val="24"/>
                <w:szCs w:val="20"/>
                <w:lang w:eastAsia="sk-SK"/>
              </w:rPr>
              <w:t>Zmena limitu uplatnenia paušálnych výdavkov</w:t>
            </w: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7D5748" w:rsidP="0075093A">
            <w:pPr>
              <w:tabs>
                <w:tab w:val="num" w:pos="1080"/>
              </w:tabs>
              <w:bidi w:val="0"/>
              <w:spacing w:after="0" w:line="240" w:lineRule="auto"/>
              <w:jc w:val="both"/>
              <w:rPr>
                <w:rFonts w:ascii="Times New Roman" w:hAnsi="Times New Roman" w:cs="Times New Roman"/>
                <w:b/>
                <w:bCs/>
                <w:sz w:val="24"/>
                <w:szCs w:val="24"/>
                <w:lang w:eastAsia="sk-SK"/>
              </w:rPr>
            </w:pPr>
            <w:r>
              <w:rPr>
                <w:rFonts w:ascii="Times New Roman" w:hAnsi="Times New Roman" w:cs="Times New Roman"/>
                <w:b/>
                <w:bCs/>
                <w:sz w:val="24"/>
                <w:szCs w:val="24"/>
                <w:lang w:eastAsia="sk-SK"/>
              </w:rPr>
              <w:t>DPFO (111)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-13 400 000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A3178E" w:rsidP="0075093A">
            <w:pPr>
              <w:tabs>
                <w:tab w:val="num" w:pos="1080"/>
              </w:tabs>
              <w:bidi w:val="0"/>
              <w:spacing w:after="0" w:line="240" w:lineRule="auto"/>
              <w:jc w:val="center"/>
              <w:rPr>
                <w:rFonts w:ascii="Times New Roman" w:hAnsi="Times New Roman" w:cs="Times New Roman"/>
                <w:b/>
                <w:bCs/>
                <w:sz w:val="24"/>
                <w:szCs w:val="20"/>
                <w:lang w:eastAsia="sk-SK"/>
              </w:rPr>
            </w:pPr>
            <w:r w:rsidRPr="00A3178E">
              <w:rPr>
                <w:rFonts w:ascii="Times New Roman" w:hAnsi="Times New Roman" w:cs="Times New Roman"/>
                <w:b/>
                <w:bCs/>
                <w:sz w:val="24"/>
                <w:szCs w:val="20"/>
                <w:lang w:eastAsia="sk-SK"/>
              </w:rPr>
              <w:t>-13 400 000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A3178E"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-13 400 000</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
                <w:bCs/>
                <w:sz w:val="24"/>
                <w:szCs w:val="24"/>
                <w:lang w:eastAsia="sk-SK"/>
              </w:rPr>
            </w:pPr>
            <w:r>
              <w:rPr>
                <w:rFonts w:ascii="Times New Roman" w:hAnsi="Times New Roman" w:cs="Times New Roman"/>
                <w:b/>
                <w:bCs/>
                <w:sz w:val="24"/>
                <w:szCs w:val="24"/>
                <w:lang w:eastAsia="sk-SK"/>
              </w:rPr>
              <w:t>Sociálne odvody (151 až 158 okrem 154)</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A3178E"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 xml:space="preserve">  </w:t>
            </w:r>
            <w:r w:rsidRPr="00A3178E">
              <w:rPr>
                <w:rFonts w:ascii="Times New Roman" w:hAnsi="Times New Roman" w:cs="Times New Roman"/>
                <w:b/>
                <w:bCs/>
                <w:sz w:val="24"/>
                <w:szCs w:val="20"/>
                <w:lang w:eastAsia="sk-SK"/>
              </w:rPr>
              <w:t>-3 600 000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A3178E"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 xml:space="preserve">  -7 600 000</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
                <w:bCs/>
                <w:sz w:val="24"/>
                <w:szCs w:val="24"/>
                <w:lang w:eastAsia="sk-SK"/>
              </w:rPr>
            </w:pPr>
            <w:r>
              <w:rPr>
                <w:rFonts w:ascii="Times New Roman" w:hAnsi="Times New Roman" w:cs="Times New Roman"/>
                <w:b/>
                <w:bCs/>
                <w:sz w:val="24"/>
                <w:szCs w:val="24"/>
                <w:lang w:eastAsia="sk-SK"/>
              </w:rPr>
              <w:t>Zdravotné odvody (154)</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A3178E"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 xml:space="preserve">  -3 600 000 </w:t>
            </w: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RPr="00A3178E"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 xml:space="preserve">  -3 600 000</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417"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60"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FFFF99"/>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r>
      <w:tr>
        <w:tblPrEx>
          <w:tblW w:w="14029" w:type="dxa"/>
          <w:tblLook w:val="04A0"/>
        </w:tblPrEx>
        <w:tc>
          <w:tcPr>
            <w:tcW w:w="495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
                <w:bCs/>
                <w:sz w:val="24"/>
                <w:szCs w:val="24"/>
                <w:lang w:eastAsia="sk-SK"/>
              </w:rPr>
              <w:t>Dopad na príjmy verejnej správy celkom</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-13 400 000</w:t>
            </w:r>
          </w:p>
        </w:tc>
        <w:tc>
          <w:tcPr>
            <w:tcW w:w="156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-20 600 000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5093A" w:rsidRPr="00526826" w:rsidP="0075093A">
            <w:pPr>
              <w:tabs>
                <w:tab w:val="num" w:pos="1080"/>
              </w:tabs>
              <w:bidi w:val="0"/>
              <w:spacing w:after="0" w:line="240" w:lineRule="auto"/>
              <w:jc w:val="center"/>
              <w:rPr>
                <w:rFonts w:ascii="Times New Roman" w:hAnsi="Times New Roman" w:cs="Times New Roman"/>
                <w:b/>
                <w:bCs/>
                <w:sz w:val="24"/>
                <w:szCs w:val="20"/>
                <w:lang w:eastAsia="sk-SK"/>
              </w:rPr>
            </w:pPr>
            <w:r>
              <w:rPr>
                <w:rFonts w:ascii="Times New Roman" w:hAnsi="Times New Roman" w:cs="Times New Roman"/>
                <w:b/>
                <w:bCs/>
                <w:sz w:val="24"/>
                <w:szCs w:val="20"/>
                <w:lang w:eastAsia="sk-SK"/>
              </w:rPr>
              <w:t>-24 600 000</w:t>
            </w:r>
          </w:p>
        </w:tc>
        <w:tc>
          <w:tcPr>
            <w:tcW w:w="2977"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5093A" w:rsidP="0075093A">
            <w:pPr>
              <w:tabs>
                <w:tab w:val="num" w:pos="1080"/>
              </w:tabs>
              <w:bidi w:val="0"/>
              <w:spacing w:after="0" w:line="240" w:lineRule="auto"/>
              <w:jc w:val="both"/>
              <w:rPr>
                <w:rFonts w:ascii="Times New Roman" w:hAnsi="Times New Roman" w:cs="Times New Roman"/>
                <w:bCs/>
                <w:sz w:val="24"/>
                <w:szCs w:val="20"/>
                <w:lang w:eastAsia="sk-SK"/>
              </w:rPr>
            </w:pPr>
          </w:p>
        </w:tc>
      </w:tr>
    </w:tbl>
    <w:p w:rsidR="008D55BB" w:rsidP="00E91028">
      <w:pPr>
        <w:tabs>
          <w:tab w:val="num" w:pos="1080"/>
        </w:tabs>
        <w:bidi w:val="0"/>
        <w:spacing w:after="0" w:line="240" w:lineRule="auto"/>
        <w:ind w:right="-32"/>
        <w:jc w:val="right"/>
        <w:rPr>
          <w:rFonts w:ascii="Times New Roman" w:hAnsi="Times New Roman" w:cs="Times New Roman"/>
          <w:bCs/>
          <w:sz w:val="24"/>
          <w:szCs w:val="24"/>
          <w:lang w:eastAsia="sk-SK"/>
        </w:rPr>
      </w:pPr>
    </w:p>
    <w:p w:rsidR="00E91028" w:rsidRPr="007D5748" w:rsidP="00A3178E">
      <w:pPr>
        <w:tabs>
          <w:tab w:val="num" w:pos="1080"/>
        </w:tabs>
        <w:bidi w:val="0"/>
        <w:spacing w:after="0" w:line="240" w:lineRule="auto"/>
        <w:ind w:right="-32"/>
        <w:jc w:val="right"/>
        <w:rPr>
          <w:rFonts w:ascii="Times New Roman" w:hAnsi="Times New Roman" w:cs="Times New Roman"/>
          <w:bCs/>
          <w:sz w:val="24"/>
          <w:szCs w:val="20"/>
          <w:lang w:eastAsia="sk-SK"/>
        </w:rPr>
      </w:pPr>
      <w:r w:rsidRPr="007D5748">
        <w:rPr>
          <w:rFonts w:ascii="Times New Roman" w:hAnsi="Times New Roman" w:cs="Times New Roman"/>
          <w:bCs/>
          <w:sz w:val="24"/>
          <w:szCs w:val="24"/>
          <w:lang w:eastAsia="sk-SK"/>
        </w:rPr>
        <w:t xml:space="preserve">Tabuľka č. 4 </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E91028" w:rsidRPr="007D5748" w:rsidP="00E9102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E91028" w:rsidRPr="004D77EC" w:rsidP="00E91028">
            <w:pPr>
              <w:bidi w:val="0"/>
              <w:spacing w:after="0" w:line="240" w:lineRule="auto"/>
              <w:jc w:val="center"/>
              <w:rPr>
                <w:rFonts w:ascii="Times New Roman" w:hAnsi="Times New Roman" w:cs="Times New Roman"/>
                <w:b/>
                <w:bCs/>
                <w:sz w:val="24"/>
                <w:szCs w:val="24"/>
                <w:lang w:eastAsia="sk-SK"/>
              </w:rPr>
            </w:pPr>
            <w:r w:rsidRPr="004D77EC">
              <w:rPr>
                <w:rFonts w:ascii="Times New Roman" w:hAnsi="Times New Roman" w:cs="Times New Roman"/>
                <w:b/>
                <w:bCs/>
                <w:sz w:val="24"/>
                <w:szCs w:val="24"/>
                <w:lang w:eastAsia="sk-SK"/>
              </w:rPr>
              <w:t>2016</w:t>
            </w:r>
          </w:p>
        </w:tc>
        <w:tc>
          <w:tcPr>
            <w:tcW w:w="1540" w:type="dxa"/>
            <w:tcBorders>
              <w:top w:val="nil"/>
              <w:left w:val="nil"/>
              <w:bottom w:val="single" w:sz="4" w:space="0" w:color="auto"/>
              <w:right w:val="single" w:sz="4" w:space="0" w:color="auto"/>
            </w:tcBorders>
            <w:shd w:val="clear" w:color="auto" w:fill="BFBFBF"/>
            <w:textDirection w:val="lrTb"/>
            <w:vAlign w:val="top"/>
          </w:tcPr>
          <w:p w:rsidR="00E91028" w:rsidRPr="004D77EC" w:rsidP="00E91028">
            <w:pPr>
              <w:bidi w:val="0"/>
              <w:spacing w:after="0" w:line="240" w:lineRule="auto"/>
              <w:jc w:val="center"/>
              <w:rPr>
                <w:rFonts w:ascii="Times New Roman" w:hAnsi="Times New Roman" w:cs="Times New Roman"/>
                <w:b/>
                <w:bCs/>
                <w:sz w:val="24"/>
                <w:szCs w:val="24"/>
                <w:lang w:eastAsia="sk-SK"/>
              </w:rPr>
            </w:pPr>
            <w:r w:rsidRPr="004D77EC">
              <w:rPr>
                <w:rFonts w:ascii="Times New Roman" w:hAnsi="Times New Roman" w:cs="Times New Roman"/>
                <w:b/>
                <w:bCs/>
                <w:sz w:val="24"/>
                <w:szCs w:val="24"/>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E91028" w:rsidRPr="004D77EC" w:rsidP="00E91028">
            <w:pPr>
              <w:bidi w:val="0"/>
              <w:spacing w:after="0" w:line="240" w:lineRule="auto"/>
              <w:jc w:val="center"/>
              <w:rPr>
                <w:rFonts w:ascii="Times New Roman" w:hAnsi="Times New Roman" w:cs="Times New Roman"/>
                <w:b/>
                <w:bCs/>
                <w:sz w:val="24"/>
                <w:szCs w:val="24"/>
                <w:lang w:eastAsia="sk-SK"/>
              </w:rPr>
            </w:pPr>
            <w:r w:rsidRPr="004D77EC">
              <w:rPr>
                <w:rFonts w:ascii="Times New Roman" w:hAnsi="Times New Roman" w:cs="Times New Roman"/>
                <w:b/>
                <w:bCs/>
                <w:sz w:val="24"/>
                <w:szCs w:val="24"/>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E91028" w:rsidRPr="007D5748" w:rsidP="00E91028">
            <w:pPr>
              <w:bidi w:val="0"/>
              <w:spacing w:after="0" w:line="240" w:lineRule="auto"/>
              <w:rPr>
                <w:rFonts w:ascii="Times New Roman" w:hAnsi="Times New Roman" w:cs="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sz w:val="20"/>
                <w:szCs w:val="20"/>
                <w:vertAlign w:val="superscript"/>
                <w:lang w:eastAsia="sk-SK"/>
              </w:rPr>
            </w:pPr>
            <w:r w:rsidRPr="007D5748">
              <w:rPr>
                <w:rFonts w:ascii="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sz w:val="20"/>
                <w:szCs w:val="20"/>
                <w:vertAlign w:val="superscript"/>
                <w:lang w:eastAsia="sk-SK"/>
              </w:rPr>
            </w:pPr>
            <w:r w:rsidRPr="007D5748">
              <w:rPr>
                <w:rFonts w:ascii="Times New Roman" w:hAnsi="Times New Roman" w:cs="Times New Roman"/>
                <w:sz w:val="20"/>
                <w:szCs w:val="20"/>
                <w:lang w:eastAsia="sk-SK"/>
              </w:rPr>
              <w:t xml:space="preserve">  Tovary a služby (630)</w:t>
            </w:r>
            <w:r w:rsidRPr="007D574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Bežné transfery (640)</w:t>
            </w:r>
            <w:r w:rsidRPr="007D574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E91028" w:rsidRPr="007D5748" w:rsidP="00E91028">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Splácanie úrokov a ostatné platby súvisiace s </w:t>
            </w:r>
            <w:r>
              <w:t xml:space="preserve"> </w:t>
            </w:r>
            <w:r w:rsidRPr="008D339D">
              <w:rPr>
                <w:rFonts w:ascii="Times New Roman" w:hAnsi="Times New Roman" w:cs="Times New Roman"/>
                <w:sz w:val="20"/>
                <w:szCs w:val="20"/>
                <w:lang w:eastAsia="sk-SK"/>
              </w:rPr>
              <w:t>úverom, pôžičkou, návratnou finančnou výpomocou a finančným prenájmom</w:t>
            </w:r>
            <w:r w:rsidRPr="007D5748">
              <w:rPr>
                <w:rFonts w:ascii="Times New Roman" w:hAnsi="Times New Roman" w:cs="Times New Roman"/>
                <w:sz w:val="20"/>
                <w:szCs w:val="20"/>
                <w:lang w:eastAsia="sk-SK"/>
              </w:rPr>
              <w:t xml:space="preserve"> (650)</w:t>
            </w:r>
            <w:r w:rsidRPr="007D574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Obstarávanie kapitálových aktív (710)</w:t>
            </w:r>
            <w:r w:rsidRPr="007D574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Kapitálové transfery (720)</w:t>
            </w:r>
            <w:r w:rsidRPr="007D574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bl>
    <w:p w:rsidR="00E91028" w:rsidRPr="007D5748" w:rsidP="00E91028">
      <w:pPr>
        <w:tabs>
          <w:tab w:val="num" w:pos="1080"/>
        </w:tabs>
        <w:bidi w:val="0"/>
        <w:spacing w:after="0" w:line="240" w:lineRule="auto"/>
        <w:ind w:left="-900"/>
        <w:jc w:val="both"/>
        <w:rPr>
          <w:rFonts w:ascii="Times New Roman" w:hAnsi="Times New Roman" w:cs="Times New Roman"/>
          <w:bCs/>
          <w:sz w:val="20"/>
          <w:szCs w:val="20"/>
          <w:lang w:eastAsia="sk-SK"/>
        </w:rPr>
      </w:pPr>
      <w:r w:rsidRPr="007D5748">
        <w:rPr>
          <w:rFonts w:ascii="Times New Roman" w:hAnsi="Times New Roman" w:cs="Times New Roman"/>
          <w:bCs/>
          <w:sz w:val="20"/>
          <w:szCs w:val="20"/>
          <w:lang w:eastAsia="sk-SK"/>
        </w:rPr>
        <w:t>2 –  výdavky rozpísať až do položiek platnej ekonomickej klasifikácie</w:t>
      </w:r>
    </w:p>
    <w:p w:rsidR="00E91028" w:rsidRPr="007D5748" w:rsidP="00E91028">
      <w:pPr>
        <w:tabs>
          <w:tab w:val="num" w:pos="1080"/>
        </w:tabs>
        <w:bidi w:val="0"/>
        <w:spacing w:after="0" w:line="240" w:lineRule="auto"/>
        <w:jc w:val="right"/>
        <w:rPr>
          <w:rFonts w:ascii="Times New Roman" w:hAnsi="Times New Roman" w:cs="Times New Roman"/>
          <w:bCs/>
          <w:sz w:val="24"/>
          <w:szCs w:val="20"/>
          <w:lang w:eastAsia="sk-SK"/>
        </w:rPr>
      </w:pPr>
      <w:r w:rsidRPr="007D5748">
        <w:rPr>
          <w:rFonts w:ascii="Times New Roman" w:hAnsi="Times New Roman" w:cs="Times New Roman"/>
          <w:bCs/>
          <w:sz w:val="24"/>
          <w:szCs w:val="24"/>
          <w:lang w:eastAsia="sk-SK"/>
        </w:rPr>
        <w:t xml:space="preserve">               Tabuľka č. 5 </w:t>
      </w:r>
    </w:p>
    <w:tbl>
      <w:tblPr>
        <w:tblStyle w:val="TableNormal"/>
        <w:tblW w:w="15434" w:type="dxa"/>
        <w:tblInd w:w="-784" w:type="dxa"/>
        <w:tblCellMar>
          <w:left w:w="70" w:type="dxa"/>
          <w:right w:w="70" w:type="dxa"/>
        </w:tblCellMar>
      </w:tblPr>
      <w:tblGrid>
        <w:gridCol w:w="6188"/>
        <w:gridCol w:w="1698"/>
        <w:gridCol w:w="1788"/>
        <w:gridCol w:w="2418"/>
        <w:gridCol w:w="1722"/>
        <w:gridCol w:w="162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2016</w:t>
            </w:r>
          </w:p>
        </w:tc>
        <w:tc>
          <w:tcPr>
            <w:tcW w:w="1788"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2017</w:t>
            </w:r>
          </w:p>
        </w:tc>
        <w:tc>
          <w:tcPr>
            <w:tcW w:w="2418"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2018</w:t>
            </w:r>
          </w:p>
        </w:tc>
        <w:tc>
          <w:tcPr>
            <w:tcW w:w="1722"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91028" w:rsidRPr="007D5748" w:rsidP="00E91028">
            <w:pPr>
              <w:bidi w:val="0"/>
              <w:spacing w:after="0" w:line="240" w:lineRule="auto"/>
              <w:rPr>
                <w:rFonts w:ascii="Times New Roman" w:hAnsi="Times New Roman" w:cs="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241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2418"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2418"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2418"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16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2418"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shd w:val="clear" w:color="auto" w:fill="BFBFBF"/>
            <w:noWrap/>
            <w:textDirection w:val="lrTb"/>
            <w:vAlign w:val="bottom"/>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241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241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241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2418"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E91028" w:rsidRPr="007D5748" w:rsidP="00E91028">
            <w:pPr>
              <w:bidi w:val="0"/>
              <w:spacing w:after="0" w:line="240" w:lineRule="auto"/>
              <w:jc w:val="center"/>
              <w:rPr>
                <w:rFonts w:ascii="Times New Roman" w:hAnsi="Times New Roman" w:cs="Times New Roman"/>
                <w:sz w:val="24"/>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c>
          <w:tcPr>
            <w:tcW w:w="1698"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c>
          <w:tcPr>
            <w:tcW w:w="2418"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c>
          <w:tcPr>
            <w:tcW w:w="1620"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E91028" w:rsidRPr="007D5748" w:rsidP="00E91028">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c>
          <w:tcPr>
            <w:tcW w:w="2418"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c>
          <w:tcPr>
            <w:tcW w:w="1620" w:type="dxa"/>
            <w:tcBorders>
              <w:top w:val="nil"/>
              <w:left w:val="nil"/>
              <w:bottom w:val="nil"/>
              <w:right w:val="nil"/>
            </w:tcBorders>
            <w:noWrap/>
            <w:textDirection w:val="lrTb"/>
            <w:vAlign w:val="bottom"/>
          </w:tcPr>
          <w:p w:rsidR="00E91028" w:rsidRPr="007D5748" w:rsidP="00E91028">
            <w:pPr>
              <w:bidi w:val="0"/>
              <w:spacing w:after="0" w:line="240" w:lineRule="auto"/>
              <w:rPr>
                <w:rFonts w:ascii="Times New Roman" w:hAnsi="Times New Roman" w:cs="Times New Roman"/>
                <w:sz w:val="24"/>
                <w:szCs w:val="24"/>
                <w:lang w:eastAsia="sk-SK"/>
              </w:rPr>
            </w:pPr>
          </w:p>
        </w:tc>
      </w:tr>
    </w:tbl>
    <w:p w:rsidR="002701F5" w:rsidP="00E91028">
      <w:pPr>
        <w:bidi w:val="0"/>
        <w:spacing w:after="0" w:line="240" w:lineRule="auto"/>
        <w:rPr>
          <w:rFonts w:ascii="Times New Roman" w:hAnsi="Times New Roman" w:cs="Times New Roman"/>
          <w:sz w:val="24"/>
          <w:szCs w:val="24"/>
          <w:lang w:eastAsia="sk-SK"/>
        </w:rPr>
        <w:sectPr w:rsidSect="002701F5">
          <w:pgSz w:w="16838" w:h="11906" w:orient="landscape"/>
          <w:pgMar w:top="1417" w:right="1417" w:bottom="1417" w:left="1417" w:header="708" w:footer="708" w:gutter="0"/>
          <w:lnNumType w:distance="0"/>
          <w:cols w:space="708"/>
          <w:noEndnote w:val="0"/>
          <w:bidi w:val="0"/>
          <w:docGrid w:linePitch="360"/>
        </w:sectPr>
      </w:pPr>
    </w:p>
    <w:tbl>
      <w:tblPr>
        <w:tblStyle w:val="TableNormal"/>
        <w:tblW w:w="15434" w:type="dxa"/>
        <w:tblInd w:w="-779" w:type="dxa"/>
        <w:tblCellMar>
          <w:left w:w="70" w:type="dxa"/>
          <w:right w:w="70" w:type="dxa"/>
        </w:tblCellMar>
      </w:tblPr>
      <w:tblGrid>
        <w:gridCol w:w="13814"/>
        <w:gridCol w:w="1620"/>
      </w:tblGrid>
      <w:tr>
        <w:tblPrEx>
          <w:tblW w:w="15434" w:type="dxa"/>
          <w:tblInd w:w="-779" w:type="dxa"/>
          <w:tblCellMar>
            <w:left w:w="70" w:type="dxa"/>
            <w:right w:w="70" w:type="dxa"/>
          </w:tblCellMar>
        </w:tblPrEx>
        <w:trPr>
          <w:trHeight w:val="255"/>
        </w:trPr>
        <w:tc>
          <w:tcPr>
            <w:tcW w:w="13814" w:type="dxa"/>
            <w:tcBorders>
              <w:top w:val="nil"/>
              <w:left w:val="nil"/>
              <w:bottom w:val="nil"/>
              <w:right w:val="nil"/>
            </w:tcBorders>
            <w:noWrap/>
            <w:textDirection w:val="lrTb"/>
            <w:vAlign w:val="top"/>
          </w:tcPr>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3535" w:rsidRPr="005A3535" w:rsidP="005A3535">
                  <w:pPr>
                    <w:bidi w:val="0"/>
                    <w:spacing w:after="0" w:line="240" w:lineRule="auto"/>
                    <w:jc w:val="center"/>
                    <w:rPr>
                      <w:rFonts w:ascii="Times New Roman" w:hAnsi="Times New Roman" w:cs="Times New Roman"/>
                      <w:b/>
                      <w:sz w:val="24"/>
                      <w:szCs w:val="24"/>
                    </w:rPr>
                  </w:pPr>
                  <w:r w:rsidRPr="005A3535">
                    <w:rPr>
                      <w:rFonts w:ascii="Times New Roman" w:hAnsi="Times New Roman" w:cs="Times New Roman"/>
                      <w:b/>
                      <w:sz w:val="24"/>
                      <w:szCs w:val="24"/>
                    </w:rPr>
                    <w:t xml:space="preserve">Analýza vplyvov na podnikateľské prostredie </w:t>
                  </w:r>
                </w:p>
                <w:p w:rsidR="005A3535" w:rsidRPr="005A3535" w:rsidP="005A3535">
                  <w:pPr>
                    <w:bidi w:val="0"/>
                    <w:spacing w:after="0" w:line="240" w:lineRule="auto"/>
                    <w:jc w:val="center"/>
                    <w:rPr>
                      <w:rFonts w:ascii="Times New Roman" w:hAnsi="Times New Roman" w:cs="Times New Roman"/>
                      <w:b/>
                      <w:sz w:val="24"/>
                      <w:szCs w:val="24"/>
                    </w:rPr>
                  </w:pPr>
                  <w:r w:rsidRPr="005A3535">
                    <w:rPr>
                      <w:rFonts w:ascii="Times New Roman" w:hAnsi="Times New Roman" w:cs="Times New Roman"/>
                      <w:b/>
                      <w:sz w:val="24"/>
                      <w:szCs w:val="24"/>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A3535" w:rsidRPr="005A3535" w:rsidP="005A3535">
                        <w:pPr>
                          <w:bidi w:val="0"/>
                          <w:spacing w:after="0" w:line="240" w:lineRule="auto"/>
                          <w:jc w:val="center"/>
                          <w:rPr>
                            <w:rFonts w:ascii="Times New Roman" w:hAnsi="Times New Roman" w:cs="Times New Roman"/>
                            <w:sz w:val="24"/>
                            <w:szCs w:val="24"/>
                          </w:rPr>
                        </w:pPr>
                        <w:r w:rsidRPr="005A3535">
                          <w:rPr>
                            <w:rFonts w:ascii="Segoe UI Symbol" w:eastAsia="MS Mincho" w:hAnsi="Segoe UI Symbol" w:cs="Segoe UI Symbol" w:hint="default"/>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A3535" w:rsidRPr="005A3535" w:rsidP="005A3535">
                        <w:pPr>
                          <w:bidi w:val="0"/>
                          <w:spacing w:after="0" w:line="240" w:lineRule="auto"/>
                          <w:jc w:val="center"/>
                          <w:rPr>
                            <w:rFonts w:ascii="Times New Roman" w:hAnsi="Times New Roman" w:cs="Times New Roman"/>
                            <w:sz w:val="24"/>
                            <w:szCs w:val="24"/>
                          </w:rPr>
                        </w:pPr>
                        <w:r w:rsidRPr="005A3535">
                          <w:rPr>
                            <w:rFonts w:ascii="Segoe UI Symbol" w:eastAsia="MS Mincho" w:hAnsi="Segoe UI Symbol" w:cs="Segoe UI Symbol" w:hint="default"/>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A3535" w:rsidRPr="005A3535" w:rsidP="005A3535">
                        <w:pPr>
                          <w:bidi w:val="0"/>
                          <w:spacing w:after="0" w:line="240" w:lineRule="auto"/>
                          <w:jc w:val="center"/>
                          <w:rPr>
                            <w:rFonts w:ascii="Times New Roman" w:hAnsi="Times New Roman" w:cs="Times New Roman"/>
                            <w:sz w:val="24"/>
                            <w:szCs w:val="24"/>
                          </w:rPr>
                        </w:pPr>
                        <w:r w:rsidRPr="005A3535">
                          <w:rPr>
                            <w:rFonts w:ascii="Segoe UI Symbol" w:eastAsia="MS Gothic" w:hAnsi="Segoe UI Symbol" w:cs="Segoe UI Symbol" w:hint="default"/>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A3535" w:rsidRPr="005A3535" w:rsidP="005A3535">
                        <w:pPr>
                          <w:bidi w:val="0"/>
                          <w:spacing w:after="0" w:line="240" w:lineRule="auto"/>
                          <w:rPr>
                            <w:rFonts w:ascii="Times New Roman" w:hAnsi="Times New Roman" w:cs="Times New Roman"/>
                            <w:sz w:val="24"/>
                            <w:szCs w:val="24"/>
                          </w:rPr>
                        </w:pPr>
                        <w:r w:rsidRPr="005A3535">
                          <w:rPr>
                            <w:rFonts w:ascii="Times New Roman" w:hAnsi="Times New Roman" w:cs="Times New Roman"/>
                            <w:b/>
                            <w:sz w:val="24"/>
                            <w:szCs w:val="24"/>
                          </w:rPr>
                          <w:t>na všetky kategórie podnikov</w:t>
                        </w:r>
                      </w:p>
                    </w:tc>
                  </w:tr>
                </w:tbl>
                <w:p w:rsidR="005A3535" w:rsidRPr="005A3535" w:rsidP="005A3535">
                  <w:pPr>
                    <w:bidi w:val="0"/>
                    <w:spacing w:after="0" w:line="240" w:lineRule="auto"/>
                    <w:rPr>
                      <w:rFonts w:ascii="Times New Roman" w:hAnsi="Times New Roman" w:cs="Times New Roman"/>
                      <w:b/>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3.1 Dotknuté podnikateľské subjekty</w:t>
                  </w:r>
                </w:p>
                <w:p w:rsidR="005A3535" w:rsidRPr="005A3535" w:rsidP="005A3535">
                  <w:pPr>
                    <w:bidi w:val="0"/>
                    <w:spacing w:after="0" w:line="240" w:lineRule="auto"/>
                    <w:ind w:left="284"/>
                    <w:rPr>
                      <w:rFonts w:ascii="Times New Roman" w:hAnsi="Times New Roman" w:cs="Times New Roman"/>
                      <w:b/>
                      <w:sz w:val="24"/>
                      <w:szCs w:val="24"/>
                    </w:rPr>
                  </w:pPr>
                  <w:r w:rsidRPr="005A3535">
                    <w:rPr>
                      <w:rFonts w:ascii="Times New Roman" w:hAnsi="Times New Roman" w:cs="Times New Roman"/>
                      <w:sz w:val="24"/>
                      <w:szCs w:val="24"/>
                    </w:rPr>
                    <w:t xml:space="preserve"> - </w:t>
                  </w:r>
                  <w:r w:rsidRPr="005A3535">
                    <w:rPr>
                      <w:rFonts w:ascii="Times New Roman" w:hAnsi="Times New Roman" w:cs="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Uveďte, aké podnikateľské subjekty budú predkladaným návrhom ovplyvnené.</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Predpokladá sa, že návrh zákona ovplyvní:</w:t>
                  </w:r>
                </w:p>
                <w:p w:rsidR="005A3535" w:rsidRPr="005A3535" w:rsidP="005A3535">
                  <w:pPr>
                    <w:pStyle w:val="ListParagraph"/>
                    <w:numPr>
                      <w:numId w:val="9"/>
                    </w:numPr>
                    <w:bidi w:val="0"/>
                    <w:spacing w:after="200" w:line="276" w:lineRule="auto"/>
                    <w:rPr>
                      <w:rFonts w:ascii="Times New Roman" w:hAnsi="Times New Roman"/>
                      <w:b/>
                    </w:rPr>
                  </w:pPr>
                  <w:r w:rsidRPr="005A3535">
                    <w:rPr>
                      <w:rFonts w:ascii="Times New Roman" w:hAnsi="Times New Roman"/>
                      <w:b/>
                    </w:rPr>
                    <w:t>všetky právnické osoby, ktoré sú povinné podať daňové priznanie k dani z príjmov</w:t>
                  </w:r>
                </w:p>
                <w:p w:rsidR="005A3535" w:rsidRPr="005A3535" w:rsidP="005A3535">
                  <w:pPr>
                    <w:pStyle w:val="ListParagraph"/>
                    <w:numPr>
                      <w:numId w:val="9"/>
                    </w:numPr>
                    <w:bidi w:val="0"/>
                    <w:spacing w:after="200" w:line="276" w:lineRule="auto"/>
                    <w:rPr>
                      <w:rFonts w:ascii="Times New Roman" w:hAnsi="Times New Roman"/>
                      <w:b/>
                    </w:rPr>
                  </w:pPr>
                  <w:r w:rsidRPr="005A3535">
                    <w:rPr>
                      <w:rFonts w:ascii="Times New Roman" w:hAnsi="Times New Roman"/>
                      <w:b/>
                    </w:rPr>
                    <w:t>fyzické osoby - samostatne zárobkovo činné osoby, ktoré dosahujú príjem z podielov na zisku (dividend) a iných príjmov (podiel na likvidačnom zostatku obchodnej spoločnosti, podiel na výsledku podnikania vyplácaný tichému spoločníkovi)</w:t>
                  </w:r>
                </w:p>
                <w:p w:rsidR="005A3535" w:rsidRPr="005A3535" w:rsidP="005A3535">
                  <w:pPr>
                    <w:pStyle w:val="ListParagraph"/>
                    <w:numPr>
                      <w:numId w:val="9"/>
                    </w:numPr>
                    <w:bidi w:val="0"/>
                    <w:spacing w:after="200" w:line="276" w:lineRule="auto"/>
                    <w:rPr>
                      <w:rFonts w:ascii="Times New Roman" w:hAnsi="Times New Roman"/>
                      <w:b/>
                    </w:rPr>
                  </w:pPr>
                  <w:r w:rsidRPr="005A3535">
                    <w:rPr>
                      <w:rFonts w:ascii="Times New Roman" w:hAnsi="Times New Roman"/>
                      <w:b/>
                    </w:rPr>
                    <w:t>fyzické osoby- samostatne zárobkovo činné osoby, ktoré uplatňujú výdavky percentom z príjmov</w:t>
                  </w:r>
                </w:p>
                <w:p w:rsidR="005A3535" w:rsidRPr="005A3535" w:rsidP="005A3535">
                  <w:pPr>
                    <w:pStyle w:val="ListParagraph"/>
                    <w:numPr>
                      <w:numId w:val="9"/>
                    </w:numPr>
                    <w:bidi w:val="0"/>
                    <w:spacing w:after="200" w:line="276" w:lineRule="auto"/>
                    <w:rPr>
                      <w:rFonts w:ascii="Times New Roman" w:hAnsi="Times New Roman"/>
                      <w:b/>
                    </w:rPr>
                  </w:pPr>
                  <w:r w:rsidRPr="005A3535">
                    <w:rPr>
                      <w:rFonts w:ascii="Times New Roman" w:hAnsi="Times New Roman"/>
                      <w:b/>
                    </w:rPr>
                    <w:t>fyzických a právnických osôb, ktoré budú poskytovať humanitárnu pomoc do zahraničia na základe darovacej zmluvy uzatvorenej z Ministerstvom vnútra SR,</w:t>
                  </w:r>
                </w:p>
                <w:p w:rsidR="005A3535" w:rsidRPr="005A3535" w:rsidP="005A3535">
                  <w:pPr>
                    <w:pStyle w:val="ListParagraph"/>
                    <w:numPr>
                      <w:numId w:val="9"/>
                    </w:numPr>
                    <w:bidi w:val="0"/>
                    <w:spacing w:after="200" w:line="276" w:lineRule="auto"/>
                    <w:rPr>
                      <w:rFonts w:ascii="Times New Roman" w:hAnsi="Times New Roman"/>
                      <w:b/>
                    </w:rPr>
                  </w:pPr>
                  <w:r w:rsidRPr="005A3535">
                    <w:rPr>
                      <w:rFonts w:ascii="Times New Roman" w:hAnsi="Times New Roman"/>
                      <w:b/>
                    </w:rPr>
                    <w:t>právnické osoby, ktoré dosahujú príjem z podielov na zisku (dividend) a iných príjmov  (podiel na likvidačnom zostatku obchodnej spoločnosti, podiel na výsledku podnikania vyplácaný tichému spoločníkovi) plynúcich z nezmluvného štátu</w:t>
                  </w:r>
                </w:p>
                <w:p w:rsidR="005A3535" w:rsidRPr="005A3535" w:rsidP="005A3535">
                  <w:pPr>
                    <w:pStyle w:val="ListParagraph"/>
                    <w:numPr>
                      <w:numId w:val="9"/>
                    </w:numPr>
                    <w:bidi w:val="0"/>
                    <w:spacing w:after="200" w:line="276" w:lineRule="auto"/>
                    <w:rPr>
                      <w:rFonts w:ascii="Times New Roman" w:hAnsi="Times New Roman"/>
                      <w:b/>
                    </w:rPr>
                  </w:pPr>
                  <w:r w:rsidRPr="005A3535">
                    <w:rPr>
                      <w:rFonts w:ascii="Times New Roman" w:hAnsi="Times New Roman"/>
                      <w:b/>
                    </w:rPr>
                    <w:t>subjekty podliehajúce zákonu o riešení krízových situácií na finančnom trhu</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b/>
                      <w:sz w:val="24"/>
                      <w:szCs w:val="24"/>
                    </w:rPr>
                    <w:t>Počet dotknutých subjektov nie je možné presne určiť.</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3.2 Vyhodnotenie konzultácií</w:t>
                  </w:r>
                </w:p>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sz w:val="24"/>
                      <w:szCs w:val="24"/>
                    </w:rPr>
                    <w:t xml:space="preserve">       - </w:t>
                  </w:r>
                  <w:r w:rsidRPr="005A3535">
                    <w:rPr>
                      <w:rFonts w:ascii="Times New Roman" w:hAnsi="Times New Roman" w:cs="Times New Roman"/>
                      <w:b/>
                      <w:sz w:val="24"/>
                      <w:szCs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Uveďte, akou formou (verejné alebo cielené konzultácie a prečo) a s kým bol návrh konzultovaný.</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Ako dlho trvali konzultácie?</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Konzultácie sa uskutočnili formou osobných stretnutí. Vznesené pripomienky boli prediskutované so záverom, že budú predložené zúčastnenými v rámci medzirezortného pripomienkového konania.</w:t>
                  </w:r>
                </w:p>
                <w:p w:rsidR="005A3535" w:rsidRPr="005A3535" w:rsidP="005A3535">
                  <w:pPr>
                    <w:bidi w:val="0"/>
                    <w:spacing w:after="0" w:line="240" w:lineRule="auto"/>
                    <w:jc w:val="both"/>
                    <w:rPr>
                      <w:rFonts w:ascii="Times New Roman" w:hAnsi="Times New Roman" w:cs="Times New Roman"/>
                      <w:sz w:val="24"/>
                      <w:szCs w:val="24"/>
                    </w:rPr>
                  </w:pP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Konzultácií sa zúčastnili:</w:t>
                  </w:r>
                </w:p>
                <w:p w:rsidR="005A3535" w:rsidRPr="005A3535" w:rsidP="005A3535">
                  <w:pPr>
                    <w:pStyle w:val="ListParagraph"/>
                    <w:numPr>
                      <w:numId w:val="10"/>
                    </w:numPr>
                    <w:bidi w:val="0"/>
                    <w:spacing w:after="200" w:line="276" w:lineRule="auto"/>
                    <w:ind w:left="426"/>
                    <w:jc w:val="both"/>
                    <w:rPr>
                      <w:rFonts w:ascii="Times New Roman" w:hAnsi="Times New Roman"/>
                    </w:rPr>
                  </w:pPr>
                  <w:r w:rsidRPr="005A3535">
                    <w:rPr>
                      <w:rFonts w:ascii="Times New Roman" w:hAnsi="Times New Roman"/>
                      <w:b/>
                    </w:rPr>
                    <w:t>Slovenská banková asociácia – s pripomienkami</w:t>
                  </w:r>
                </w:p>
                <w:p w:rsidR="005A3535" w:rsidRPr="005A3535" w:rsidP="005A3535">
                  <w:pPr>
                    <w:pStyle w:val="ListParagraph"/>
                    <w:numPr>
                      <w:numId w:val="10"/>
                    </w:numPr>
                    <w:bidi w:val="0"/>
                    <w:spacing w:after="200" w:line="276" w:lineRule="auto"/>
                    <w:ind w:left="426"/>
                    <w:jc w:val="both"/>
                    <w:rPr>
                      <w:rFonts w:ascii="Times New Roman" w:hAnsi="Times New Roman"/>
                    </w:rPr>
                  </w:pPr>
                  <w:r w:rsidRPr="005A3535">
                    <w:rPr>
                      <w:rFonts w:ascii="Times New Roman" w:hAnsi="Times New Roman"/>
                      <w:b/>
                    </w:rPr>
                    <w:t>Slovenská asociácia správcovských spoločností – bez pripomienok k návrhu zákona</w:t>
                  </w:r>
                </w:p>
                <w:p w:rsidR="005A3535" w:rsidRPr="005A3535" w:rsidP="005A3535">
                  <w:pPr>
                    <w:pStyle w:val="ListParagraph"/>
                    <w:numPr>
                      <w:numId w:val="10"/>
                    </w:numPr>
                    <w:bidi w:val="0"/>
                    <w:spacing w:after="200" w:line="276" w:lineRule="auto"/>
                    <w:ind w:left="426"/>
                    <w:jc w:val="both"/>
                    <w:rPr>
                      <w:rFonts w:ascii="Times New Roman" w:hAnsi="Times New Roman"/>
                    </w:rPr>
                  </w:pPr>
                  <w:r w:rsidRPr="005A3535">
                    <w:rPr>
                      <w:rFonts w:ascii="Times New Roman" w:hAnsi="Times New Roman"/>
                      <w:b/>
                    </w:rPr>
                    <w:t>Republiková únia zamestnávateľov – s pripomienkami</w:t>
                  </w:r>
                </w:p>
                <w:p w:rsidR="005A3535" w:rsidRPr="005A3535" w:rsidP="005A3535">
                  <w:pPr>
                    <w:pStyle w:val="ListParagraph"/>
                    <w:numPr>
                      <w:numId w:val="10"/>
                    </w:numPr>
                    <w:bidi w:val="0"/>
                    <w:spacing w:after="200" w:line="276" w:lineRule="auto"/>
                    <w:ind w:left="426"/>
                    <w:jc w:val="both"/>
                    <w:rPr>
                      <w:rFonts w:ascii="Times New Roman" w:hAnsi="Times New Roman"/>
                    </w:rPr>
                  </w:pPr>
                  <w:r w:rsidRPr="005A3535">
                    <w:rPr>
                      <w:rFonts w:ascii="Times New Roman" w:hAnsi="Times New Roman"/>
                      <w:b/>
                    </w:rPr>
                    <w:t>Asociácia zamestnávateľských zväzov a združení SR a Americká obchodná komora – s pripomienkami</w:t>
                  </w:r>
                </w:p>
                <w:p w:rsidR="005A3535" w:rsidRPr="005A3535" w:rsidP="005A3535">
                  <w:pPr>
                    <w:pStyle w:val="ListParagraph"/>
                    <w:numPr>
                      <w:numId w:val="10"/>
                    </w:numPr>
                    <w:bidi w:val="0"/>
                    <w:spacing w:after="200" w:line="276" w:lineRule="auto"/>
                    <w:ind w:left="426"/>
                    <w:jc w:val="both"/>
                    <w:rPr>
                      <w:rFonts w:ascii="Times New Roman" w:hAnsi="Times New Roman"/>
                    </w:rPr>
                  </w:pPr>
                  <w:r w:rsidRPr="005A3535">
                    <w:rPr>
                      <w:rFonts w:ascii="Times New Roman" w:hAnsi="Times New Roman"/>
                      <w:b/>
                    </w:rPr>
                    <w:t>Slovenská komora daňových poradcov – s pripomienkami</w:t>
                  </w:r>
                </w:p>
                <w:p w:rsidR="005A3535" w:rsidRPr="005A3535" w:rsidP="005A3535">
                  <w:pPr>
                    <w:pStyle w:val="ListParagraph"/>
                    <w:numPr>
                      <w:numId w:val="10"/>
                    </w:numPr>
                    <w:bidi w:val="0"/>
                    <w:spacing w:after="200" w:line="276" w:lineRule="auto"/>
                    <w:ind w:left="426"/>
                    <w:jc w:val="both"/>
                    <w:rPr>
                      <w:rFonts w:ascii="Times New Roman" w:hAnsi="Times New Roman"/>
                    </w:rPr>
                  </w:pPr>
                  <w:r w:rsidRPr="005A3535">
                    <w:rPr>
                      <w:rFonts w:ascii="Times New Roman" w:hAnsi="Times New Roman"/>
                      <w:b/>
                    </w:rPr>
                    <w:t>Zväz automobilového priemyslu Slovenskej republiky – s pripomienkami</w:t>
                  </w:r>
                </w:p>
                <w:p w:rsidR="005A3535" w:rsidRPr="005A3535" w:rsidP="005A3535">
                  <w:pPr>
                    <w:pStyle w:val="ListParagraph"/>
                    <w:bidi w:val="0"/>
                    <w:ind w:left="426"/>
                    <w:jc w:val="both"/>
                    <w:rPr>
                      <w:rFonts w:ascii="Times New Roman" w:hAnsi="Times New Roman"/>
                      <w:i/>
                    </w:rPr>
                  </w:pPr>
                </w:p>
                <w:p w:rsidR="005A3535" w:rsidRPr="005A3535" w:rsidP="005A3535">
                  <w:pPr>
                    <w:pStyle w:val="ListParagraph"/>
                    <w:bidi w:val="0"/>
                    <w:ind w:left="29"/>
                    <w:jc w:val="both"/>
                    <w:rPr>
                      <w:rFonts w:ascii="Times New Roman" w:hAnsi="Times New Roman"/>
                      <w:b/>
                    </w:rPr>
                  </w:pPr>
                  <w:r w:rsidRPr="005A3535">
                    <w:rPr>
                      <w:rFonts w:ascii="Times New Roman" w:hAnsi="Times New Roman"/>
                      <w:b/>
                    </w:rPr>
                    <w:t>Konzultácie so Slovenskou bankovou asociáciou (SBA)</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Zástupcom SBA bol k návrhu novely zákona prednesený obsah návrhu, ku ktorému vzniesli nasledovné pripomienky:</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-uplatnenie príspevku na zabezpečenie účinného uplatnenia opatrení na riešenie krízových situácií (príspevky do Národného fondu) za daňový výdavok</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 úprava zákona o dani z príjmov v oblasti príslušenstva k pohľadávkam</w:t>
                  </w:r>
                </w:p>
                <w:p w:rsidR="005A3535" w:rsidRPr="005A3535" w:rsidP="005A3535">
                  <w:pPr>
                    <w:pStyle w:val="ListParagraph"/>
                    <w:bidi w:val="0"/>
                    <w:ind w:left="29"/>
                    <w:jc w:val="both"/>
                    <w:rPr>
                      <w:rFonts w:ascii="Times New Roman" w:hAnsi="Times New Roman"/>
                      <w:b/>
                    </w:rPr>
                  </w:pPr>
                </w:p>
                <w:p w:rsidR="005A3535" w:rsidRPr="005A3535" w:rsidP="005A3535">
                  <w:pPr>
                    <w:pStyle w:val="ListParagraph"/>
                    <w:bidi w:val="0"/>
                    <w:ind w:left="29"/>
                    <w:jc w:val="both"/>
                    <w:rPr>
                      <w:rFonts w:ascii="Times New Roman" w:hAnsi="Times New Roman"/>
                      <w:b/>
                    </w:rPr>
                  </w:pPr>
                  <w:r w:rsidRPr="005A3535">
                    <w:rPr>
                      <w:rFonts w:ascii="Times New Roman" w:hAnsi="Times New Roman"/>
                      <w:b/>
                    </w:rPr>
                    <w:t>Konzultácie s Republikovou úniou zamestnávateľov SR (RÚZ SR )</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Zástupcom RÚZ SR bol k návrhu novely zákona prednesený obsah návrhu, ku ktorému vzniesli nasledovné pripomienky:</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 odporučili zníženie navrhnutej výšky poplatkov za odsúhlasenie použitia metódy ocenenia, nakoľko suma 30 000 eur sa im zdá vysoká,</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 poukázali na skutočnosť, že pri nevyhovení žiadosti o odsúhlasenie metódy ocenenia by mal mať daňovník možnosť odvolať sa,</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-k spôsobu zdanenia podielov na zisku (dividend) fyzických osôb navrhli prehodnotiť ich zdaňovanie daňou vyberanou zrážkou z dôvodu zvýšenia administratívnej náročnosti spoločností vyplácajúcich tieto podiely na zisku (dividendy), pričom navrhli ich zdaňovať prostredníctvom podania daňového priznania jednotlivých daňovníkov – fyzických osôb,</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-poukázali na skutočnosť, že v predbežnej informácii bola pri zdanení podielov na zisku (dividendách)</w:t>
                    <w:br/>
                    <w:t xml:space="preserve"> -navrhovaná sadzba dane 10 % a v rámci medzirezortného pripomienkového konania sadzba dane vo výške 15 %,</w:t>
                  </w:r>
                </w:p>
                <w:p w:rsidR="005A3535" w:rsidRPr="005A3535" w:rsidP="005A3535">
                  <w:pPr>
                    <w:bidi w:val="0"/>
                    <w:spacing w:after="0" w:line="240" w:lineRule="auto"/>
                    <w:jc w:val="both"/>
                    <w:rPr>
                      <w:rFonts w:ascii="Times New Roman" w:hAnsi="Times New Roman" w:cs="Times New Roman"/>
                      <w:sz w:val="24"/>
                      <w:szCs w:val="24"/>
                    </w:rPr>
                  </w:pPr>
                </w:p>
                <w:p w:rsidR="005A3535" w:rsidRPr="005A3535" w:rsidP="005A3535">
                  <w:pPr>
                    <w:pStyle w:val="ListParagraph"/>
                    <w:bidi w:val="0"/>
                    <w:ind w:left="29"/>
                    <w:jc w:val="both"/>
                    <w:rPr>
                      <w:rFonts w:ascii="Times New Roman" w:hAnsi="Times New Roman"/>
                      <w:b/>
                    </w:rPr>
                  </w:pPr>
                  <w:r w:rsidRPr="005A3535">
                    <w:rPr>
                      <w:rFonts w:ascii="Times New Roman" w:hAnsi="Times New Roman"/>
                      <w:b/>
                    </w:rPr>
                    <w:t>Konzultácie s Asociácia zamestnávateľských zväzov a združení SR (AZZZ SR) a AmCham</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Zástupcom AZZZ SR bol k návrhu novely zákona prednesený obsah návrhu, ku ktorému vzniesli nasledovné pripomienky:</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 xml:space="preserve">- zavedeniu zdaňovania podielov na zisku (dividend) pri súčasnom zrušení zdravotných odvodov z týchto podielov na zisku (dividend) - vylúčenie podielov na zisku (dividend) z predmetu dane tak ako je to v súčasnosti považovali zástupcovia AZZZ SR za benefit v porovnaní s inými štátmi, ktorý bol kladne hodnotený zahraničnými subjektami – investormi. </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 zníženiu sadzby dane z príjmov právnických osôb na 21 % - zníženie sadzby dane hodnotili pozitívne.</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Podľa zástupcov AZZZ SR by bolo vhodnejšie namiesto zmien vykonaných v daňovej oblasti uskutočniť zmeny v odvodovej oblasti.</w:t>
                  </w:r>
                </w:p>
                <w:p w:rsidR="005A3535" w:rsidRPr="005A3535" w:rsidP="005A3535">
                  <w:pPr>
                    <w:bidi w:val="0"/>
                    <w:spacing w:after="0" w:line="240" w:lineRule="auto"/>
                    <w:jc w:val="both"/>
                    <w:rPr>
                      <w:rFonts w:ascii="Times New Roman" w:hAnsi="Times New Roman" w:cs="Times New Roman"/>
                      <w:sz w:val="24"/>
                      <w:szCs w:val="24"/>
                    </w:rPr>
                  </w:pP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 xml:space="preserve">Zástupca AmCham vzniesol na stretnutí iba pripomienku k zákonom ustanovenej odchýlke pri porušení princípu nezávislého vzťahu, pri ktorej je možné uplatňovať úľavu na dani podľa § 30a a§ 30b zákona o dani z príjmov. Zavedenie uvedenej odchýlky považuje AmCham za pozitívnu úpravu, avšak zákonom navrhovaná výška sa mu javí ako neefektívna, nakoľko percento aj absolútna suma nezodpovedá veľkosti podnikov, ktorých sa to týka. Zástupca AmCham navrhol uplatňovať rovnaký model ako sa uplatňuje v ČR, t.j. daňová úľava sa zníži o rovnaké percento, o aké si daňovník znížil daň. </w:t>
                  </w:r>
                </w:p>
                <w:p w:rsidR="005A3535" w:rsidRPr="005A3535" w:rsidP="005A3535">
                  <w:pPr>
                    <w:bidi w:val="0"/>
                    <w:spacing w:after="0" w:line="240" w:lineRule="auto"/>
                    <w:jc w:val="both"/>
                    <w:rPr>
                      <w:rFonts w:ascii="Times New Roman" w:hAnsi="Times New Roman" w:cs="Times New Roman"/>
                      <w:sz w:val="24"/>
                      <w:szCs w:val="24"/>
                    </w:rPr>
                  </w:pPr>
                </w:p>
                <w:p w:rsidR="005A3535" w:rsidRPr="005A3535" w:rsidP="005A3535">
                  <w:pPr>
                    <w:pStyle w:val="ListParagraph"/>
                    <w:bidi w:val="0"/>
                    <w:ind w:left="29"/>
                    <w:jc w:val="both"/>
                    <w:rPr>
                      <w:rFonts w:ascii="Times New Roman" w:hAnsi="Times New Roman"/>
                      <w:b/>
                    </w:rPr>
                  </w:pPr>
                  <w:r w:rsidRPr="005A3535">
                    <w:rPr>
                      <w:rFonts w:ascii="Times New Roman" w:hAnsi="Times New Roman"/>
                      <w:b/>
                    </w:rPr>
                    <w:t>Konzultácie so Slovenskou komorou daňových poradcov (SKDP) </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Zástupcom SKDP bol k návrhu novely zákona prednesený obsah návrhu, ku ktorému vzniesli nasledovné pripomienky:</w:t>
                  </w:r>
                </w:p>
                <w:p w:rsidR="005A3535" w:rsidRPr="005A3535" w:rsidP="005A3535">
                  <w:pPr>
                    <w:pStyle w:val="ListParagraph"/>
                    <w:numPr>
                      <w:numId w:val="11"/>
                    </w:numPr>
                    <w:bidi w:val="0"/>
                    <w:ind w:left="426"/>
                    <w:jc w:val="both"/>
                    <w:rPr>
                      <w:rFonts w:ascii="Times New Roman" w:hAnsi="Times New Roman"/>
                    </w:rPr>
                  </w:pPr>
                  <w:r w:rsidRPr="005A3535">
                    <w:rPr>
                      <w:rFonts w:ascii="Times New Roman" w:hAnsi="Times New Roman"/>
                    </w:rPr>
                    <w:t>zdaňovanie dividend považujú za komplexnejší prístup ako uplatňovanie zdravotných odvodov na dividendy, problém však vidia v navrhovanej sadzbe dane na zdaňovanie dividend (adekvátnu sadzbu dane si predstavujú vo výške 5 %), v neobmedzení výšky ich zdaňovania (v súčasnosti existuje strop pre platenie zdravotných odvodov) a v možnej retroaktivite,</w:t>
                  </w:r>
                </w:p>
                <w:p w:rsidR="005A3535" w:rsidRPr="005A3535" w:rsidP="005A3535">
                  <w:pPr>
                    <w:pStyle w:val="ListParagraph"/>
                    <w:numPr>
                      <w:numId w:val="11"/>
                    </w:numPr>
                    <w:bidi w:val="0"/>
                    <w:ind w:left="426"/>
                    <w:jc w:val="both"/>
                    <w:rPr>
                      <w:rFonts w:ascii="Times New Roman" w:hAnsi="Times New Roman"/>
                    </w:rPr>
                  </w:pPr>
                  <w:r w:rsidRPr="005A3535">
                    <w:rPr>
                      <w:rFonts w:ascii="Times New Roman" w:hAnsi="Times New Roman"/>
                    </w:rPr>
                    <w:t>v definícii kontrolovanej transakcie odporúčajú použiť iný pojem ako vzťah, upozornili na duplicitu uplatňovania podstaty nad formou v zákone o dani z príjmov aj v daňovom poriadku, upozornili na uplatnenie vyšších sankcií v prípade agresívneho daňového plánovania a možné následné zníženie sankcie, ak sa daňovník neodvolá, vidia ako obmedzovanie práv daňovníka a zároveň odporúčajú lepšiu previazanosť daňového poriadku a zákona o dani z príjmov,</w:t>
                  </w:r>
                </w:p>
                <w:p w:rsidR="005A3535" w:rsidRPr="005A3535" w:rsidP="005A3535">
                  <w:pPr>
                    <w:pStyle w:val="ListParagraph"/>
                    <w:numPr>
                      <w:numId w:val="11"/>
                    </w:numPr>
                    <w:bidi w:val="0"/>
                    <w:ind w:left="426"/>
                    <w:jc w:val="both"/>
                    <w:rPr>
                      <w:rFonts w:ascii="Times New Roman" w:hAnsi="Times New Roman"/>
                    </w:rPr>
                  </w:pPr>
                  <w:r w:rsidRPr="005A3535">
                    <w:rPr>
                      <w:rFonts w:ascii="Times New Roman" w:hAnsi="Times New Roman"/>
                    </w:rPr>
                    <w:t>v ustanovení upravujúcom daňové výdavky po zaplatení odporúčajú presnejšie identifikovať, čo sa rozumie pod právom na použitie (napr. priemyselné práva, autorské práva a pod.),</w:t>
                  </w:r>
                </w:p>
                <w:p w:rsidR="005A3535" w:rsidRPr="005A3535" w:rsidP="005A3535">
                  <w:pPr>
                    <w:pStyle w:val="ListParagraph"/>
                    <w:numPr>
                      <w:numId w:val="11"/>
                    </w:numPr>
                    <w:bidi w:val="0"/>
                    <w:ind w:left="426"/>
                    <w:jc w:val="both"/>
                    <w:rPr>
                      <w:rFonts w:ascii="Times New Roman" w:hAnsi="Times New Roman"/>
                    </w:rPr>
                  </w:pPr>
                  <w:r w:rsidRPr="005A3535">
                    <w:rPr>
                      <w:rFonts w:ascii="Times New Roman" w:hAnsi="Times New Roman"/>
                    </w:rPr>
                    <w:t>nad rámec novely zákona o dani z príjmov navrhli zvážiť oslobodenie kapitálových ziskov.</w:t>
                  </w:r>
                </w:p>
                <w:p w:rsidR="005A3535" w:rsidRPr="005A3535" w:rsidP="005A3535">
                  <w:pPr>
                    <w:bidi w:val="0"/>
                    <w:spacing w:after="0" w:line="240" w:lineRule="auto"/>
                    <w:jc w:val="both"/>
                    <w:rPr>
                      <w:rFonts w:ascii="Times New Roman" w:hAnsi="Times New Roman" w:cs="Times New Roman"/>
                      <w:sz w:val="24"/>
                      <w:szCs w:val="24"/>
                    </w:rPr>
                  </w:pPr>
                </w:p>
                <w:p w:rsidR="005A3535" w:rsidRPr="005A3535" w:rsidP="005A3535">
                  <w:pPr>
                    <w:pStyle w:val="ListParagraph"/>
                    <w:bidi w:val="0"/>
                    <w:ind w:left="29"/>
                    <w:jc w:val="both"/>
                    <w:rPr>
                      <w:rFonts w:ascii="Times New Roman" w:hAnsi="Times New Roman"/>
                      <w:b/>
                    </w:rPr>
                  </w:pPr>
                  <w:r w:rsidRPr="005A3535">
                    <w:rPr>
                      <w:rFonts w:ascii="Times New Roman" w:hAnsi="Times New Roman"/>
                      <w:b/>
                    </w:rPr>
                    <w:t>Konzultácie so Zväzom automobilového priemyslu (ZAP)</w:t>
                  </w:r>
                </w:p>
                <w:p w:rsidR="005A3535" w:rsidRPr="005A3535" w:rsidP="005A3535">
                  <w:pPr>
                    <w:bidi w:val="0"/>
                    <w:spacing w:after="0" w:line="240" w:lineRule="auto"/>
                    <w:jc w:val="both"/>
                    <w:rPr>
                      <w:rFonts w:ascii="Times New Roman" w:hAnsi="Times New Roman" w:cs="Times New Roman"/>
                      <w:sz w:val="24"/>
                      <w:szCs w:val="24"/>
                    </w:rPr>
                  </w:pPr>
                  <w:r w:rsidRPr="005A3535">
                    <w:rPr>
                      <w:rFonts w:ascii="Times New Roman" w:hAnsi="Times New Roman" w:cs="Times New Roman"/>
                      <w:sz w:val="24"/>
                      <w:szCs w:val="24"/>
                    </w:rPr>
                    <w:t>Zástupcom ZAP bol k návrhu novely zákona prednesený obsah návrhu, ku ktorému vzniesli nasledovné pripomienky:</w:t>
                  </w:r>
                </w:p>
                <w:p w:rsidR="005A3535" w:rsidRPr="005A3535" w:rsidP="005A3535">
                  <w:pPr>
                    <w:bidi w:val="0"/>
                    <w:spacing w:after="0" w:line="240" w:lineRule="auto"/>
                    <w:jc w:val="both"/>
                    <w:rPr>
                      <w:rFonts w:ascii="Times New Roman" w:hAnsi="Times New Roman" w:cs="Times New Roman"/>
                      <w:sz w:val="24"/>
                      <w:szCs w:val="24"/>
                    </w:rPr>
                  </w:pPr>
                </w:p>
                <w:p w:rsidR="005A3535" w:rsidRPr="005A3535" w:rsidP="005A3535">
                  <w:pPr>
                    <w:pStyle w:val="ListParagraph"/>
                    <w:numPr>
                      <w:numId w:val="11"/>
                    </w:numPr>
                    <w:bidi w:val="0"/>
                    <w:ind w:left="426"/>
                    <w:jc w:val="both"/>
                    <w:rPr>
                      <w:rFonts w:ascii="Times New Roman" w:hAnsi="Times New Roman"/>
                    </w:rPr>
                  </w:pPr>
                  <w:r w:rsidRPr="005A3535">
                    <w:rPr>
                      <w:rFonts w:ascii="Times New Roman" w:hAnsi="Times New Roman"/>
                    </w:rPr>
                    <w:t>zrušiť § 18a upravujúci pokuty v prípade agresívneho plánovania resp. preformulovať text s doplnením definície agresívneho daňového plánovania,</w:t>
                  </w:r>
                </w:p>
                <w:p w:rsidR="005A3535" w:rsidRPr="005A3535" w:rsidP="005A3535">
                  <w:pPr>
                    <w:pStyle w:val="ListParagraph"/>
                    <w:numPr>
                      <w:numId w:val="11"/>
                    </w:numPr>
                    <w:bidi w:val="0"/>
                    <w:ind w:left="426"/>
                    <w:jc w:val="both"/>
                    <w:rPr>
                      <w:rFonts w:ascii="Times New Roman" w:hAnsi="Times New Roman"/>
                    </w:rPr>
                  </w:pPr>
                  <w:r w:rsidRPr="005A3535">
                    <w:rPr>
                      <w:rFonts w:ascii="Times New Roman" w:hAnsi="Times New Roman"/>
                    </w:rPr>
                    <w:t>návrh, aby rozhodnutia o odsúhlasení použitia metódy ocenenia vydávalo Ministerstvo financií SR,</w:t>
                  </w:r>
                </w:p>
                <w:p w:rsidR="005A3535" w:rsidRPr="005A3535" w:rsidP="005A3535">
                  <w:pPr>
                    <w:pStyle w:val="ListParagraph"/>
                    <w:numPr>
                      <w:numId w:val="11"/>
                    </w:numPr>
                    <w:bidi w:val="0"/>
                    <w:ind w:left="426"/>
                    <w:jc w:val="both"/>
                    <w:rPr>
                      <w:rFonts w:ascii="Times New Roman" w:hAnsi="Times New Roman"/>
                    </w:rPr>
                  </w:pPr>
                  <w:r w:rsidRPr="005A3535">
                    <w:rPr>
                      <w:rFonts w:ascii="Times New Roman" w:hAnsi="Times New Roman"/>
                    </w:rPr>
                    <w:t>v § 30a ods. 9 a 30b ods. 9 navrhujú vypustiť stanovenie limitu v absolútnej hodnote, alternatívne zvýšiť  percentuálny limit odchýlky z 5 % na 10 % príp. navrhujú maximálnu výšku absolútnej odchýlky stanoviť v závislosti od kritérií ako je výška obratu, výška majetku resp. výška zaplatenej dane,</w:t>
                  </w:r>
                </w:p>
                <w:p w:rsidR="005A3535" w:rsidRPr="005A3535" w:rsidP="005A3535">
                  <w:pPr>
                    <w:pStyle w:val="ListParagraph"/>
                    <w:numPr>
                      <w:numId w:val="11"/>
                    </w:numPr>
                    <w:bidi w:val="0"/>
                    <w:ind w:left="426"/>
                    <w:jc w:val="both"/>
                    <w:rPr>
                      <w:rFonts w:ascii="Times New Roman" w:hAnsi="Times New Roman"/>
                    </w:rPr>
                  </w:pPr>
                  <w:r w:rsidRPr="005A3535">
                    <w:rPr>
                      <w:rFonts w:ascii="Times New Roman" w:hAnsi="Times New Roman"/>
                    </w:rPr>
                    <w:t xml:space="preserve">nad rámec novely zákona o dani z príjmov navrhujú vypustiť ustanovenie § 17 ods. 19 umožňujúce uplatnenie daňových výdavkov až po ich zaplatení z dôvodu neúmerného zaťažovania daňovníka na monitorovanie platieb, spresnenie daňových výdavkov na praktické vyučovanie v rámci duálneho vzdelávania a umožniť zákonný daňový odpis aj úverov poskytovaných lízingovými spoločnosťami, ktoré sú rovnocenné úverom poskytovanými bankami prípadne inými finančnými inštitúciami.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3.3 Náklady regulácie</w:t>
                  </w:r>
                </w:p>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sz w:val="24"/>
                      <w:szCs w:val="24"/>
                    </w:rPr>
                    <w:t xml:space="preserve">      - </w:t>
                  </w:r>
                  <w:r w:rsidRPr="005A3535">
                    <w:rPr>
                      <w:rFonts w:ascii="Times New Roman" w:hAnsi="Times New Roman" w:cs="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b/>
                      <w:i/>
                      <w:sz w:val="24"/>
                      <w:szCs w:val="24"/>
                    </w:rPr>
                  </w:pPr>
                  <w:r w:rsidRPr="005A3535">
                    <w:rPr>
                      <w:rFonts w:ascii="Times New Roman" w:hAnsi="Times New Roman" w:cs="Times New Roman"/>
                      <w:b/>
                      <w:i/>
                      <w:sz w:val="24"/>
                      <w:szCs w:val="24"/>
                    </w:rPr>
                    <w:t>3.3.1 Priame finančné náklady</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b/>
                      <w:i/>
                      <w:sz w:val="24"/>
                      <w:szCs w:val="24"/>
                    </w:rPr>
                  </w:pPr>
                </w:p>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 xml:space="preserve">Predpokladá sa zníženie priamych finančných nákladov v súvislosti so znížením sadzby dane z príjmov právnických osôb na 21 %. Zníženie sadzby DPPO z 22% na 21% bude mať pozitívny vplyv na podnikateľské prostredie v sume od 132 mil. eur v roku 2017 do 153 mil. eur v roku 2019. </w:t>
                  </w:r>
                </w:p>
                <w:p w:rsidR="005A3535" w:rsidRPr="005A3535" w:rsidP="005A3535">
                  <w:pPr>
                    <w:bidi w:val="0"/>
                    <w:spacing w:after="0" w:line="240" w:lineRule="auto"/>
                    <w:rPr>
                      <w:rFonts w:ascii="Times New Roman" w:hAnsi="Times New Roman" w:cs="Times New Roman"/>
                      <w:b/>
                      <w:sz w:val="24"/>
                      <w:szCs w:val="24"/>
                    </w:rPr>
                  </w:pPr>
                </w:p>
                <w:p w:rsidR="005A3535" w:rsidRPr="005A3535" w:rsidP="005A3535">
                  <w:pPr>
                    <w:bidi w:val="0"/>
                    <w:spacing w:after="0" w:line="240" w:lineRule="auto"/>
                    <w:jc w:val="both"/>
                    <w:rPr>
                      <w:rFonts w:ascii="Times New Roman" w:hAnsi="Times New Roman" w:cs="Times New Roman"/>
                      <w:b/>
                      <w:sz w:val="24"/>
                      <w:szCs w:val="24"/>
                    </w:rPr>
                  </w:pPr>
                  <w:r w:rsidRPr="005A3535">
                    <w:rPr>
                      <w:rFonts w:ascii="Times New Roman" w:hAnsi="Times New Roman" w:cs="Times New Roman"/>
                      <w:b/>
                      <w:sz w:val="24"/>
                      <w:szCs w:val="24"/>
                    </w:rPr>
                    <w:t xml:space="preserve">Negatívny vplyv sa očakáva z dôvodu zavedenia zdaňovania podielov na zisku (dividend) a iných príjmov podiel na likvidačnom zostatku obchodnej spoločnosti, podiel na výsledku podnikania vyplácaný tichému spoločníkovi) so súčasným zrušením zdravotných odvodov z uvedených príjmov, pričom touto úpravou zároveň dochádza  k zrušeniu maximálneho vymeriavacieho základu na platenie zdravotných odvodov.  Negatívny vplyv zdaňovania podielov na zisku (dividend) sa predpokladá u daňovníkov – právnických osôb s neobmedzenou daňovou povinnosťou, ak podiely na zisku (dividendy) budú plynúť od daňovníka z nezmluvného štátu. Uvedené sa vzťahuje aj na vyrovnací podiel, podiel na likvidačnom zostatku a podiel na výsledku hospodárenia tichého spoločníka. Rovnako sa predpokladá negatívny vplyv na fyzické osoby -  členov pozemkového spoločenstva s právnou subjektivitou na výnosoch a na majetku určenom na rozdelenie medzi členov pozemkového spoločenstva s právnou subjektivitou, ak výška podielu od príslušného pozemkového spoločenstva presahuje sumu 500 eur. </w:t>
                  </w:r>
                </w:p>
                <w:p w:rsidR="005A3535" w:rsidRPr="005A3535" w:rsidP="005A3535">
                  <w:pPr>
                    <w:bidi w:val="0"/>
                    <w:spacing w:after="0" w:line="240" w:lineRule="auto"/>
                    <w:jc w:val="both"/>
                    <w:rPr>
                      <w:rFonts w:ascii="Times New Roman" w:hAnsi="Times New Roman" w:cs="Times New Roman"/>
                      <w:b/>
                      <w:sz w:val="24"/>
                      <w:szCs w:val="24"/>
                    </w:rPr>
                  </w:pPr>
                  <w:r w:rsidRPr="005A3535">
                    <w:rPr>
                      <w:rFonts w:ascii="Times New Roman" w:hAnsi="Times New Roman" w:cs="Times New Roman"/>
                      <w:b/>
                      <w:sz w:val="24"/>
                      <w:szCs w:val="24"/>
                    </w:rPr>
                    <w:t>V prípade zavedenia zrážkovej dane z dividend a iných príjmov a súčasného zrušenia zdravotných odvodov z dividend nie sú dostupné údaje pre kvantifikáciu vplyvu na podnikateľské prostredie.</w:t>
                  </w:r>
                </w:p>
                <w:p w:rsidR="005A3535" w:rsidRPr="005A3535" w:rsidP="005A3535">
                  <w:pPr>
                    <w:bidi w:val="0"/>
                    <w:spacing w:after="0" w:line="240" w:lineRule="auto"/>
                    <w:jc w:val="both"/>
                    <w:rPr>
                      <w:rFonts w:ascii="Times New Roman" w:hAnsi="Times New Roman" w:cs="Times New Roman"/>
                      <w:b/>
                      <w:sz w:val="24"/>
                      <w:szCs w:val="24"/>
                    </w:rPr>
                  </w:pPr>
                </w:p>
                <w:p w:rsidR="005A3535" w:rsidRPr="005A3535" w:rsidP="005A3535">
                  <w:pPr>
                    <w:bidi w:val="0"/>
                    <w:spacing w:after="0" w:line="240" w:lineRule="auto"/>
                    <w:jc w:val="both"/>
                    <w:rPr>
                      <w:rFonts w:ascii="Times New Roman" w:hAnsi="Times New Roman" w:cs="Times New Roman"/>
                      <w:b/>
                      <w:sz w:val="24"/>
                      <w:szCs w:val="24"/>
                    </w:rPr>
                  </w:pPr>
                  <w:r w:rsidRPr="005A3535">
                    <w:rPr>
                      <w:rFonts w:ascii="Times New Roman" w:hAnsi="Times New Roman" w:cs="Times New Roman"/>
                      <w:b/>
                      <w:sz w:val="24"/>
                      <w:szCs w:val="24"/>
                    </w:rPr>
                    <w:t xml:space="preserve">Pozitívny vplyv sa očakáva z dôvodu zahrnutia príspevku na zabezpečenie účinného uplatňovania opatrení na riešenie krízových situácii do daňových výdavkov u daňovníkov, ktorí podliehajú povinnosti platenia tohto príspevku podľa zákona o riešení krízových situácii na finančnom trhu. </w:t>
                  </w:r>
                </w:p>
                <w:p w:rsidR="005A3535" w:rsidRPr="005A3535" w:rsidP="005A3535">
                  <w:pPr>
                    <w:bidi w:val="0"/>
                    <w:spacing w:after="0" w:line="240" w:lineRule="auto"/>
                    <w:jc w:val="both"/>
                    <w:rPr>
                      <w:rFonts w:ascii="Times New Roman" w:hAnsi="Times New Roman" w:cs="Times New Roman"/>
                      <w:b/>
                      <w:sz w:val="24"/>
                      <w:szCs w:val="24"/>
                    </w:rPr>
                  </w:pPr>
                </w:p>
                <w:p w:rsidR="005A3535" w:rsidRPr="005A3535" w:rsidP="005A3535">
                  <w:pPr>
                    <w:bidi w:val="0"/>
                    <w:spacing w:after="0" w:line="240" w:lineRule="auto"/>
                    <w:jc w:val="both"/>
                    <w:rPr>
                      <w:rFonts w:ascii="Times New Roman" w:hAnsi="Times New Roman" w:cs="Times New Roman"/>
                      <w:b/>
                      <w:sz w:val="24"/>
                      <w:szCs w:val="24"/>
                    </w:rPr>
                  </w:pPr>
                  <w:r w:rsidRPr="005A3535">
                    <w:rPr>
                      <w:rFonts w:ascii="Times New Roman" w:hAnsi="Times New Roman" w:cs="Times New Roman"/>
                      <w:b/>
                      <w:sz w:val="24"/>
                      <w:szCs w:val="24"/>
                    </w:rPr>
                    <w:t>Rovnako sa pozitívny vplyv očakáva u daňovníkov, ktorí poskytnú dar za účelom materiálnej humanitárnej pomoci do zahraničia na základe darovacej zmluvy uzatvorenej s Ministerstvo vnútra SR.</w:t>
                  </w:r>
                </w:p>
                <w:p w:rsidR="005A3535" w:rsidRPr="005A3535" w:rsidP="005A3535">
                  <w:pPr>
                    <w:bidi w:val="0"/>
                    <w:spacing w:after="0" w:line="240" w:lineRule="auto"/>
                    <w:rPr>
                      <w:rFonts w:ascii="Times New Roman" w:hAnsi="Times New Roman" w:cs="Times New Roman"/>
                      <w:b/>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b/>
                      <w:i/>
                      <w:sz w:val="24"/>
                      <w:szCs w:val="24"/>
                    </w:rPr>
                  </w:pPr>
                  <w:r w:rsidRPr="005A3535">
                    <w:rPr>
                      <w:rFonts w:ascii="Times New Roman" w:hAnsi="Times New Roman" w:cs="Times New Roman"/>
                      <w:b/>
                      <w:i/>
                      <w:sz w:val="24"/>
                      <w:szCs w:val="24"/>
                    </w:rPr>
                    <w:t>3.3.2 Nepriame finančné náklady</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b/>
                      <w:i/>
                      <w:sz w:val="24"/>
                      <w:szCs w:val="24"/>
                    </w:rPr>
                  </w:pPr>
                </w:p>
                <w:p w:rsidR="005A3535" w:rsidRPr="005A3535" w:rsidP="005A3535">
                  <w:pPr>
                    <w:bidi w:val="0"/>
                    <w:spacing w:after="0" w:line="240" w:lineRule="auto"/>
                    <w:rPr>
                      <w:rFonts w:ascii="Times New Roman" w:hAnsi="Times New Roman" w:cs="Times New Roman"/>
                      <w:b/>
                      <w:i/>
                      <w:sz w:val="24"/>
                      <w:szCs w:val="24"/>
                    </w:rPr>
                  </w:pPr>
                </w:p>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 xml:space="preserve">Predloženými návrhmi nedochádza k vzniku nepriamych nákladov zo strany podnikateľov. </w:t>
                  </w:r>
                </w:p>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Predkladaný návrh nezvyšuje náklady súvisiace so zamestnávaním.</w:t>
                  </w:r>
                </w:p>
                <w:p w:rsidR="005A3535" w:rsidRPr="005A3535" w:rsidP="005A3535">
                  <w:pPr>
                    <w:bidi w:val="0"/>
                    <w:spacing w:after="0" w:line="240" w:lineRule="auto"/>
                    <w:rPr>
                      <w:rFonts w:ascii="Times New Roman" w:hAnsi="Times New Roman" w:cs="Times New Roman"/>
                      <w:b/>
                      <w:sz w:val="24"/>
                      <w:szCs w:val="24"/>
                    </w:rPr>
                  </w:pPr>
                </w:p>
                <w:p w:rsidR="005A3535" w:rsidRPr="005A3535" w:rsidP="005A3535">
                  <w:pPr>
                    <w:bidi w:val="0"/>
                    <w:spacing w:after="0" w:line="240" w:lineRule="auto"/>
                    <w:rPr>
                      <w:rFonts w:ascii="Times New Roman" w:hAnsi="Times New Roman" w:cs="Times New Roman"/>
                      <w:b/>
                      <w:i/>
                      <w:sz w:val="24"/>
                      <w:szCs w:val="24"/>
                    </w:rPr>
                  </w:pPr>
                </w:p>
                <w:p w:rsidR="005A3535" w:rsidRPr="005A3535" w:rsidP="005A3535">
                  <w:pPr>
                    <w:bidi w:val="0"/>
                    <w:spacing w:after="0" w:line="240" w:lineRule="auto"/>
                    <w:rPr>
                      <w:rFonts w:ascii="Times New Roman" w:hAnsi="Times New Roman" w:cs="Times New Roman"/>
                      <w:b/>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b/>
                      <w:i/>
                      <w:sz w:val="24"/>
                      <w:szCs w:val="24"/>
                    </w:rPr>
                  </w:pPr>
                  <w:r w:rsidRPr="005A3535">
                    <w:rPr>
                      <w:rFonts w:ascii="Times New Roman" w:hAnsi="Times New Roman" w:cs="Times New Roman"/>
                      <w:b/>
                      <w:i/>
                      <w:sz w:val="24"/>
                      <w:szCs w:val="24"/>
                    </w:rPr>
                    <w:t>3.3.3 Administratívne náklady</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b/>
                      <w:i/>
                      <w:sz w:val="24"/>
                      <w:szCs w:val="24"/>
                    </w:rPr>
                  </w:pPr>
                </w:p>
                <w:p w:rsidR="005A3535" w:rsidRPr="005A3535" w:rsidP="005A3535">
                  <w:pPr>
                    <w:bidi w:val="0"/>
                    <w:spacing w:after="0" w:line="240" w:lineRule="auto"/>
                    <w:rPr>
                      <w:rFonts w:ascii="Times New Roman" w:hAnsi="Times New Roman" w:cs="Times New Roman"/>
                      <w:b/>
                      <w:i/>
                      <w:sz w:val="24"/>
                      <w:szCs w:val="24"/>
                    </w:rPr>
                  </w:pPr>
                  <w:r w:rsidRPr="005A3535">
                    <w:rPr>
                      <w:rFonts w:ascii="Times New Roman" w:hAnsi="Times New Roman" w:cs="Times New Roman"/>
                      <w:b/>
                      <w:i/>
                      <w:sz w:val="24"/>
                      <w:szCs w:val="24"/>
                    </w:rPr>
                    <w:t>Zavádza sa povinnosť oznamovať správcovi dane vykonanie korešpondujúcej úpravy pri nesprávnom vyčíslení základu dane medzi závislými osobami. Toto oznámenie sa podáva vždy v lehote na podanie daňového priznania alebo dodatočného daňového priznania a nepredstavuje osobitné finančné náklady daňových subjektov.</w:t>
                  </w:r>
                </w:p>
                <w:p w:rsidR="005A3535" w:rsidRPr="005A3535" w:rsidP="005A3535">
                  <w:pPr>
                    <w:bidi w:val="0"/>
                    <w:spacing w:after="0" w:line="240" w:lineRule="auto"/>
                    <w:rPr>
                      <w:rFonts w:ascii="Times New Roman" w:hAnsi="Times New Roman" w:cs="Times New Roman"/>
                      <w:b/>
                      <w:i/>
                      <w:sz w:val="24"/>
                      <w:szCs w:val="24"/>
                    </w:rPr>
                  </w:pPr>
                  <w:r w:rsidRPr="005A3535">
                    <w:rPr>
                      <w:rFonts w:ascii="Times New Roman" w:hAnsi="Times New Roman" w:cs="Times New Roman"/>
                      <w:b/>
                      <w:i/>
                      <w:sz w:val="24"/>
                      <w:szCs w:val="24"/>
                    </w:rPr>
                    <w:t xml:space="preserve"> </w:t>
                  </w:r>
                </w:p>
                <w:p w:rsidR="005A3535" w:rsidRPr="005A3535" w:rsidP="005A3535">
                  <w:pPr>
                    <w:bidi w:val="0"/>
                    <w:spacing w:after="0" w:line="240" w:lineRule="auto"/>
                    <w:rPr>
                      <w:rFonts w:ascii="Times New Roman" w:hAnsi="Times New Roman" w:cs="Times New Roman"/>
                      <w:b/>
                      <w:bCs/>
                      <w:sz w:val="24"/>
                      <w:szCs w:val="24"/>
                    </w:rPr>
                  </w:pPr>
                </w:p>
                <w:p w:rsidR="005A3535" w:rsidRPr="005A3535" w:rsidP="005A3535">
                  <w:pPr>
                    <w:bidi w:val="0"/>
                    <w:spacing w:after="0" w:line="240" w:lineRule="auto"/>
                    <w:rPr>
                      <w:rFonts w:ascii="Times New Roman" w:hAnsi="Times New Roman" w:cs="Times New Roman"/>
                      <w:b/>
                      <w:i/>
                      <w:sz w:val="24"/>
                      <w:szCs w:val="24"/>
                    </w:rPr>
                  </w:pPr>
                </w:p>
                <w:p w:rsidR="005A3535" w:rsidRPr="005A3535" w:rsidP="005A3535">
                  <w:pPr>
                    <w:bidi w:val="0"/>
                    <w:spacing w:after="0" w:line="240" w:lineRule="auto"/>
                    <w:rPr>
                      <w:rFonts w:ascii="Times New Roman" w:hAnsi="Times New Roman" w:cs="Times New Roman"/>
                      <w:b/>
                      <w:i/>
                      <w:sz w:val="24"/>
                      <w:szCs w:val="24"/>
                    </w:rPr>
                  </w:pPr>
                </w:p>
                <w:p w:rsidR="005A3535" w:rsidRPr="005A3535" w:rsidP="005A3535">
                  <w:pPr>
                    <w:bidi w:val="0"/>
                    <w:spacing w:after="0" w:line="240" w:lineRule="auto"/>
                    <w:rPr>
                      <w:rFonts w:ascii="Times New Roman" w:hAnsi="Times New Roman" w:cs="Times New Roman"/>
                      <w:b/>
                      <w:i/>
                      <w:sz w:val="24"/>
                      <w:szCs w:val="24"/>
                    </w:rPr>
                  </w:pPr>
                </w:p>
                <w:p w:rsidR="005A3535" w:rsidRPr="005A3535" w:rsidP="005A3535">
                  <w:pPr>
                    <w:bidi w:val="0"/>
                    <w:spacing w:after="0" w:line="240" w:lineRule="auto"/>
                    <w:rPr>
                      <w:rFonts w:ascii="Times New Roman" w:hAnsi="Times New Roman" w:cs="Times New Roman"/>
                      <w:b/>
                      <w:i/>
                      <w:sz w:val="24"/>
                      <w:szCs w:val="24"/>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b/>
                      <w:i/>
                      <w:sz w:val="24"/>
                      <w:szCs w:val="24"/>
                    </w:rPr>
                    <w:t>3.3.4 Súhrnná tabuľka nákladov regulácie</w:t>
                  </w:r>
                </w:p>
                <w:p w:rsidR="005A3535" w:rsidRPr="005A3535" w:rsidP="005A3535">
                  <w:pPr>
                    <w:bidi w:val="0"/>
                    <w:spacing w:after="0" w:line="240" w:lineRule="auto"/>
                    <w:rPr>
                      <w:rFonts w:ascii="Times New Roman" w:hAnsi="Times New Roman" w:cs="Times New Roman"/>
                      <w:i/>
                      <w:sz w:val="24"/>
                      <w:szCs w:val="24"/>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i/>
                            <w:sz w:val="24"/>
                            <w:szCs w:val="24"/>
                          </w:rPr>
                        </w:pPr>
                        <w:r w:rsidRPr="005A3535">
                          <w:rPr>
                            <w:rFonts w:ascii="Times New Roman" w:hAnsi="Times New Roman" w:cs="Times New Roman"/>
                            <w:i/>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i/>
                            <w:sz w:val="24"/>
                            <w:szCs w:val="24"/>
                          </w:rPr>
                        </w:pPr>
                        <w:r w:rsidRPr="005A3535">
                          <w:rPr>
                            <w:rFonts w:ascii="Times New Roman" w:hAnsi="Times New Roman" w:cs="Times New Roman"/>
                            <w:i/>
                            <w:sz w:val="24"/>
                            <w:szCs w:val="24"/>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i/>
                            <w:sz w:val="24"/>
                            <w:szCs w:val="24"/>
                          </w:rPr>
                        </w:pPr>
                        <w:r w:rsidRPr="005A3535">
                          <w:rPr>
                            <w:rFonts w:ascii="Times New Roman" w:hAnsi="Times New Roman" w:cs="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i/>
                            <w:sz w:val="24"/>
                            <w:szCs w:val="24"/>
                          </w:rPr>
                        </w:pPr>
                        <w:r w:rsidRPr="005A3535">
                          <w:rPr>
                            <w:rFonts w:ascii="Times New Roman" w:hAnsi="Times New Roman" w:cs="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i/>
                            <w:sz w:val="24"/>
                            <w:szCs w:val="24"/>
                          </w:rPr>
                        </w:pPr>
                        <w:r w:rsidRPr="005A3535">
                          <w:rPr>
                            <w:rFonts w:ascii="Times New Roman" w:hAnsi="Times New Roman" w:cs="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i/>
                            <w:sz w:val="24"/>
                            <w:szCs w:val="24"/>
                          </w:rPr>
                        </w:pPr>
                        <w:r w:rsidRPr="005A3535">
                          <w:rPr>
                            <w:rFonts w:ascii="Times New Roman" w:hAnsi="Times New Roman" w:cs="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i/>
                            <w:sz w:val="24"/>
                            <w:szCs w:val="24"/>
                          </w:rPr>
                        </w:pPr>
                        <w:r w:rsidRPr="005A3535">
                          <w:rPr>
                            <w:rFonts w:ascii="Times New Roman" w:hAnsi="Times New Roman" w:cs="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i/>
                            <w:sz w:val="24"/>
                            <w:szCs w:val="24"/>
                          </w:rPr>
                        </w:pPr>
                        <w:r w:rsidRPr="005A3535">
                          <w:rPr>
                            <w:rFonts w:ascii="Times New Roman" w:hAnsi="Times New Roman" w:cs="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b/>
                            <w:i/>
                            <w:sz w:val="24"/>
                            <w:szCs w:val="24"/>
                          </w:rPr>
                        </w:pPr>
                        <w:r w:rsidRPr="005A3535">
                          <w:rPr>
                            <w:rFonts w:ascii="Times New Roman" w:hAnsi="Times New Roman" w:cs="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b/>
                            <w:i/>
                            <w:sz w:val="24"/>
                            <w:szCs w:val="24"/>
                          </w:rPr>
                        </w:pPr>
                        <w:r w:rsidRPr="005A3535">
                          <w:rPr>
                            <w:rFonts w:ascii="Times New Roman" w:hAnsi="Times New Roman" w:cs="Times New Roman"/>
                            <w:b/>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jc w:val="center"/>
                          <w:rPr>
                            <w:rFonts w:ascii="Times New Roman" w:hAnsi="Times New Roman" w:cs="Times New Roman"/>
                            <w:b/>
                            <w:i/>
                            <w:sz w:val="24"/>
                            <w:szCs w:val="24"/>
                          </w:rPr>
                        </w:pPr>
                        <w:r w:rsidRPr="005A3535">
                          <w:rPr>
                            <w:rFonts w:ascii="Times New Roman" w:hAnsi="Times New Roman" w:cs="Times New Roman"/>
                            <w:b/>
                            <w:i/>
                            <w:sz w:val="24"/>
                            <w:szCs w:val="24"/>
                          </w:rPr>
                          <w:t>0</w:t>
                        </w:r>
                      </w:p>
                    </w:tc>
                  </w:tr>
                </w:tbl>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b/>
                      <w:sz w:val="24"/>
                      <w:szCs w:val="24"/>
                    </w:rPr>
                    <w:t>V prípade zavedenia zrážkovej dane z dividend a súčasného zrušenia zdravotných odvodov z dividend nie sú dostupné údaje pre kvantifikáciu vplyvu na podnikateľské prostredie a podnikateľa.</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3.4 Konkurencieschopnosť a správanie sa podnikov na trhu</w:t>
                  </w:r>
                </w:p>
                <w:p w:rsidR="005A3535" w:rsidRPr="005A3535" w:rsidP="005A3535">
                  <w:pPr>
                    <w:bidi w:val="0"/>
                    <w:spacing w:after="0" w:line="240" w:lineRule="auto"/>
                    <w:rPr>
                      <w:rFonts w:ascii="Times New Roman" w:hAnsi="Times New Roman" w:cs="Times New Roman"/>
                      <w:sz w:val="24"/>
                      <w:szCs w:val="24"/>
                    </w:rPr>
                  </w:pPr>
                  <w:r w:rsidRPr="005A3535">
                    <w:rPr>
                      <w:rFonts w:ascii="Times New Roman" w:hAnsi="Times New Roman" w:cs="Times New Roman"/>
                      <w:b/>
                      <w:sz w:val="24"/>
                      <w:szCs w:val="24"/>
                    </w:rPr>
                    <w:t xml:space="preserve">       </w:t>
                  </w:r>
                  <w:r w:rsidRPr="005A3535">
                    <w:rPr>
                      <w:rFonts w:ascii="Times New Roman" w:hAnsi="Times New Roman" w:cs="Times New Roman"/>
                      <w:sz w:val="24"/>
                      <w:szCs w:val="24"/>
                    </w:rPr>
                    <w:t xml:space="preserve">- </w:t>
                  </w:r>
                  <w:r w:rsidRPr="005A3535">
                    <w:rPr>
                      <w:rFonts w:ascii="Times New Roman" w:hAnsi="Times New Roman" w:cs="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Ako ovplyvní cenu alebo dostupnosť základných zdrojov (suroviny, mechanizmy, pracovná sila, energie atď.)?</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b/>
                      <w:sz w:val="24"/>
                      <w:szCs w:val="24"/>
                    </w:rPr>
                    <w:t>Nepredpokladá sa vplyv navrhovanej zmeny na konkurencieschopnosť a správanie podnikov na trhu</w:t>
                  </w:r>
                  <w:r w:rsidRPr="005A3535">
                    <w:rPr>
                      <w:rFonts w:ascii="Times New Roman" w:hAnsi="Times New Roman" w:cs="Times New Roman"/>
                      <w:sz w:val="24"/>
                      <w:szCs w:val="24"/>
                    </w:rPr>
                    <w: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 xml:space="preserve">3.5 Inovácie </w:t>
                  </w:r>
                </w:p>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sz w:val="24"/>
                      <w:szCs w:val="24"/>
                    </w:rPr>
                    <w:t xml:space="preserve">       - </w:t>
                  </w:r>
                  <w:r w:rsidRPr="005A3535">
                    <w:rPr>
                      <w:rFonts w:ascii="Times New Roman" w:hAnsi="Times New Roman" w:cs="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Uveďte, ako podporuje navrhovaná zmena inovácie.</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Zjednodušuje uvedenie alebo rozšírenie nových výrobných metód, technológií a výrobkov na trh?</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Uveďte, ako vplýva navrhovaná zmena na jednotlivé práva duševného vlastníctva (napr. patenty, ochranné známky, autorské práva, vlastníctvo know-how).</w:t>
                  </w:r>
                </w:p>
                <w:p w:rsidR="005A3535" w:rsidRPr="005A3535" w:rsidP="005A3535">
                  <w:pPr>
                    <w:bidi w:val="0"/>
                    <w:spacing w:after="0" w:line="240" w:lineRule="auto"/>
                    <w:rPr>
                      <w:rFonts w:ascii="Times New Roman" w:hAnsi="Times New Roman" w:cs="Times New Roman"/>
                      <w:i/>
                      <w:sz w:val="24"/>
                      <w:szCs w:val="24"/>
                    </w:rPr>
                  </w:pPr>
                  <w:r w:rsidRPr="005A3535">
                    <w:rPr>
                      <w:rFonts w:ascii="Times New Roman" w:hAnsi="Times New Roman" w:cs="Times New Roman"/>
                      <w:i/>
                      <w:sz w:val="24"/>
                      <w:szCs w:val="24"/>
                    </w:rPr>
                    <w:t>Podporuje vyššiu efektivitu výroby/využívania zdrojov? Ak áno, ako?</w:t>
                  </w:r>
                </w:p>
                <w:p w:rsidR="005A3535" w:rsidRPr="005A3535" w:rsidP="005A3535">
                  <w:pPr>
                    <w:bidi w:val="0"/>
                    <w:spacing w:after="0" w:line="240" w:lineRule="auto"/>
                    <w:rPr>
                      <w:rFonts w:ascii="Times New Roman" w:hAnsi="Times New Roman" w:cs="Times New Roman"/>
                      <w:sz w:val="24"/>
                      <w:szCs w:val="24"/>
                    </w:rPr>
                  </w:pPr>
                  <w:r w:rsidRPr="005A3535">
                    <w:rPr>
                      <w:rFonts w:ascii="Times New Roman" w:hAnsi="Times New Roman" w:cs="Times New Roman"/>
                      <w:i/>
                      <w:sz w:val="24"/>
                      <w:szCs w:val="24"/>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A3535" w:rsidRPr="005A3535" w:rsidP="005A3535">
                  <w:pPr>
                    <w:bidi w:val="0"/>
                    <w:spacing w:after="0" w:line="240" w:lineRule="auto"/>
                    <w:rPr>
                      <w:rFonts w:ascii="Times New Roman" w:hAnsi="Times New Roman" w:cs="Times New Roman"/>
                      <w:i/>
                      <w:sz w:val="24"/>
                      <w:szCs w:val="24"/>
                    </w:rPr>
                  </w:pPr>
                </w:p>
                <w:p w:rsidR="005A3535" w:rsidRPr="005A3535" w:rsidP="005A3535">
                  <w:pPr>
                    <w:bidi w:val="0"/>
                    <w:spacing w:after="0" w:line="240" w:lineRule="auto"/>
                    <w:rPr>
                      <w:rFonts w:ascii="Times New Roman" w:hAnsi="Times New Roman" w:cs="Times New Roman"/>
                      <w:b/>
                      <w:sz w:val="24"/>
                      <w:szCs w:val="24"/>
                    </w:rPr>
                  </w:pPr>
                  <w:r w:rsidRPr="005A3535">
                    <w:rPr>
                      <w:rFonts w:ascii="Times New Roman" w:hAnsi="Times New Roman" w:cs="Times New Roman"/>
                      <w:b/>
                      <w:sz w:val="24"/>
                      <w:szCs w:val="24"/>
                    </w:rPr>
                    <w:t>Navrhovaná zmena nemá vplyv na inovácie.</w:t>
                  </w:r>
                </w:p>
              </w:tc>
            </w:tr>
          </w:tbl>
          <w:p w:rsidR="00E91028" w:rsidRPr="005A3535" w:rsidP="00E91028">
            <w:pPr>
              <w:bidi w:val="0"/>
              <w:spacing w:after="0" w:line="240" w:lineRule="auto"/>
              <w:rPr>
                <w:rFonts w:ascii="Times New Roman" w:hAnsi="Times New Roman" w:cs="Times New Roman"/>
                <w:sz w:val="24"/>
                <w:szCs w:val="24"/>
                <w:lang w:eastAsia="sk-SK"/>
              </w:rPr>
            </w:pPr>
          </w:p>
        </w:tc>
        <w:tc>
          <w:tcPr>
            <w:tcW w:w="1620" w:type="dxa"/>
            <w:tcBorders>
              <w:top w:val="nil"/>
              <w:left w:val="nil"/>
              <w:bottom w:val="nil"/>
              <w:right w:val="nil"/>
            </w:tcBorders>
            <w:noWrap/>
            <w:textDirection w:val="lrTb"/>
            <w:vAlign w:val="bottom"/>
          </w:tcPr>
          <w:p w:rsidR="00E91028" w:rsidRPr="005A3535" w:rsidP="00E91028">
            <w:pPr>
              <w:bidi w:val="0"/>
              <w:spacing w:after="0" w:line="240" w:lineRule="auto"/>
              <w:rPr>
                <w:rFonts w:ascii="Times New Roman" w:hAnsi="Times New Roman" w:cs="Times New Roman"/>
                <w:sz w:val="24"/>
                <w:szCs w:val="24"/>
                <w:lang w:eastAsia="sk-SK"/>
              </w:rPr>
            </w:pPr>
          </w:p>
        </w:tc>
      </w:tr>
    </w:tbl>
    <w:p w:rsidR="00E91028"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6D65BC" w:rsidP="00DA01F2">
      <w:pPr>
        <w:bidi w:val="0"/>
        <w:spacing w:after="0" w:line="240" w:lineRule="auto"/>
        <w:ind w:left="360"/>
        <w:jc w:val="both"/>
        <w:rPr>
          <w:rFonts w:ascii="Times New Roman" w:hAnsi="Times New Roman" w:cs="Times New Roman"/>
          <w:b/>
          <w:sz w:val="24"/>
          <w:szCs w:val="24"/>
        </w:rPr>
      </w:pPr>
    </w:p>
    <w:p w:rsidR="00922DAF">
      <w:pPr>
        <w:bidi w:val="0"/>
        <w:rPr>
          <w:rFonts w:ascii="Times New Roman" w:hAnsi="Times New Roman" w:cs="Times New Roman"/>
          <w:b/>
          <w:sz w:val="24"/>
          <w:szCs w:val="24"/>
        </w:rPr>
        <w:sectPr w:rsidSect="002701F5">
          <w:pgSz w:w="11906" w:h="16838"/>
          <w:pgMar w:top="1417" w:right="1417" w:bottom="1417" w:left="1417" w:header="708" w:footer="708" w:gutter="0"/>
          <w:lnNumType w:distance="0"/>
          <w:cols w:space="708"/>
          <w:noEndnote w:val="0"/>
          <w:bidi w:val="0"/>
          <w:docGrid w:linePitch="360"/>
        </w:sectPr>
      </w:pPr>
      <w:r>
        <w:rPr>
          <w:rFonts w:ascii="Times New Roman" w:hAnsi="Times New Roman" w:cs="Times New Roman"/>
          <w:b/>
          <w:sz w:val="24"/>
          <w:szCs w:val="24"/>
        </w:rPr>
        <w:br w:type="page"/>
      </w:r>
    </w:p>
    <w:tbl>
      <w:tblPr>
        <w:tblStyle w:val="TableNormal"/>
        <w:tblW w:w="4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22"/>
      </w:tblGrid>
      <w:tr>
        <w:tblPrEx>
          <w:tblW w:w="4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22DAF" w:rsidRPr="00C95E6F" w:rsidP="00B83514">
            <w:pPr>
              <w:bidi w:val="0"/>
              <w:spacing w:after="0" w:line="240" w:lineRule="auto"/>
              <w:ind w:left="-284" w:firstLine="284"/>
              <w:jc w:val="center"/>
              <w:rPr>
                <w:rFonts w:ascii="Times New Roman" w:hAnsi="Times New Roman"/>
                <w:b/>
                <w:lang w:eastAsia="sk-SK"/>
              </w:rPr>
            </w:pPr>
            <w:r w:rsidRPr="00C95E6F">
              <w:rPr>
                <w:rFonts w:ascii="Times New Roman" w:hAnsi="Times New Roman"/>
                <w:b/>
                <w:sz w:val="28"/>
                <w:lang w:eastAsia="sk-SK"/>
              </w:rPr>
              <w:t>Analýza sociálnych vplyvov</w:t>
            </w:r>
          </w:p>
          <w:p w:rsidR="00922DAF" w:rsidRPr="00C95E6F" w:rsidP="00B83514">
            <w:pPr>
              <w:bidi w:val="0"/>
              <w:spacing w:after="0" w:line="240" w:lineRule="auto"/>
              <w:jc w:val="center"/>
              <w:rPr>
                <w:rFonts w:ascii="Times New Roman" w:hAnsi="Times New Roman"/>
                <w:b/>
                <w:lang w:eastAsia="sk-SK"/>
              </w:rPr>
            </w:pPr>
            <w:r w:rsidRPr="00C95E6F">
              <w:rPr>
                <w:rFonts w:ascii="Times New Roman" w:hAnsi="Times New Roman"/>
                <w:b/>
                <w:sz w:val="24"/>
                <w:lang w:eastAsia="sk-SK"/>
              </w:rPr>
              <w:t>Vplyvy na hospodárenie domácností, prístup k zdrojom, právam, tovarom a službám, sociálnu inklúziu, rovnosť príležitostí a rodovú rovnosť a vplyvy na zamestnanosť</w:t>
            </w:r>
          </w:p>
        </w:tc>
      </w:tr>
      <w:tr>
        <w:tblPrEx>
          <w:tblW w:w="4504"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922DAF" w:rsidRPr="00C95E6F" w:rsidP="00B83514">
            <w:pPr>
              <w:bidi w:val="0"/>
              <w:spacing w:after="0" w:line="240" w:lineRule="auto"/>
              <w:rPr>
                <w:rFonts w:ascii="Times New Roman" w:hAnsi="Times New Roman"/>
                <w:b/>
                <w:sz w:val="24"/>
                <w:lang w:eastAsia="sk-SK"/>
              </w:rPr>
            </w:pPr>
            <w:r w:rsidRPr="00C95E6F">
              <w:rPr>
                <w:rFonts w:ascii="Times New Roman" w:hAnsi="Times New Roman"/>
                <w:b/>
                <w:lang w:eastAsia="sk-SK"/>
              </w:rPr>
              <w:t xml:space="preserve">4.1 </w:t>
            </w:r>
            <w:r w:rsidRPr="00C95E6F">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bl>
    <w:p w:rsidR="00922DAF" w:rsidRPr="00C95E6F" w:rsidP="00922DAF">
      <w:pPr>
        <w:shd w:val="clear" w:color="auto" w:fill="F2F2F2"/>
        <w:bidi w:val="0"/>
        <w:spacing w:after="0" w:line="240" w:lineRule="auto"/>
        <w:rPr>
          <w:rFonts w:ascii="Times New Roman" w:hAnsi="Times New Roman"/>
          <w:i/>
          <w:sz w:val="20"/>
          <w:szCs w:val="20"/>
          <w:lang w:eastAsia="sk-SK"/>
        </w:rPr>
        <w:sectPr w:rsidSect="00B83514">
          <w:headerReference w:type="first" r:id="rId11"/>
          <w:pgSz w:w="11906" w:h="16838"/>
          <w:pgMar w:top="720" w:right="720" w:bottom="720" w:left="720" w:header="709" w:footer="709" w:gutter="0"/>
          <w:lnNumType w:distance="0"/>
          <w:cols w:space="708"/>
          <w:noEndnote w:val="0"/>
          <w:titlePg/>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shd w:val="clear" w:color="auto" w:fill="F2F2F2"/>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 xml:space="preserve">Vedie návrh k zvýšeniu alebo zníženiu príjmov alebo výdavkov domácností? </w:t>
            </w:r>
          </w:p>
          <w:p w:rsidR="00922DAF" w:rsidRPr="00C95E6F" w:rsidP="00B83514">
            <w:pPr>
              <w:shd w:val="clear" w:color="auto" w:fill="F2F2F2"/>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 xml:space="preserve">Ktoré skupiny domácností/obyvateľstva sú takto ovplyvnené a akým spôsobom? </w:t>
            </w:r>
          </w:p>
          <w:p w:rsidR="00922DAF" w:rsidRPr="00C95E6F" w:rsidP="00B83514">
            <w:pPr>
              <w:shd w:val="clear" w:color="auto" w:fill="F2F2F2"/>
              <w:bidi w:val="0"/>
              <w:spacing w:after="0" w:line="240" w:lineRule="auto"/>
              <w:rPr>
                <w:i/>
                <w:sz w:val="20"/>
                <w:szCs w:val="20"/>
                <w:lang w:eastAsia="sk-SK"/>
              </w:rPr>
            </w:pPr>
            <w:r w:rsidRPr="00C95E6F">
              <w:rPr>
                <w:rFonts w:ascii="Times New Roman" w:hAnsi="Times New Roman"/>
                <w:i/>
                <w:sz w:val="20"/>
                <w:szCs w:val="20"/>
                <w:lang w:eastAsia="sk-SK"/>
              </w:rPr>
              <w:t>Sú medzi potenciálne ovplyvnenými skupinami skupiny v riziku chudoby alebo sociálneho vylúčenia?</w:t>
            </w:r>
          </w:p>
        </w:tc>
      </w:tr>
    </w:tbl>
    <w:p w:rsidR="00922DAF" w:rsidRPr="00C95E6F" w:rsidP="00922DAF">
      <w:pPr>
        <w:bidi w:val="0"/>
        <w:spacing w:after="0" w:line="240" w:lineRule="auto"/>
        <w:rPr>
          <w:rFonts w:ascii="Times New Roman" w:hAnsi="Times New Roman"/>
          <w:i/>
          <w:sz w:val="20"/>
          <w:szCs w:val="20"/>
          <w:lang w:eastAsia="sk-SK"/>
        </w:rPr>
        <w:sectPr w:rsidSect="00B83514">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922DAF" w:rsidRPr="00C95E6F" w:rsidP="00B83514">
            <w:pPr>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 xml:space="preserve">Popíšte </w:t>
            </w:r>
            <w:r w:rsidRPr="00C95E6F">
              <w:rPr>
                <w:rFonts w:ascii="Times New Roman" w:hAnsi="Times New Roman"/>
                <w:b/>
                <w:i/>
                <w:sz w:val="20"/>
                <w:szCs w:val="20"/>
                <w:lang w:eastAsia="sk-SK"/>
              </w:rPr>
              <w:t>pozitívny</w:t>
            </w:r>
            <w:r w:rsidRPr="00C95E6F">
              <w:rPr>
                <w:rFonts w:ascii="Times New Roman" w:hAnsi="Times New Roman"/>
                <w:i/>
                <w:sz w:val="20"/>
                <w:szCs w:val="20"/>
                <w:lang w:eastAsia="sk-SK"/>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922DAF" w:rsidRPr="00C95E6F" w:rsidP="00B83514">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922DAF" w:rsidRPr="00C95E6F" w:rsidP="00B83514">
            <w:pPr>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 xml:space="preserve">Špecifikujte </w:t>
            </w:r>
            <w:r w:rsidRPr="00C95E6F">
              <w:rPr>
                <w:rFonts w:ascii="Times New Roman" w:hAnsi="Times New Roman"/>
                <w:b/>
                <w:i/>
                <w:sz w:val="20"/>
                <w:szCs w:val="20"/>
                <w:lang w:eastAsia="sk-SK"/>
              </w:rPr>
              <w:t>pozitívne</w:t>
            </w:r>
            <w:r w:rsidRPr="00C95E6F">
              <w:rPr>
                <w:rFonts w:ascii="Times New Roman" w:hAnsi="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922DAF" w:rsidRPr="00C95E6F" w:rsidP="00B83514">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922DAF" w:rsidRPr="00C95E6F" w:rsidP="00922DAF">
            <w:pPr>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 xml:space="preserve">Popíšte </w:t>
            </w:r>
            <w:r w:rsidRPr="00C95E6F">
              <w:rPr>
                <w:rFonts w:ascii="Times New Roman" w:hAnsi="Times New Roman"/>
                <w:b/>
                <w:i/>
                <w:sz w:val="20"/>
                <w:szCs w:val="20"/>
                <w:lang w:eastAsia="sk-SK"/>
              </w:rPr>
              <w:t xml:space="preserve">negatívny </w:t>
            </w:r>
            <w:r w:rsidRPr="00C95E6F">
              <w:rPr>
                <w:rFonts w:ascii="Times New Roman" w:hAnsi="Times New Roman"/>
                <w:i/>
                <w:sz w:val="20"/>
                <w:szCs w:val="20"/>
                <w:lang w:eastAsia="sk-SK"/>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922DAF" w:rsidRPr="0040544D" w:rsidP="00922DAF">
            <w:pPr>
              <w:bidi w:val="0"/>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hint="default"/>
                <w:sz w:val="20"/>
                <w:szCs w:val="20"/>
                <w:lang w:eastAsia="sk-SK"/>
              </w:rPr>
              <w:t>Ná</w:t>
            </w:r>
            <w:r>
              <w:rPr>
                <w:rFonts w:ascii="Times New Roman" w:eastAsia="Calibri" w:hAnsi="Times New Roman" w:cs="Times New Roman" w:hint="default"/>
                <w:sz w:val="20"/>
                <w:szCs w:val="20"/>
                <w:lang w:eastAsia="sk-SK"/>
              </w:rPr>
              <w:t>vrh zá</w:t>
            </w:r>
            <w:r>
              <w:rPr>
                <w:rFonts w:ascii="Times New Roman" w:eastAsia="Calibri" w:hAnsi="Times New Roman" w:cs="Times New Roman" w:hint="default"/>
                <w:sz w:val="20"/>
                <w:szCs w:val="20"/>
                <w:lang w:eastAsia="sk-SK"/>
              </w:rPr>
              <w:t>kona predpokladá</w:t>
            </w:r>
            <w:r>
              <w:rPr>
                <w:rFonts w:ascii="Times New Roman" w:eastAsia="Calibri" w:hAnsi="Times New Roman" w:cs="Times New Roman" w:hint="default"/>
                <w:sz w:val="20"/>
                <w:szCs w:val="20"/>
                <w:lang w:eastAsia="sk-SK"/>
              </w:rPr>
              <w:t xml:space="preserve"> mierne negatí</w:t>
            </w:r>
            <w:r>
              <w:rPr>
                <w:rFonts w:ascii="Times New Roman" w:eastAsia="Calibri" w:hAnsi="Times New Roman" w:cs="Times New Roman" w:hint="default"/>
                <w:sz w:val="20"/>
                <w:szCs w:val="20"/>
                <w:lang w:eastAsia="sk-SK"/>
              </w:rPr>
              <w:t>vny vplyv na hospodá</w:t>
            </w:r>
            <w:r>
              <w:rPr>
                <w:rFonts w:ascii="Times New Roman" w:eastAsia="Calibri" w:hAnsi="Times New Roman" w:cs="Times New Roman" w:hint="default"/>
                <w:sz w:val="20"/>
                <w:szCs w:val="20"/>
                <w:lang w:eastAsia="sk-SK"/>
              </w:rPr>
              <w:t>renie domá</w:t>
            </w:r>
            <w:r>
              <w:rPr>
                <w:rFonts w:ascii="Times New Roman" w:eastAsia="Calibri" w:hAnsi="Times New Roman" w:cs="Times New Roman" w:hint="default"/>
                <w:sz w:val="20"/>
                <w:szCs w:val="20"/>
                <w:lang w:eastAsia="sk-SK"/>
              </w:rPr>
              <w:t xml:space="preserve">cnosti </w:t>
            </w:r>
            <w:r>
              <w:rPr>
                <w:rFonts w:ascii="Times New Roman" w:eastAsia="Calibri" w:hAnsi="Times New Roman" w:cs="Times New Roman" w:hint="default"/>
                <w:sz w:val="20"/>
                <w:szCs w:val="20"/>
                <w:lang w:eastAsia="sk-SK"/>
              </w:rPr>
              <w:t>–</w:t>
            </w:r>
            <w:r>
              <w:rPr>
                <w:rFonts w:ascii="Times New Roman" w:eastAsia="Calibri" w:hAnsi="Times New Roman" w:cs="Times New Roman" w:hint="default"/>
                <w:sz w:val="20"/>
                <w:szCs w:val="20"/>
                <w:lang w:eastAsia="sk-SK"/>
              </w:rPr>
              <w:t xml:space="preserve"> fyzické</w:t>
            </w:r>
            <w:r>
              <w:rPr>
                <w:rFonts w:ascii="Times New Roman" w:eastAsia="Calibri" w:hAnsi="Times New Roman" w:cs="Times New Roman" w:hint="default"/>
                <w:sz w:val="20"/>
                <w:szCs w:val="20"/>
                <w:lang w:eastAsia="sk-SK"/>
              </w:rPr>
              <w:t xml:space="preserve"> osoby, ktorý</w:t>
            </w:r>
            <w:r>
              <w:rPr>
                <w:rFonts w:ascii="Times New Roman" w:eastAsia="Calibri" w:hAnsi="Times New Roman" w:cs="Times New Roman" w:hint="default"/>
                <w:sz w:val="20"/>
                <w:szCs w:val="20"/>
                <w:lang w:eastAsia="sk-SK"/>
              </w:rPr>
              <w:t>m plynú</w:t>
            </w:r>
            <w:r>
              <w:rPr>
                <w:rFonts w:ascii="Times New Roman" w:eastAsia="Calibri" w:hAnsi="Times New Roman" w:cs="Times New Roman" w:hint="default"/>
                <w:sz w:val="20"/>
                <w:szCs w:val="20"/>
                <w:lang w:eastAsia="sk-SK"/>
              </w:rPr>
              <w:t xml:space="preserve"> podiely na zisku (dividendy)</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922DAF" w:rsidRPr="00C95E6F" w:rsidP="00922DAF">
            <w:pPr>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 xml:space="preserve">Špecifikujte </w:t>
            </w:r>
            <w:r w:rsidRPr="00C95E6F">
              <w:rPr>
                <w:rFonts w:ascii="Times New Roman" w:hAnsi="Times New Roman"/>
                <w:b/>
                <w:i/>
                <w:sz w:val="20"/>
                <w:szCs w:val="20"/>
                <w:lang w:eastAsia="sk-SK"/>
              </w:rPr>
              <w:t>negatívne</w:t>
            </w:r>
            <w:r w:rsidRPr="00C95E6F">
              <w:rPr>
                <w:rFonts w:ascii="Times New Roman" w:hAnsi="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922DAF" w:rsidRPr="0040544D" w:rsidP="00922DAF">
            <w:pPr>
              <w:bidi w:val="0"/>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hint="default"/>
                <w:sz w:val="20"/>
                <w:szCs w:val="20"/>
                <w:lang w:eastAsia="sk-SK"/>
              </w:rPr>
              <w:t>Daň</w:t>
            </w:r>
            <w:r>
              <w:rPr>
                <w:rFonts w:ascii="Times New Roman" w:eastAsia="Calibri" w:hAnsi="Times New Roman" w:cs="Times New Roman" w:hint="default"/>
                <w:sz w:val="20"/>
                <w:szCs w:val="20"/>
                <w:lang w:eastAsia="sk-SK"/>
              </w:rPr>
              <w:t>ovní</w:t>
            </w:r>
            <w:r>
              <w:rPr>
                <w:rFonts w:ascii="Times New Roman" w:eastAsia="Calibri" w:hAnsi="Times New Roman" w:cs="Times New Roman" w:hint="default"/>
                <w:sz w:val="20"/>
                <w:szCs w:val="20"/>
                <w:lang w:eastAsia="sk-SK"/>
              </w:rPr>
              <w:t>ci - fyzické</w:t>
            </w:r>
            <w:r>
              <w:rPr>
                <w:rFonts w:ascii="Times New Roman" w:eastAsia="Calibri" w:hAnsi="Times New Roman" w:cs="Times New Roman" w:hint="default"/>
                <w:sz w:val="20"/>
                <w:szCs w:val="20"/>
                <w:lang w:eastAsia="sk-SK"/>
              </w:rPr>
              <w:t xml:space="preserve"> osoby prij</w:t>
            </w:r>
            <w:r>
              <w:rPr>
                <w:rFonts w:ascii="Times New Roman" w:eastAsia="Calibri" w:hAnsi="Times New Roman" w:cs="Times New Roman" w:hint="default"/>
                <w:sz w:val="20"/>
                <w:szCs w:val="20"/>
                <w:lang w:eastAsia="sk-SK"/>
              </w:rPr>
              <w:t>í</w:t>
            </w:r>
            <w:r>
              <w:rPr>
                <w:rFonts w:ascii="Times New Roman" w:eastAsia="Calibri" w:hAnsi="Times New Roman" w:cs="Times New Roman" w:hint="default"/>
                <w:sz w:val="20"/>
                <w:szCs w:val="20"/>
                <w:lang w:eastAsia="sk-SK"/>
              </w:rPr>
              <w:t>matelia podielov na zisku (dividend)</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922DAF" w:rsidRPr="00C95E6F" w:rsidP="00922DAF">
            <w:pPr>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 xml:space="preserve">Špecifikujte ovplyvnené skupiny </w:t>
            </w:r>
            <w:r w:rsidRPr="00C95E6F">
              <w:rPr>
                <w:rFonts w:ascii="Times New Roman" w:hAnsi="Times New Roman"/>
                <w:b/>
                <w:i/>
                <w:sz w:val="20"/>
                <w:szCs w:val="20"/>
                <w:lang w:eastAsia="sk-SK"/>
              </w:rPr>
              <w:t>v riziku chudoby alebo sociálneho vylúčenia</w:t>
            </w:r>
            <w:r w:rsidRPr="00C95E6F">
              <w:rPr>
                <w:rFonts w:ascii="Times New Roman" w:hAnsi="Times New Roman"/>
                <w:i/>
                <w:sz w:val="20"/>
                <w:szCs w:val="20"/>
                <w:lang w:eastAsia="sk-SK"/>
              </w:rPr>
              <w:t xml:space="preserve"> a popíšte vplyv:</w:t>
            </w:r>
          </w:p>
        </w:tc>
        <w:tc>
          <w:tcPr>
            <w:tcW w:w="2500" w:type="pct"/>
            <w:tcBorders>
              <w:top w:val="single" w:sz="4" w:space="0" w:color="auto"/>
              <w:left w:val="single" w:sz="4" w:space="0" w:color="auto"/>
              <w:bottom w:val="nil"/>
              <w:right w:val="single" w:sz="4" w:space="0" w:color="auto"/>
            </w:tcBorders>
            <w:textDirection w:val="lrTb"/>
            <w:vAlign w:val="top"/>
          </w:tcPr>
          <w:p w:rsidR="00922DAF" w:rsidRPr="0040544D" w:rsidP="00922DAF">
            <w:pPr>
              <w:bidi w:val="0"/>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hint="default"/>
                <w:sz w:val="20"/>
                <w:szCs w:val="20"/>
                <w:lang w:eastAsia="sk-SK"/>
              </w:rPr>
              <w:t>Ná</w:t>
            </w:r>
            <w:r>
              <w:rPr>
                <w:rFonts w:ascii="Times New Roman" w:eastAsia="Calibri" w:hAnsi="Times New Roman" w:cs="Times New Roman" w:hint="default"/>
                <w:sz w:val="20"/>
                <w:szCs w:val="20"/>
                <w:lang w:eastAsia="sk-SK"/>
              </w:rPr>
              <w:t>vrhom nie sú</w:t>
            </w:r>
            <w:r>
              <w:rPr>
                <w:rFonts w:ascii="Times New Roman" w:eastAsia="Calibri" w:hAnsi="Times New Roman" w:cs="Times New Roman" w:hint="default"/>
                <w:sz w:val="20"/>
                <w:szCs w:val="20"/>
                <w:lang w:eastAsia="sk-SK"/>
              </w:rPr>
              <w:t xml:space="preserve"> ovplyvnené</w:t>
            </w:r>
            <w:r>
              <w:rPr>
                <w:rFonts w:ascii="Times New Roman" w:eastAsia="Calibri" w:hAnsi="Times New Roman" w:cs="Times New Roman" w:hint="default"/>
                <w:sz w:val="20"/>
                <w:szCs w:val="20"/>
                <w:lang w:eastAsia="sk-SK"/>
              </w:rPr>
              <w:t xml:space="preserve"> skupiny obyvateľ</w:t>
            </w:r>
            <w:r>
              <w:rPr>
                <w:rFonts w:ascii="Times New Roman" w:eastAsia="Calibri" w:hAnsi="Times New Roman" w:cs="Times New Roman" w:hint="default"/>
                <w:sz w:val="20"/>
                <w:szCs w:val="20"/>
                <w:lang w:eastAsia="sk-SK"/>
              </w:rPr>
              <w:t>stva v </w:t>
            </w:r>
            <w:r>
              <w:rPr>
                <w:rFonts w:ascii="Times New Roman" w:eastAsia="Calibri" w:hAnsi="Times New Roman" w:cs="Times New Roman" w:hint="default"/>
                <w:sz w:val="20"/>
                <w:szCs w:val="20"/>
                <w:lang w:eastAsia="sk-SK"/>
              </w:rPr>
              <w:t>riziku chudoby alebo sociá</w:t>
            </w:r>
            <w:r>
              <w:rPr>
                <w:rFonts w:ascii="Times New Roman" w:eastAsia="Calibri" w:hAnsi="Times New Roman" w:cs="Times New Roman" w:hint="default"/>
                <w:sz w:val="20"/>
                <w:szCs w:val="20"/>
                <w:lang w:eastAsia="sk-SK"/>
              </w:rPr>
              <w:t>lneho vylúč</w:t>
            </w:r>
            <w:r>
              <w:rPr>
                <w:rFonts w:ascii="Times New Roman" w:eastAsia="Calibri" w:hAnsi="Times New Roman" w:cs="Times New Roman" w:hint="default"/>
                <w:sz w:val="20"/>
                <w:szCs w:val="20"/>
                <w:lang w:eastAsia="sk-SK"/>
              </w:rPr>
              <w:t xml:space="preserve">enia. </w:t>
            </w:r>
          </w:p>
        </w:tc>
      </w:tr>
    </w:tbl>
    <w:p w:rsidR="00922DAF" w:rsidRPr="00C95E6F" w:rsidP="00922DAF">
      <w:pPr>
        <w:bidi w:val="0"/>
        <w:spacing w:after="0" w:line="240" w:lineRule="auto"/>
        <w:jc w:val="both"/>
        <w:rPr>
          <w:rFonts w:ascii="Times New Roman" w:hAnsi="Times New Roman"/>
          <w:i/>
          <w:sz w:val="20"/>
          <w:szCs w:val="20"/>
          <w:lang w:eastAsia="sk-SK"/>
        </w:rPr>
        <w:sectPr w:rsidSect="00B83514">
          <w:headerReference w:type="default" r:id="rId12"/>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jc w:val="both"/>
              <w:rPr>
                <w:rFonts w:ascii="Times New Roman" w:hAnsi="Times New Roman"/>
                <w:i/>
                <w:sz w:val="20"/>
                <w:szCs w:val="20"/>
                <w:lang w:eastAsia="sk-SK"/>
              </w:rPr>
            </w:pPr>
            <w:r w:rsidRPr="00C95E6F">
              <w:rPr>
                <w:rFonts w:ascii="Times New Roman" w:hAnsi="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922DAF" w:rsidRPr="00C95E6F" w:rsidP="00B83514">
            <w:pPr>
              <w:bidi w:val="0"/>
              <w:spacing w:after="0" w:line="240" w:lineRule="auto"/>
              <w:jc w:val="both"/>
              <w:rPr>
                <w:rFonts w:ascii="Times New Roman" w:hAnsi="Times New Roman"/>
                <w:i/>
                <w:sz w:val="20"/>
                <w:szCs w:val="20"/>
                <w:lang w:eastAsia="sk-SK"/>
              </w:rPr>
            </w:pPr>
            <w:r w:rsidRPr="00C95E6F">
              <w:rPr>
                <w:rFonts w:ascii="Times New Roman" w:hAnsi="Times New Roman"/>
                <w:i/>
                <w:sz w:val="20"/>
                <w:szCs w:val="20"/>
                <w:lang w:eastAsia="sk-SK"/>
              </w:rPr>
              <w:t>V prípade vyššieho počtu ovplyvnených skupín doplňte do tabuľky ďalšie riadky.</w:t>
            </w:r>
          </w:p>
          <w:p w:rsidR="00922DAF" w:rsidRPr="00C95E6F" w:rsidP="00B83514">
            <w:pPr>
              <w:tabs>
                <w:tab w:val="left" w:pos="3505"/>
              </w:tabs>
              <w:bidi w:val="0"/>
              <w:spacing w:after="0" w:line="240" w:lineRule="auto"/>
              <w:rPr>
                <w:rFonts w:ascii="Times New Roman" w:hAnsi="Times New Roman"/>
                <w:sz w:val="20"/>
                <w:szCs w:val="20"/>
                <w:lang w:eastAsia="sk-SK"/>
              </w:rPr>
            </w:pPr>
            <w:r w:rsidRPr="00C95E6F">
              <w:rPr>
                <w:rFonts w:ascii="Times New Roman" w:hAnsi="Times New Roman"/>
                <w:i/>
                <w:sz w:val="20"/>
                <w:szCs w:val="20"/>
                <w:lang w:eastAsia="sk-SK"/>
              </w:rPr>
              <w:t>V prípade, ak neuvádzate kvantifikáciu, uveďte dôvod.</w:t>
            </w:r>
          </w:p>
        </w:tc>
      </w:tr>
      <w:tr>
        <w:tblPrEx>
          <w:tblW w:w="5172" w:type="pct"/>
          <w:jc w:val="center"/>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922DAF" w:rsidRPr="00C95E6F" w:rsidP="00B83514">
            <w:pPr>
              <w:bidi w:val="0"/>
              <w:spacing w:after="0" w:line="240" w:lineRule="auto"/>
              <w:jc w:val="both"/>
              <w:rPr>
                <w:rFonts w:ascii="Times New Roman" w:hAnsi="Times New Roman"/>
                <w:i/>
                <w:sz w:val="20"/>
                <w:szCs w:val="20"/>
                <w:lang w:eastAsia="sk-SK"/>
              </w:rPr>
            </w:pPr>
            <w:r w:rsidRPr="00C95E6F">
              <w:rPr>
                <w:rFonts w:ascii="Times New Roman" w:hAnsi="Times New Roman"/>
                <w:b/>
                <w:i/>
                <w:sz w:val="20"/>
                <w:szCs w:val="20"/>
                <w:lang w:eastAsia="sk-SK"/>
              </w:rPr>
              <w:t>Ovplyvnená skupina č.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922DAF" w:rsidRPr="00C95E6F" w:rsidP="00B83514">
            <w:pPr>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922DAF" w:rsidRPr="00C95E6F" w:rsidP="00B83514">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922DAF" w:rsidRPr="00C95E6F" w:rsidP="00922DAF">
            <w:pPr>
              <w:bidi w:val="0"/>
              <w:spacing w:after="0" w:line="240" w:lineRule="auto"/>
              <w:rPr>
                <w:i/>
                <w:sz w:val="20"/>
                <w:szCs w:val="20"/>
                <w:lang w:eastAsia="sk-SK"/>
              </w:rPr>
            </w:pPr>
            <w:r w:rsidRPr="00C95E6F">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922DAF" w:rsidRPr="00CA6BAF" w:rsidP="00922DAF">
            <w:pPr>
              <w:bidi w:val="0"/>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Zmena v </w:t>
            </w:r>
            <w:r>
              <w:rPr>
                <w:rFonts w:ascii="Times New Roman" w:eastAsia="Calibri" w:hAnsi="Times New Roman" w:cs="Times New Roman" w:hint="default"/>
                <w:sz w:val="20"/>
                <w:szCs w:val="20"/>
                <w:lang w:eastAsia="sk-SK"/>
              </w:rPr>
              <w:t>oblasti podielov na zisku (dividend) sa aplikuje na ich prijí</w:t>
            </w:r>
            <w:r>
              <w:rPr>
                <w:rFonts w:ascii="Times New Roman" w:eastAsia="Calibri" w:hAnsi="Times New Roman" w:cs="Times New Roman" w:hint="default"/>
                <w:sz w:val="20"/>
                <w:szCs w:val="20"/>
                <w:lang w:eastAsia="sk-SK"/>
              </w:rPr>
              <w:t>mateľ</w:t>
            </w:r>
            <w:r>
              <w:rPr>
                <w:rFonts w:ascii="Times New Roman" w:eastAsia="Calibri" w:hAnsi="Times New Roman" w:cs="Times New Roman" w:hint="default"/>
                <w:sz w:val="20"/>
                <w:szCs w:val="20"/>
                <w:lang w:eastAsia="sk-SK"/>
              </w:rPr>
              <w:t>ov, prič</w:t>
            </w:r>
            <w:r>
              <w:rPr>
                <w:rFonts w:ascii="Times New Roman" w:eastAsia="Calibri" w:hAnsi="Times New Roman" w:cs="Times New Roman" w:hint="default"/>
                <w:sz w:val="20"/>
                <w:szCs w:val="20"/>
                <w:lang w:eastAsia="sk-SK"/>
              </w:rPr>
              <w:t>om vplyv zá</w:t>
            </w:r>
            <w:r>
              <w:rPr>
                <w:rFonts w:ascii="Times New Roman" w:eastAsia="Calibri" w:hAnsi="Times New Roman" w:cs="Times New Roman" w:hint="default"/>
                <w:sz w:val="20"/>
                <w:szCs w:val="20"/>
                <w:lang w:eastAsia="sk-SK"/>
              </w:rPr>
              <w:t>visí</w:t>
            </w:r>
            <w:r>
              <w:rPr>
                <w:rFonts w:ascii="Times New Roman" w:eastAsia="Calibri" w:hAnsi="Times New Roman" w:cs="Times New Roman" w:hint="default"/>
                <w:sz w:val="20"/>
                <w:szCs w:val="20"/>
                <w:lang w:eastAsia="sk-SK"/>
              </w:rPr>
              <w:t xml:space="preserve"> od výš</w:t>
            </w:r>
            <w:r>
              <w:rPr>
                <w:rFonts w:ascii="Times New Roman" w:eastAsia="Calibri" w:hAnsi="Times New Roman" w:cs="Times New Roman" w:hint="default"/>
                <w:sz w:val="20"/>
                <w:szCs w:val="20"/>
                <w:lang w:eastAsia="sk-SK"/>
              </w:rPr>
              <w:t>ky vyplatený</w:t>
            </w:r>
            <w:r>
              <w:rPr>
                <w:rFonts w:ascii="Times New Roman" w:eastAsia="Calibri" w:hAnsi="Times New Roman" w:cs="Times New Roman" w:hint="default"/>
                <w:sz w:val="20"/>
                <w:szCs w:val="20"/>
                <w:lang w:eastAsia="sk-SK"/>
              </w:rPr>
              <w:t>ch podielov na zisku (dividend). Z toht</w:t>
            </w:r>
            <w:r>
              <w:rPr>
                <w:rFonts w:ascii="Times New Roman" w:eastAsia="Calibri" w:hAnsi="Times New Roman" w:cs="Times New Roman" w:hint="default"/>
                <w:sz w:val="20"/>
                <w:szCs w:val="20"/>
                <w:lang w:eastAsia="sk-SK"/>
              </w:rPr>
              <w:t>o dô</w:t>
            </w:r>
            <w:r>
              <w:rPr>
                <w:rFonts w:ascii="Times New Roman" w:eastAsia="Calibri" w:hAnsi="Times New Roman" w:cs="Times New Roman" w:hint="default"/>
                <w:sz w:val="20"/>
                <w:szCs w:val="20"/>
                <w:lang w:eastAsia="sk-SK"/>
              </w:rPr>
              <w:t>vodu nie je mož</w:t>
            </w:r>
            <w:r>
              <w:rPr>
                <w:rFonts w:ascii="Times New Roman" w:eastAsia="Calibri" w:hAnsi="Times New Roman" w:cs="Times New Roman" w:hint="default"/>
                <w:sz w:val="20"/>
                <w:szCs w:val="20"/>
                <w:lang w:eastAsia="sk-SK"/>
              </w:rPr>
              <w:t>né</w:t>
            </w:r>
            <w:r>
              <w:rPr>
                <w:rFonts w:ascii="Times New Roman" w:eastAsia="Calibri" w:hAnsi="Times New Roman" w:cs="Times New Roman" w:hint="default"/>
                <w:sz w:val="20"/>
                <w:szCs w:val="20"/>
                <w:lang w:eastAsia="sk-SK"/>
              </w:rPr>
              <w:t xml:space="preserve"> vyčí</w:t>
            </w:r>
            <w:r>
              <w:rPr>
                <w:rFonts w:ascii="Times New Roman" w:eastAsia="Calibri" w:hAnsi="Times New Roman" w:cs="Times New Roman" w:hint="default"/>
                <w:sz w:val="20"/>
                <w:szCs w:val="20"/>
                <w:lang w:eastAsia="sk-SK"/>
              </w:rPr>
              <w:t>sliť</w:t>
            </w:r>
            <w:r>
              <w:rPr>
                <w:rFonts w:ascii="Times New Roman" w:eastAsia="Calibri" w:hAnsi="Times New Roman" w:cs="Times New Roman" w:hint="default"/>
                <w:sz w:val="20"/>
                <w:szCs w:val="20"/>
                <w:lang w:eastAsia="sk-SK"/>
              </w:rPr>
              <w:t xml:space="preserve"> priemerný</w:t>
            </w:r>
            <w:r>
              <w:rPr>
                <w:rFonts w:ascii="Times New Roman" w:eastAsia="Calibri" w:hAnsi="Times New Roman" w:cs="Times New Roman" w:hint="default"/>
                <w:sz w:val="20"/>
                <w:szCs w:val="20"/>
                <w:lang w:eastAsia="sk-SK"/>
              </w:rPr>
              <w:t xml:space="preserve"> rast prí</w:t>
            </w:r>
            <w:r>
              <w:rPr>
                <w:rFonts w:ascii="Times New Roman" w:eastAsia="Calibri" w:hAnsi="Times New Roman" w:cs="Times New Roman" w:hint="default"/>
                <w:sz w:val="20"/>
                <w:szCs w:val="20"/>
                <w:lang w:eastAsia="sk-SK"/>
              </w:rPr>
              <w:t>jmov.</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922DAF" w:rsidRPr="00C95E6F" w:rsidP="00922DAF">
            <w:pPr>
              <w:bidi w:val="0"/>
              <w:spacing w:after="0" w:line="240" w:lineRule="auto"/>
              <w:rPr>
                <w:i/>
                <w:sz w:val="20"/>
                <w:szCs w:val="20"/>
                <w:lang w:eastAsia="sk-SK"/>
              </w:rPr>
            </w:pPr>
            <w:r w:rsidRPr="00C95E6F">
              <w:rPr>
                <w:rFonts w:ascii="Times New Roman" w:hAnsi="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922DAF" w:rsidRPr="00C95E6F" w:rsidP="00922DAF">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922DAF" w:rsidRPr="00C95E6F" w:rsidP="00922DAF">
            <w:pPr>
              <w:bidi w:val="0"/>
              <w:spacing w:after="0" w:line="240" w:lineRule="auto"/>
              <w:jc w:val="both"/>
              <w:rPr>
                <w:rFonts w:ascii="Times New Roman" w:hAnsi="Times New Roman"/>
                <w:i/>
                <w:sz w:val="20"/>
                <w:szCs w:val="20"/>
                <w:lang w:eastAsia="sk-SK"/>
              </w:rPr>
            </w:pPr>
            <w:r w:rsidRPr="00C95E6F">
              <w:rPr>
                <w:rFonts w:ascii="Times New Roman" w:hAnsi="Times New Roman"/>
                <w:b/>
                <w:i/>
                <w:sz w:val="20"/>
                <w:szCs w:val="20"/>
                <w:lang w:eastAsia="sk-SK"/>
              </w:rPr>
              <w:t>Ovplyvnená skupina č.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922DAF" w:rsidRPr="00C95E6F" w:rsidP="00922DAF">
            <w:pPr>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922DAF" w:rsidRPr="007F6B74" w:rsidP="00922DAF">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922DAF" w:rsidRPr="00C95E6F" w:rsidP="00922DAF">
            <w:pPr>
              <w:bidi w:val="0"/>
              <w:spacing w:after="0" w:line="240" w:lineRule="auto"/>
              <w:rPr>
                <w:i/>
                <w:sz w:val="20"/>
                <w:szCs w:val="20"/>
                <w:lang w:eastAsia="sk-SK"/>
              </w:rPr>
            </w:pPr>
            <w:r w:rsidRPr="00C95E6F">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922DAF" w:rsidRPr="007F6B74" w:rsidP="00922DAF">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922DAF" w:rsidRPr="00C95E6F" w:rsidP="00922DAF">
            <w:pPr>
              <w:bidi w:val="0"/>
              <w:spacing w:after="0" w:line="240" w:lineRule="auto"/>
              <w:rPr>
                <w:i/>
                <w:sz w:val="20"/>
                <w:szCs w:val="20"/>
                <w:lang w:eastAsia="sk-SK"/>
              </w:rPr>
            </w:pPr>
            <w:r w:rsidRPr="00C95E6F">
              <w:rPr>
                <w:rFonts w:ascii="Times New Roman" w:hAnsi="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922DAF" w:rsidRPr="007F6B74" w:rsidP="00922DAF">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922DAF" w:rsidRPr="00C95E6F" w:rsidP="00922DAF">
            <w:pPr>
              <w:bidi w:val="0"/>
              <w:spacing w:after="0" w:line="240" w:lineRule="auto"/>
              <w:rPr>
                <w:rFonts w:ascii="Times New Roman" w:hAnsi="Times New Roman"/>
                <w:i/>
                <w:sz w:val="20"/>
                <w:szCs w:val="20"/>
                <w:lang w:eastAsia="sk-SK"/>
              </w:rPr>
            </w:pPr>
            <w:r w:rsidRPr="00CD4982">
              <w:rPr>
                <w:rFonts w:ascii="Times New Roman" w:eastAsia="Calibri" w:hAnsi="Times New Roman" w:cs="Times New Roman" w:hint="default"/>
                <w:i/>
                <w:sz w:val="20"/>
                <w:szCs w:val="20"/>
                <w:lang w:eastAsia="sk-SK"/>
              </w:rPr>
              <w:t>Dô</w:t>
            </w:r>
            <w:r w:rsidRPr="00CD4982">
              <w:rPr>
                <w:rFonts w:ascii="Times New Roman" w:eastAsia="Calibri" w:hAnsi="Times New Roman" w:cs="Times New Roman" w:hint="default"/>
                <w:i/>
                <w:sz w:val="20"/>
                <w:szCs w:val="20"/>
                <w:lang w:eastAsia="sk-SK"/>
              </w:rPr>
              <w:t>vod chý</w:t>
            </w:r>
            <w:r w:rsidRPr="00CD4982">
              <w:rPr>
                <w:rFonts w:ascii="Times New Roman" w:eastAsia="Calibri" w:hAnsi="Times New Roman" w:cs="Times New Roman" w:hint="default"/>
                <w:i/>
                <w:sz w:val="20"/>
                <w:szCs w:val="20"/>
                <w:lang w:eastAsia="sk-SK"/>
              </w:rPr>
              <w:t>bajú</w:t>
            </w:r>
            <w:r w:rsidRPr="00CD4982">
              <w:rPr>
                <w:rFonts w:ascii="Times New Roman" w:eastAsia="Calibri" w:hAnsi="Times New Roman" w:cs="Times New Roman" w:hint="default"/>
                <w:i/>
                <w:sz w:val="20"/>
                <w:szCs w:val="20"/>
                <w:lang w:eastAsia="sk-SK"/>
              </w:rPr>
              <w:t>cej kvantifiká</w:t>
            </w:r>
            <w:r w:rsidRPr="00CD4982">
              <w:rPr>
                <w:rFonts w:ascii="Times New Roman" w:eastAsia="Calibri" w:hAnsi="Times New Roman" w:cs="Times New Roman" w:hint="default"/>
                <w:i/>
                <w:sz w:val="20"/>
                <w:szCs w:val="20"/>
                <w:lang w:eastAsia="sk-SK"/>
              </w:rPr>
              <w:t>cie:</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922DAF" w:rsidRPr="007F6B74" w:rsidP="00922DAF">
            <w:pPr>
              <w:bidi w:val="0"/>
              <w:spacing w:after="0" w:line="240" w:lineRule="auto"/>
              <w:jc w:val="both"/>
              <w:rPr>
                <w:rFonts w:ascii="Times New Roman" w:hAnsi="Times New Roman"/>
                <w:sz w:val="24"/>
                <w:szCs w:val="24"/>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922DAF" w:rsidP="00922DAF">
            <w:pPr>
              <w:bidi w:val="0"/>
            </w:pPr>
            <w:r w:rsidRPr="00A35611">
              <w:rPr>
                <w:rFonts w:ascii="Times New Roman" w:eastAsia="Calibri" w:hAnsi="Times New Roman" w:cs="Times New Roman" w:hint="default"/>
                <w:i/>
                <w:sz w:val="20"/>
                <w:szCs w:val="20"/>
                <w:lang w:eastAsia="sk-SK"/>
              </w:rPr>
              <w:t>V prí</w:t>
            </w:r>
            <w:r w:rsidRPr="00A35611">
              <w:rPr>
                <w:rFonts w:ascii="Times New Roman" w:eastAsia="Calibri" w:hAnsi="Times New Roman" w:cs="Times New Roman" w:hint="default"/>
                <w:i/>
                <w:sz w:val="20"/>
                <w:szCs w:val="20"/>
                <w:lang w:eastAsia="sk-SK"/>
              </w:rPr>
              <w:t>pade vý</w:t>
            </w:r>
            <w:r w:rsidRPr="00A35611">
              <w:rPr>
                <w:rFonts w:ascii="Times New Roman" w:eastAsia="Calibri" w:hAnsi="Times New Roman" w:cs="Times New Roman" w:hint="default"/>
                <w:i/>
                <w:sz w:val="20"/>
                <w:szCs w:val="20"/>
                <w:lang w:eastAsia="sk-SK"/>
              </w:rPr>
              <w:t>znamný</w:t>
            </w:r>
            <w:r w:rsidRPr="00A35611">
              <w:rPr>
                <w:rFonts w:ascii="Times New Roman" w:eastAsia="Calibri" w:hAnsi="Times New Roman" w:cs="Times New Roman" w:hint="default"/>
                <w:i/>
                <w:sz w:val="20"/>
                <w:szCs w:val="20"/>
                <w:lang w:eastAsia="sk-SK"/>
              </w:rPr>
              <w:t>ch vplyvov na prí</w:t>
            </w:r>
            <w:r w:rsidRPr="00A35611">
              <w:rPr>
                <w:rFonts w:ascii="Times New Roman" w:eastAsia="Calibri" w:hAnsi="Times New Roman" w:cs="Times New Roman" w:hint="default"/>
                <w:i/>
                <w:sz w:val="20"/>
                <w:szCs w:val="20"/>
                <w:lang w:eastAsia="sk-SK"/>
              </w:rPr>
              <w:t>jmy alebo vý</w:t>
            </w:r>
            <w:r w:rsidRPr="00A35611">
              <w:rPr>
                <w:rFonts w:ascii="Times New Roman" w:eastAsia="Calibri" w:hAnsi="Times New Roman" w:cs="Times New Roman" w:hint="default"/>
                <w:i/>
                <w:sz w:val="20"/>
                <w:szCs w:val="20"/>
                <w:lang w:eastAsia="sk-SK"/>
              </w:rPr>
              <w:t>davky vyšš</w:t>
            </w:r>
            <w:r w:rsidRPr="00A35611">
              <w:rPr>
                <w:rFonts w:ascii="Times New Roman" w:eastAsia="Calibri" w:hAnsi="Times New Roman" w:cs="Times New Roman" w:hint="default"/>
                <w:i/>
                <w:sz w:val="20"/>
                <w:szCs w:val="20"/>
                <w:lang w:eastAsia="sk-SK"/>
              </w:rPr>
              <w:t>ie š</w:t>
            </w:r>
            <w:r w:rsidRPr="00A35611">
              <w:rPr>
                <w:rFonts w:ascii="Times New Roman" w:eastAsia="Calibri" w:hAnsi="Times New Roman" w:cs="Times New Roman" w:hint="default"/>
                <w:i/>
                <w:sz w:val="20"/>
                <w:szCs w:val="20"/>
                <w:lang w:eastAsia="sk-SK"/>
              </w:rPr>
              <w:t>pecifikovaný</w:t>
            </w:r>
            <w:r w:rsidRPr="00A35611">
              <w:rPr>
                <w:rFonts w:ascii="Times New Roman" w:eastAsia="Calibri" w:hAnsi="Times New Roman" w:cs="Times New Roman" w:hint="default"/>
                <w:i/>
                <w:sz w:val="20"/>
                <w:szCs w:val="20"/>
                <w:lang w:eastAsia="sk-SK"/>
              </w:rPr>
              <w:t xml:space="preserve">ch </w:t>
            </w:r>
            <w:r w:rsidRPr="00A35611">
              <w:rPr>
                <w:rFonts w:ascii="Times New Roman" w:eastAsia="Calibri" w:hAnsi="Times New Roman" w:cs="Times New Roman" w:hint="default"/>
                <w:i/>
                <w:sz w:val="20"/>
                <w:szCs w:val="20"/>
                <w:lang w:eastAsia="sk-SK"/>
              </w:rPr>
              <w:t>domá</w:t>
            </w:r>
            <w:r w:rsidRPr="00A35611">
              <w:rPr>
                <w:rFonts w:ascii="Times New Roman" w:eastAsia="Calibri" w:hAnsi="Times New Roman" w:cs="Times New Roman" w:hint="default"/>
                <w:i/>
                <w:sz w:val="20"/>
                <w:szCs w:val="20"/>
                <w:lang w:eastAsia="sk-SK"/>
              </w:rPr>
              <w:t>cností</w:t>
            </w:r>
            <w:r w:rsidRPr="00A35611">
              <w:rPr>
                <w:rFonts w:ascii="Times New Roman" w:eastAsia="Calibri" w:hAnsi="Times New Roman" w:cs="Times New Roman" w:hint="default"/>
                <w:i/>
                <w:sz w:val="20"/>
                <w:szCs w:val="20"/>
                <w:lang w:eastAsia="sk-SK"/>
              </w:rPr>
              <w:t xml:space="preserve"> v </w:t>
            </w:r>
            <w:r w:rsidRPr="00A35611">
              <w:rPr>
                <w:rFonts w:ascii="Times New Roman" w:eastAsia="Calibri" w:hAnsi="Times New Roman" w:cs="Times New Roman" w:hint="default"/>
                <w:i/>
                <w:sz w:val="20"/>
                <w:szCs w:val="20"/>
                <w:lang w:eastAsia="sk-SK"/>
              </w:rPr>
              <w:t>riziku chudoby, identifikujte a kvantifikujte vplyv na chudobu obyvateľ</w:t>
            </w:r>
            <w:r w:rsidRPr="00A35611">
              <w:rPr>
                <w:rFonts w:ascii="Times New Roman" w:eastAsia="Calibri" w:hAnsi="Times New Roman" w:cs="Times New Roman" w:hint="default"/>
                <w:i/>
                <w:sz w:val="20"/>
                <w:szCs w:val="20"/>
                <w:lang w:eastAsia="sk-SK"/>
              </w:rPr>
              <w:t>stva (napr. mieru rizika chudoby, podiel rastu/poklesu vý</w:t>
            </w:r>
            <w:r w:rsidRPr="00A35611">
              <w:rPr>
                <w:rFonts w:ascii="Times New Roman" w:eastAsia="Calibri" w:hAnsi="Times New Roman" w:cs="Times New Roman" w:hint="default"/>
                <w:i/>
                <w:sz w:val="20"/>
                <w:szCs w:val="20"/>
                <w:lang w:eastAsia="sk-SK"/>
              </w:rPr>
              <w:t>davkov na celkový</w:t>
            </w:r>
            <w:r w:rsidRPr="00A35611">
              <w:rPr>
                <w:rFonts w:ascii="Times New Roman" w:eastAsia="Calibri" w:hAnsi="Times New Roman" w:cs="Times New Roman" w:hint="default"/>
                <w:i/>
                <w:sz w:val="20"/>
                <w:szCs w:val="20"/>
                <w:lang w:eastAsia="sk-SK"/>
              </w:rPr>
              <w:t>ch vý</w:t>
            </w:r>
            <w:r w:rsidRPr="00A35611">
              <w:rPr>
                <w:rFonts w:ascii="Times New Roman" w:eastAsia="Calibri" w:hAnsi="Times New Roman" w:cs="Times New Roman" w:hint="default"/>
                <w:i/>
                <w:sz w:val="20"/>
                <w:szCs w:val="20"/>
                <w:lang w:eastAsia="sk-SK"/>
              </w:rPr>
              <w:t>davkoch/prí</w:t>
            </w:r>
            <w:r w:rsidRPr="00A35611">
              <w:rPr>
                <w:rFonts w:ascii="Times New Roman" w:eastAsia="Calibri" w:hAnsi="Times New Roman" w:cs="Times New Roman" w:hint="default"/>
                <w:i/>
                <w:sz w:val="20"/>
                <w:szCs w:val="20"/>
                <w:lang w:eastAsia="sk-SK"/>
              </w:rPr>
              <w:t>jme):</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922DAF" w:rsidP="00922DAF">
            <w:pPr>
              <w:bidi w:val="0"/>
            </w:pPr>
          </w:p>
        </w:tc>
      </w:tr>
    </w:tbl>
    <w:p w:rsidR="00922DAF" w:rsidRPr="00C95E6F" w:rsidP="00922DAF">
      <w:pPr>
        <w:bidi w:val="0"/>
        <w:rPr>
          <w:rFonts w:ascii="Times New Roman" w:hAnsi="Times New Roman"/>
          <w:sz w:val="20"/>
          <w:szCs w:val="20"/>
        </w:rPr>
      </w:pPr>
    </w:p>
    <w:p w:rsidR="00922DAF" w:rsidRPr="00C95E6F" w:rsidP="00922DAF">
      <w:pPr>
        <w:bidi w:val="0"/>
        <w:spacing w:after="0" w:line="240" w:lineRule="auto"/>
        <w:rPr>
          <w:rFonts w:ascii="Times New Roman" w:hAnsi="Times New Roman"/>
          <w:b/>
          <w:sz w:val="24"/>
          <w:szCs w:val="24"/>
          <w:lang w:eastAsia="sk-SK"/>
        </w:rPr>
        <w:sectPr w:rsidSect="00B83514">
          <w:headerReference w:type="default" r:id="rId13"/>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22DAF" w:rsidRPr="00C95E6F" w:rsidP="00B83514">
            <w:pPr>
              <w:bidi w:val="0"/>
              <w:spacing w:after="0" w:line="240" w:lineRule="auto"/>
              <w:rPr>
                <w:rFonts w:ascii="Times New Roman" w:hAnsi="Times New Roman"/>
                <w:b/>
                <w:sz w:val="24"/>
                <w:szCs w:val="24"/>
                <w:lang w:eastAsia="sk-SK"/>
              </w:rPr>
            </w:pPr>
            <w:r w:rsidRPr="00C95E6F">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jc w:val="both"/>
              <w:rPr>
                <w:rFonts w:ascii="Times New Roman" w:hAnsi="Times New Roman"/>
                <w:i/>
                <w:sz w:val="20"/>
                <w:szCs w:val="24"/>
                <w:lang w:eastAsia="sk-SK"/>
              </w:rPr>
            </w:pPr>
            <w:r w:rsidRPr="00C95E6F">
              <w:rPr>
                <w:rFonts w:ascii="Times New Roman" w:hAnsi="Times New Roman"/>
                <w:i/>
                <w:sz w:val="20"/>
                <w:szCs w:val="24"/>
                <w:lang w:eastAsia="sk-SK"/>
              </w:rPr>
              <w:t xml:space="preserve">Má návrh vplyv na prístup k zdrojom, právam, tovarom a službám? </w:t>
            </w:r>
          </w:p>
          <w:p w:rsidR="00922DAF" w:rsidRPr="00C95E6F" w:rsidP="00B83514">
            <w:pPr>
              <w:bidi w:val="0"/>
              <w:spacing w:after="0" w:line="240" w:lineRule="auto"/>
              <w:jc w:val="both"/>
              <w:rPr>
                <w:i/>
                <w:sz w:val="24"/>
                <w:szCs w:val="24"/>
                <w:lang w:eastAsia="sk-SK"/>
              </w:rPr>
            </w:pPr>
            <w:r w:rsidRPr="00C95E6F">
              <w:rPr>
                <w:rFonts w:ascii="Times New Roman" w:hAnsi="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922DAF" w:rsidRPr="00C95E6F" w:rsidP="00922DAF">
      <w:pPr>
        <w:bidi w:val="0"/>
        <w:spacing w:after="0" w:line="240" w:lineRule="auto"/>
        <w:jc w:val="both"/>
        <w:rPr>
          <w:rFonts w:ascii="Times New Roman" w:hAnsi="Times New Roman"/>
          <w:i/>
          <w:sz w:val="18"/>
          <w:szCs w:val="18"/>
          <w:lang w:eastAsia="sk-SK"/>
        </w:rPr>
        <w:sectPr w:rsidSect="00B83514">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922DAF" w:rsidRPr="00C95E6F" w:rsidP="00B83514">
            <w:p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Rozumie sa najmä na prístup k:</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kvalitnej práci, ochrane zdravia, dôstojnosti a bezpečnosti pri práci pre zamestnancov a existujúcim zamestnaneckým právam,</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 xml:space="preserve">pomoci pri úhrade výdavkov súvisiacich so zdravotným postihnutím, </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 xml:space="preserve">zdravotnej starostlivosti vrátane cenovo dostupných pomôcok pre občanov so zdravotným postihnutím, </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k formálnemu i neformálnemu vzdelávaniu a celo</w:t>
            </w:r>
            <w:r w:rsidRPr="00C95E6F">
              <w:rPr>
                <w:rFonts w:ascii="Times New Roman" w:hAnsi="Times New Roman"/>
                <w:i/>
                <w:sz w:val="18"/>
                <w:szCs w:val="18"/>
                <w:lang w:eastAsia="sk-SK"/>
              </w:rPr>
              <w:softHyphen/>
              <w:t xml:space="preserve">životnému vzdelávaniu, </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bývaniu a súvisiacim základným komunálnym službám,</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doprave,</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ďalším službám najmä službám všeobecného záujmu a tovarom,</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spravodlivosti, právnej ochrane, právnym službám,</w:t>
            </w:r>
          </w:p>
          <w:p w:rsidR="00922DAF" w:rsidRPr="00C95E6F" w:rsidP="00922DAF">
            <w:pPr>
              <w:numPr>
                <w:numId w:val="12"/>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informáciám</w:t>
            </w:r>
          </w:p>
          <w:p w:rsidR="00922DAF" w:rsidRPr="00C95E6F" w:rsidP="00922DAF">
            <w:pPr>
              <w:numPr>
                <w:numId w:val="12"/>
              </w:numPr>
              <w:bidi w:val="0"/>
              <w:spacing w:after="0" w:line="240" w:lineRule="auto"/>
              <w:jc w:val="both"/>
              <w:rPr>
                <w:i/>
                <w:sz w:val="20"/>
                <w:szCs w:val="20"/>
                <w:lang w:eastAsia="sk-SK"/>
              </w:rPr>
            </w:pPr>
            <w:r w:rsidRPr="00C95E6F">
              <w:rPr>
                <w:rFonts w:ascii="Times New Roman" w:hAnsi="Times New Roman"/>
                <w:i/>
                <w:sz w:val="18"/>
                <w:szCs w:val="18"/>
                <w:lang w:eastAsia="sk-SK"/>
              </w:rPr>
              <w:t>k iným právam (napr. politickým).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922DAF" w:rsidRPr="00C95E6F" w:rsidP="00B83514">
            <w:pPr>
              <w:bidi w:val="0"/>
              <w:spacing w:after="0" w:line="240" w:lineRule="auto"/>
              <w:rPr>
                <w:rFonts w:ascii="Times New Roman" w:hAnsi="Times New Roman"/>
                <w:sz w:val="24"/>
                <w:szCs w:val="24"/>
                <w:lang w:eastAsia="sk-SK"/>
              </w:rPr>
            </w:pPr>
            <w:r w:rsidRPr="00C95E6F">
              <w:rPr>
                <w:rFonts w:ascii="Times New Roman" w:hAnsi="Times New Roman"/>
                <w:sz w:val="24"/>
                <w:szCs w:val="24"/>
                <w:lang w:eastAsia="sk-SK"/>
              </w:rPr>
              <w:t>Bez vplyvu.</w:t>
            </w:r>
          </w:p>
        </w:tc>
      </w:tr>
    </w:tbl>
    <w:p w:rsidR="00922DAF" w:rsidRPr="00C95E6F" w:rsidP="00922DAF">
      <w:pPr>
        <w:bidi w:val="0"/>
        <w:spacing w:after="0" w:line="240" w:lineRule="auto"/>
        <w:jc w:val="both"/>
        <w:rPr>
          <w:rFonts w:ascii="Times New Roman" w:hAnsi="Times New Roman"/>
          <w:i/>
          <w:sz w:val="20"/>
          <w:szCs w:val="20"/>
          <w:lang w:eastAsia="sk-SK"/>
        </w:rPr>
        <w:sectPr w:rsidSect="00B83514">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jc w:val="both"/>
              <w:rPr>
                <w:rFonts w:ascii="Times New Roman" w:hAnsi="Times New Roman"/>
                <w:i/>
                <w:sz w:val="20"/>
                <w:szCs w:val="20"/>
                <w:lang w:eastAsia="sk-SK"/>
              </w:rPr>
            </w:pPr>
            <w:r w:rsidRPr="00C95E6F">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922DAF" w:rsidRPr="00C95E6F" w:rsidP="00B83514">
            <w:pPr>
              <w:bidi w:val="0"/>
              <w:spacing w:after="0" w:line="240" w:lineRule="auto"/>
              <w:jc w:val="both"/>
              <w:rPr>
                <w:i/>
                <w:lang w:eastAsia="sk-SK"/>
              </w:rPr>
            </w:pPr>
            <w:r w:rsidRPr="00C95E6F">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922DAF" w:rsidRPr="00C95E6F" w:rsidP="00922DAF">
      <w:pPr>
        <w:bidi w:val="0"/>
        <w:spacing w:after="0" w:line="240" w:lineRule="auto"/>
        <w:jc w:val="both"/>
        <w:rPr>
          <w:rFonts w:ascii="Times New Roman" w:hAnsi="Times New Roman"/>
          <w:i/>
          <w:sz w:val="18"/>
          <w:szCs w:val="18"/>
          <w:lang w:eastAsia="sk-SK"/>
        </w:rPr>
        <w:sectPr w:rsidSect="00B83514">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922DAF" w:rsidRPr="00C95E6F" w:rsidP="00B83514">
            <w:p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Zraniteľné skupiny alebo skupiny v riziku chudoby alebo sociálneho vylúčenia sú napr.:</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nezamestnaní, najmä dlhodobo nezamestnaní, mladí nezamestnaní a nezamestnaní nad 50 rokov,</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deti (0 – 17),</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mladí ľudia (18 – 25 rokov),</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starší ľudia, napr. ľudia vo veku nad 65 rokov alebo dôchodcovia,</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ľudia so zdravotným postihnutím,</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 xml:space="preserve">marginalizované rómske komunity </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domácnosti s 3 a viac deťmi,</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jednorodičovské domácnosti s deťmi (neúplné rodiny, ktoré tvoria najmä osamelé matky s deťmi),</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príslušníci tretích krajín, azylanti, žiadatelia o azyl,</w:t>
            </w:r>
          </w:p>
          <w:p w:rsidR="00922DAF" w:rsidRPr="00C95E6F" w:rsidP="00922DAF">
            <w:pPr>
              <w:numPr>
                <w:numId w:val="13"/>
              </w:numPr>
              <w:bidi w:val="0"/>
              <w:spacing w:after="0" w:line="240" w:lineRule="auto"/>
              <w:jc w:val="both"/>
              <w:rPr>
                <w:i/>
                <w:sz w:val="18"/>
                <w:szCs w:val="18"/>
                <w:lang w:eastAsia="sk-SK"/>
              </w:rPr>
            </w:pPr>
            <w:r w:rsidRPr="00C95E6F">
              <w:rPr>
                <w:rFonts w:ascii="Times New Roman" w:hAnsi="Times New Roman"/>
                <w:i/>
                <w:sz w:val="18"/>
                <w:szCs w:val="18"/>
                <w:lang w:eastAsia="sk-SK"/>
              </w:rPr>
              <w:t>iné zraniteľné skupiny, ako sú napr. bezdomovci, ľudia opúšťajúci detské domovy alebo iné inštitucionálne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922DAF" w:rsidRPr="00C95E6F" w:rsidP="00B83514">
            <w:pPr>
              <w:bidi w:val="0"/>
              <w:spacing w:after="0" w:line="240" w:lineRule="auto"/>
              <w:rPr>
                <w:rFonts w:ascii="Times New Roman" w:hAnsi="Times New Roman"/>
                <w:sz w:val="24"/>
                <w:szCs w:val="24"/>
                <w:lang w:eastAsia="sk-SK"/>
              </w:rPr>
            </w:pPr>
            <w:r w:rsidRPr="00C95E6F">
              <w:rPr>
                <w:rFonts w:ascii="Times New Roman" w:hAnsi="Times New Roman"/>
                <w:sz w:val="24"/>
                <w:szCs w:val="24"/>
                <w:lang w:eastAsia="sk-SK"/>
              </w:rPr>
              <w:t>Bez vplyvu.</w:t>
            </w:r>
          </w:p>
        </w:tc>
      </w:tr>
    </w:tbl>
    <w:p w:rsidR="00922DAF" w:rsidRPr="00C95E6F" w:rsidP="00922DAF">
      <w:pPr>
        <w:bidi w:val="0"/>
      </w:pPr>
    </w:p>
    <w:p w:rsidR="00922DAF" w:rsidRPr="00C95E6F" w:rsidP="00922DAF">
      <w:pPr>
        <w:bidi w:val="0"/>
        <w:spacing w:after="0" w:line="240" w:lineRule="auto"/>
        <w:rPr>
          <w:rFonts w:ascii="Times New Roman" w:hAnsi="Times New Roman"/>
          <w:b/>
          <w:sz w:val="24"/>
          <w:szCs w:val="24"/>
          <w:lang w:eastAsia="sk-SK"/>
        </w:rPr>
        <w:sectPr w:rsidSect="00B83514">
          <w:headerReference w:type="default" r:id="rId14"/>
          <w:footerReference w:type="default" r:id="rId15"/>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22DAF" w:rsidRPr="00C95E6F" w:rsidP="00B83514">
            <w:pPr>
              <w:bidi w:val="0"/>
              <w:spacing w:after="0" w:line="240" w:lineRule="auto"/>
              <w:rPr>
                <w:rFonts w:ascii="Times New Roman" w:hAnsi="Times New Roman"/>
                <w:b/>
                <w:sz w:val="24"/>
                <w:szCs w:val="24"/>
                <w:lang w:eastAsia="sk-SK"/>
              </w:rPr>
            </w:pPr>
            <w:r w:rsidRPr="00C95E6F">
              <w:rPr>
                <w:rFonts w:ascii="Times New Roman" w:hAnsi="Times New Roman"/>
                <w:b/>
                <w:sz w:val="24"/>
                <w:szCs w:val="24"/>
                <w:lang w:eastAsia="sk-SK"/>
              </w:rPr>
              <w:t>4.3 Identifikujte a popíšte vplyv na rovnosť príležitostí.</w:t>
            </w:r>
          </w:p>
          <w:p w:rsidR="00922DAF" w:rsidRPr="00C95E6F" w:rsidP="00B83514">
            <w:pPr>
              <w:bidi w:val="0"/>
              <w:spacing w:after="0" w:line="240" w:lineRule="auto"/>
              <w:ind w:left="340"/>
              <w:jc w:val="both"/>
              <w:rPr>
                <w:sz w:val="24"/>
                <w:szCs w:val="24"/>
                <w:lang w:eastAsia="sk-SK"/>
              </w:rPr>
            </w:pPr>
            <w:r w:rsidRPr="00C95E6F">
              <w:rPr>
                <w:rFonts w:ascii="Times New Roman" w:hAnsi="Times New Roman"/>
                <w:b/>
                <w:sz w:val="24"/>
                <w:szCs w:val="24"/>
                <w:lang w:eastAsia="sk-SK"/>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jc w:val="both"/>
              <w:rPr>
                <w:rFonts w:ascii="Times New Roman" w:hAnsi="Times New Roman"/>
                <w:i/>
                <w:sz w:val="24"/>
                <w:szCs w:val="24"/>
                <w:lang w:eastAsia="sk-SK"/>
              </w:rPr>
            </w:pPr>
            <w:r w:rsidRPr="00C95E6F">
              <w:rPr>
                <w:rFonts w:ascii="Times New Roman" w:hAnsi="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922DAF" w:rsidRPr="00C95E6F" w:rsidP="00922DAF">
      <w:pPr>
        <w:bidi w:val="0"/>
        <w:spacing w:after="0" w:line="240" w:lineRule="auto"/>
        <w:rPr>
          <w:rFonts w:ascii="Times New Roman" w:hAnsi="Times New Roman"/>
          <w:sz w:val="20"/>
          <w:lang w:eastAsia="sk-SK"/>
        </w:rPr>
        <w:sectPr w:rsidSect="00B83514">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922DAF" w:rsidRPr="00C95E6F" w:rsidP="00B83514">
            <w:pPr>
              <w:bidi w:val="0"/>
              <w:spacing w:after="0" w:line="240" w:lineRule="auto"/>
              <w:rPr>
                <w:rFonts w:ascii="Times New Roman" w:hAnsi="Times New Roman"/>
                <w:sz w:val="20"/>
                <w:lang w:eastAsia="sk-SK"/>
              </w:rPr>
            </w:pPr>
          </w:p>
          <w:p w:rsidR="00922DAF" w:rsidRPr="00C95E6F" w:rsidP="00B83514">
            <w:pPr>
              <w:bidi w:val="0"/>
              <w:spacing w:after="0" w:line="240" w:lineRule="auto"/>
              <w:rPr>
                <w:rFonts w:ascii="Times New Roman" w:hAnsi="Times New Roman"/>
                <w:sz w:val="24"/>
                <w:szCs w:val="24"/>
                <w:lang w:eastAsia="sk-SK"/>
              </w:rPr>
            </w:pPr>
            <w:r w:rsidRPr="00C95E6F">
              <w:rPr>
                <w:rFonts w:ascii="Times New Roman" w:hAnsi="Times New Roman"/>
                <w:sz w:val="24"/>
                <w:szCs w:val="24"/>
                <w:lang w:eastAsia="sk-SK"/>
              </w:rPr>
              <w:t>Bez vplyvu.</w:t>
            </w:r>
          </w:p>
          <w:p w:rsidR="00922DAF" w:rsidRPr="00C95E6F" w:rsidP="00B83514">
            <w:pPr>
              <w:bidi w:val="0"/>
              <w:spacing w:after="0" w:line="240" w:lineRule="auto"/>
              <w:rPr>
                <w:rFonts w:ascii="Times New Roman" w:hAnsi="Times New Roman"/>
                <w:sz w:val="20"/>
                <w:lang w:eastAsia="sk-SK"/>
              </w:rPr>
            </w:pPr>
          </w:p>
          <w:p w:rsidR="00922DAF" w:rsidRPr="00C95E6F" w:rsidP="00B83514">
            <w:pPr>
              <w:bidi w:val="0"/>
              <w:spacing w:after="0" w:line="240" w:lineRule="auto"/>
              <w:rPr>
                <w:rFonts w:ascii="Times New Roman" w:hAnsi="Times New Roman"/>
                <w:i/>
                <w:sz w:val="20"/>
                <w:lang w:eastAsia="sk-SK"/>
              </w:rPr>
            </w:pPr>
          </w:p>
        </w:tc>
      </w:tr>
    </w:tbl>
    <w:p w:rsidR="00922DAF" w:rsidRPr="00C95E6F" w:rsidP="00922DAF">
      <w:pPr>
        <w:bidi w:val="0"/>
        <w:spacing w:after="0" w:line="240" w:lineRule="auto"/>
        <w:rPr>
          <w:rFonts w:ascii="Times New Roman" w:hAnsi="Times New Roman"/>
          <w:i/>
          <w:sz w:val="20"/>
          <w:szCs w:val="20"/>
          <w:lang w:eastAsia="sk-SK"/>
        </w:rPr>
        <w:sectPr w:rsidSect="00B83514">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922DAF" w:rsidRPr="00C95E6F" w:rsidP="00B83514">
            <w:pPr>
              <w:bidi w:val="0"/>
              <w:spacing w:after="0" w:line="240" w:lineRule="auto"/>
              <w:rPr>
                <w:rFonts w:ascii="Times New Roman" w:hAnsi="Times New Roman"/>
                <w:i/>
                <w:sz w:val="20"/>
                <w:szCs w:val="20"/>
                <w:lang w:eastAsia="sk-SK"/>
              </w:rPr>
            </w:pPr>
            <w:r w:rsidRPr="00C95E6F">
              <w:rPr>
                <w:rFonts w:ascii="Times New Roman" w:hAnsi="Times New Roman"/>
                <w:i/>
                <w:sz w:val="20"/>
                <w:szCs w:val="20"/>
                <w:lang w:eastAsia="sk-SK"/>
              </w:rPr>
              <w:t>Môže mať návrh odlišný vplyv na ženy a mužov? Podporuje návrh rovnosť medzi ženami a mužmi alebo naopak bude viesť k zväčšovaniu rodových nerovností? Popíšte vplyvy.</w:t>
            </w:r>
          </w:p>
        </w:tc>
      </w:tr>
    </w:tbl>
    <w:p w:rsidR="00922DAF" w:rsidRPr="00C95E6F" w:rsidP="00922DAF">
      <w:pPr>
        <w:bidi w:val="0"/>
        <w:spacing w:after="0" w:line="240" w:lineRule="auto"/>
        <w:jc w:val="both"/>
        <w:rPr>
          <w:rFonts w:ascii="Times New Roman" w:hAnsi="Times New Roman"/>
          <w:i/>
          <w:sz w:val="18"/>
          <w:szCs w:val="18"/>
          <w:lang w:eastAsia="sk-SK"/>
        </w:rPr>
        <w:sectPr w:rsidSect="00B83514">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922DAF" w:rsidRPr="00C95E6F" w:rsidP="00B83514">
            <w:p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 xml:space="preserve">podpora vyrovnávania ekonomickej nezávislosti, </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 xml:space="preserve">zosúladenie pracovného, súkromného a rodinného života, </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 xml:space="preserve">podpora rovnej participácie na rozhodovaní, </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 xml:space="preserve">boj proti rodovo podmienenému násiliu a obchodovaniu s ľuďmi, </w:t>
            </w:r>
          </w:p>
          <w:p w:rsidR="00922DAF" w:rsidRPr="00C95E6F" w:rsidP="00922DAF">
            <w:pPr>
              <w:numPr>
                <w:numId w:val="13"/>
              </w:numPr>
              <w:bidi w:val="0"/>
              <w:spacing w:after="0" w:line="240" w:lineRule="auto"/>
              <w:jc w:val="both"/>
              <w:rPr>
                <w:rFonts w:ascii="Times New Roman" w:hAnsi="Times New Roman"/>
                <w:i/>
                <w:sz w:val="18"/>
                <w:szCs w:val="18"/>
                <w:lang w:eastAsia="sk-SK"/>
              </w:rPr>
            </w:pPr>
            <w:r w:rsidRPr="00C95E6F">
              <w:rPr>
                <w:rFonts w:ascii="Times New Roman" w:hAnsi="Times New Roman"/>
                <w:i/>
                <w:sz w:val="18"/>
                <w:szCs w:val="18"/>
                <w:lang w:eastAsia="sk-SK"/>
              </w:rPr>
              <w:t>eliminácia rodových stereotypov.</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922DAF" w:rsidRPr="00C95E6F" w:rsidP="00B83514">
            <w:pPr>
              <w:bidi w:val="0"/>
              <w:spacing w:after="0" w:line="240" w:lineRule="auto"/>
              <w:rPr>
                <w:rFonts w:ascii="Times New Roman" w:hAnsi="Times New Roman"/>
                <w:sz w:val="24"/>
                <w:szCs w:val="24"/>
                <w:lang w:eastAsia="sk-SK"/>
              </w:rPr>
            </w:pPr>
            <w:r w:rsidRPr="00C95E6F">
              <w:rPr>
                <w:rFonts w:ascii="Times New Roman" w:hAnsi="Times New Roman"/>
                <w:sz w:val="24"/>
                <w:szCs w:val="24"/>
                <w:lang w:eastAsia="sk-SK"/>
              </w:rPr>
              <w:t>Bez vplyvu.</w:t>
            </w:r>
          </w:p>
          <w:p w:rsidR="00922DAF" w:rsidRPr="00C95E6F" w:rsidP="00B83514">
            <w:pPr>
              <w:bidi w:val="0"/>
              <w:spacing w:after="0" w:line="240" w:lineRule="auto"/>
              <w:rPr>
                <w:rFonts w:ascii="Times New Roman" w:hAnsi="Times New Roman"/>
                <w:sz w:val="24"/>
                <w:szCs w:val="24"/>
                <w:lang w:eastAsia="sk-SK"/>
              </w:rPr>
            </w:pPr>
          </w:p>
          <w:p w:rsidR="00922DAF" w:rsidRPr="00C95E6F" w:rsidP="00B83514">
            <w:pPr>
              <w:bidi w:val="0"/>
              <w:spacing w:after="0" w:line="240" w:lineRule="auto"/>
              <w:rPr>
                <w:rFonts w:ascii="Times New Roman" w:hAnsi="Times New Roman"/>
                <w:sz w:val="24"/>
                <w:szCs w:val="24"/>
                <w:lang w:eastAsia="sk-SK"/>
              </w:rPr>
            </w:pPr>
          </w:p>
          <w:p w:rsidR="00922DAF" w:rsidRPr="00C95E6F" w:rsidP="00B83514">
            <w:pPr>
              <w:bidi w:val="0"/>
              <w:spacing w:after="0" w:line="240" w:lineRule="auto"/>
              <w:rPr>
                <w:rFonts w:ascii="Times New Roman" w:hAnsi="Times New Roman"/>
                <w:sz w:val="24"/>
                <w:szCs w:val="24"/>
                <w:lang w:eastAsia="sk-SK"/>
              </w:rPr>
            </w:pPr>
          </w:p>
        </w:tc>
      </w:tr>
    </w:tbl>
    <w:p w:rsidR="00922DAF" w:rsidRPr="00C95E6F" w:rsidP="00922DAF">
      <w:pPr>
        <w:bidi w:val="0"/>
        <w:spacing w:after="0" w:line="240" w:lineRule="auto"/>
        <w:rPr>
          <w:rFonts w:ascii="Times New Roman" w:hAnsi="Times New Roman"/>
          <w:b/>
          <w:sz w:val="24"/>
          <w:lang w:eastAsia="sk-SK"/>
        </w:rPr>
        <w:sectPr w:rsidSect="00B83514">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30"/>
        <w:gridCol w:w="5778"/>
        <w:gridCol w:w="13"/>
      </w:tblGrid>
      <w:tr>
        <w:tblPrEx>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22DAF" w:rsidRPr="00C95E6F" w:rsidP="00B83514">
            <w:pPr>
              <w:bidi w:val="0"/>
              <w:spacing w:after="0" w:line="240" w:lineRule="auto"/>
              <w:rPr>
                <w:rFonts w:ascii="Times New Roman" w:hAnsi="Times New Roman"/>
                <w:b/>
                <w:sz w:val="24"/>
                <w:lang w:eastAsia="sk-SK"/>
              </w:rPr>
            </w:pPr>
            <w:r w:rsidRPr="00C95E6F">
              <w:rPr>
                <w:rFonts w:ascii="Times New Roman" w:hAnsi="Times New Roman"/>
                <w:b/>
                <w:sz w:val="24"/>
                <w:lang w:eastAsia="sk-SK"/>
              </w:rPr>
              <w:t>4.4 Identifikujte, popíšte a kvantifikujte vplyvy na zamestnanosť a na trh práce.</w:t>
            </w:r>
          </w:p>
          <w:p w:rsidR="00922DAF" w:rsidRPr="00C95E6F" w:rsidP="00B83514">
            <w:pPr>
              <w:bidi w:val="0"/>
              <w:spacing w:after="0" w:line="240" w:lineRule="auto"/>
              <w:jc w:val="both"/>
              <w:rPr>
                <w:rFonts w:ascii="Times New Roman" w:hAnsi="Times New Roman"/>
                <w:i/>
                <w:lang w:eastAsia="sk-SK"/>
              </w:rPr>
            </w:pPr>
            <w:r w:rsidRPr="00C95E6F">
              <w:rPr>
                <w:rFonts w:ascii="Times New Roman" w:hAnsi="Times New Roman"/>
                <w:i/>
                <w:lang w:eastAsia="sk-SK"/>
              </w:rPr>
              <w:t xml:space="preserve">V prípade kladnej odpovede pripojte </w:t>
            </w:r>
            <w:r w:rsidRPr="00C95E6F">
              <w:rPr>
                <w:rFonts w:ascii="Times New Roman" w:hAnsi="Times New Roman"/>
                <w:b/>
                <w:i/>
                <w:lang w:eastAsia="sk-SK"/>
              </w:rPr>
              <w:t>odôvodnenie</w:t>
            </w:r>
            <w:r w:rsidRPr="00C95E6F">
              <w:rPr>
                <w:rFonts w:ascii="Times New Roman" w:hAnsi="Times New Roman"/>
                <w:i/>
                <w:lang w:eastAsia="sk-SK"/>
              </w:rPr>
              <w:t xml:space="preserve"> v súlade s Metodickým postupom pre analýzu sociálnych vplyvov.</w:t>
            </w:r>
          </w:p>
        </w:tc>
      </w:tr>
      <w:tr>
        <w:tblPrEx>
          <w:tblW w:w="5179" w:type="pct"/>
          <w:jc w:val="center"/>
          <w:tblCellMar>
            <w:top w:w="28" w:type="dxa"/>
            <w:bottom w:w="28" w:type="dxa"/>
          </w:tblCellMar>
          <w:tblLook w:val="04A0"/>
        </w:tblPrEx>
        <w:trPr>
          <w:gridAfter w:val="1"/>
          <w:wAfter w:w="7" w:type="dxa"/>
          <w:trHeight w:val="287"/>
          <w:jc w:val="center"/>
        </w:trPr>
        <w:tc>
          <w:tcPr>
            <w:tcW w:w="4993"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rPr>
                <w:rFonts w:ascii="Times New Roman" w:hAnsi="Times New Roman"/>
                <w:i/>
                <w:sz w:val="20"/>
                <w:szCs w:val="20"/>
              </w:rPr>
            </w:pPr>
            <w:r w:rsidRPr="00C95E6F">
              <w:rPr>
                <w:rFonts w:ascii="Times New Roman" w:hAnsi="Times New Roman"/>
                <w:i/>
                <w:sz w:val="20"/>
                <w:szCs w:val="20"/>
              </w:rPr>
              <w:t>Uľahčuje návrh vznik nových pracovných miest? Ak áno, ako? Ak je to možné, doplňte kvantifikáciu.</w:t>
            </w:r>
          </w:p>
        </w:tc>
      </w:tr>
      <w:tr>
        <w:tblPrEx>
          <w:tblW w:w="5179" w:type="pct"/>
          <w:jc w:val="center"/>
          <w:tblCellMar>
            <w:top w:w="28" w:type="dxa"/>
            <w:bottom w:w="28" w:type="dxa"/>
          </w:tblCellMar>
          <w:tblLook w:val="04A0"/>
        </w:tblPrEx>
        <w:trPr>
          <w:gridAfter w:val="1"/>
          <w:wAfter w:w="7" w:type="dxa"/>
          <w:trHeight w:val="567"/>
          <w:jc w:val="center"/>
        </w:trPr>
        <w:tc>
          <w:tcPr>
            <w:tcW w:w="1990" w:type="pct"/>
            <w:tcBorders>
              <w:top w:val="nil"/>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i/>
                <w:sz w:val="18"/>
                <w:szCs w:val="18"/>
              </w:rPr>
            </w:pPr>
            <w:r w:rsidRPr="00C95E6F">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03" w:type="pct"/>
            <w:tcBorders>
              <w:top w:val="nil"/>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sz w:val="24"/>
                <w:szCs w:val="24"/>
              </w:rPr>
            </w:pPr>
            <w:r w:rsidRPr="00C95E6F">
              <w:rPr>
                <w:rFonts w:ascii="Times New Roman" w:hAnsi="Times New Roman"/>
                <w:sz w:val="24"/>
                <w:szCs w:val="24"/>
              </w:rPr>
              <w:t>Bez vplyvu.</w:t>
            </w:r>
          </w:p>
        </w:tc>
      </w:tr>
      <w:tr>
        <w:tblPrEx>
          <w:tblW w:w="5179" w:type="pct"/>
          <w:jc w:val="center"/>
          <w:tblCellMar>
            <w:top w:w="28" w:type="dxa"/>
            <w:bottom w:w="28" w:type="dxa"/>
          </w:tblCellMar>
          <w:tblLook w:val="04A0"/>
        </w:tblPrEx>
        <w:trPr>
          <w:gridAfter w:val="1"/>
          <w:wAfter w:w="7" w:type="dxa"/>
          <w:trHeight w:val="270"/>
          <w:jc w:val="center"/>
        </w:trPr>
        <w:tc>
          <w:tcPr>
            <w:tcW w:w="4993"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rPr>
                <w:rFonts w:ascii="Times New Roman" w:hAnsi="Times New Roman"/>
                <w:i/>
                <w:sz w:val="20"/>
                <w:szCs w:val="20"/>
              </w:rPr>
            </w:pPr>
            <w:r w:rsidRPr="00C95E6F">
              <w:rPr>
                <w:rFonts w:ascii="Times New Roman" w:hAnsi="Times New Roman"/>
                <w:i/>
                <w:sz w:val="20"/>
                <w:szCs w:val="20"/>
              </w:rPr>
              <w:t>Vedie návrh k zániku pracovných miest?</w:t>
            </w:r>
            <w:r w:rsidRPr="00C95E6F">
              <w:rPr>
                <w:rFonts w:ascii="Times New Roman" w:hAnsi="Times New Roman"/>
                <w:sz w:val="20"/>
                <w:szCs w:val="20"/>
              </w:rPr>
              <w:t xml:space="preserve"> </w:t>
            </w:r>
            <w:r w:rsidRPr="00C95E6F">
              <w:rPr>
                <w:rFonts w:ascii="Times New Roman" w:hAnsi="Times New Roman"/>
                <w:i/>
                <w:sz w:val="20"/>
                <w:szCs w:val="20"/>
              </w:rPr>
              <w:t>Ak áno, ako a akých? Ak je to možné, doplňte kvantifikáciu.</w:t>
            </w:r>
          </w:p>
        </w:tc>
      </w:tr>
      <w:tr>
        <w:tblPrEx>
          <w:tblW w:w="5179" w:type="pct"/>
          <w:jc w:val="center"/>
          <w:tblCellMar>
            <w:top w:w="28" w:type="dxa"/>
            <w:bottom w:w="28" w:type="dxa"/>
          </w:tblCellMar>
          <w:tblLook w:val="04A0"/>
        </w:tblPrEx>
        <w:trPr>
          <w:gridAfter w:val="1"/>
          <w:wAfter w:w="7" w:type="dxa"/>
          <w:trHeight w:val="454"/>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i/>
                <w:sz w:val="18"/>
                <w:szCs w:val="18"/>
              </w:rPr>
            </w:pPr>
            <w:r w:rsidRPr="00C95E6F">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sz w:val="24"/>
                <w:szCs w:val="24"/>
              </w:rPr>
            </w:pPr>
            <w:r w:rsidRPr="00C95E6F">
              <w:rPr>
                <w:rFonts w:ascii="Times New Roman" w:hAnsi="Times New Roman"/>
                <w:sz w:val="24"/>
                <w:szCs w:val="24"/>
              </w:rPr>
              <w:t>Bez vplyvu.</w:t>
            </w:r>
          </w:p>
        </w:tc>
      </w:tr>
      <w:tr>
        <w:tblPrEx>
          <w:tblW w:w="5179" w:type="pct"/>
          <w:jc w:val="center"/>
          <w:tblCellMar>
            <w:top w:w="28" w:type="dxa"/>
            <w:bottom w:w="28" w:type="dxa"/>
          </w:tblCellMar>
          <w:tblLook w:val="04A0"/>
        </w:tblPrEx>
        <w:trPr>
          <w:gridAfter w:val="1"/>
          <w:wAfter w:w="7" w:type="dxa"/>
          <w:trHeight w:val="248"/>
          <w:jc w:val="center"/>
        </w:trPr>
        <w:tc>
          <w:tcPr>
            <w:tcW w:w="4993"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rPr>
                <w:rFonts w:ascii="Times New Roman" w:hAnsi="Times New Roman"/>
                <w:sz w:val="20"/>
                <w:szCs w:val="20"/>
              </w:rPr>
            </w:pPr>
            <w:r w:rsidRPr="00C95E6F">
              <w:rPr>
                <w:rFonts w:ascii="Times New Roman" w:hAnsi="Times New Roman"/>
                <w:i/>
                <w:sz w:val="20"/>
                <w:szCs w:val="20"/>
              </w:rPr>
              <w:t>Ovplyvňuje návrh dopyt po práci?</w:t>
            </w:r>
            <w:r w:rsidRPr="00C95E6F">
              <w:rPr>
                <w:rFonts w:ascii="Times New Roman" w:hAnsi="Times New Roman"/>
                <w:sz w:val="20"/>
                <w:szCs w:val="20"/>
              </w:rPr>
              <w:t xml:space="preserve"> </w:t>
            </w:r>
            <w:r w:rsidRPr="00C95E6F">
              <w:rPr>
                <w:rFonts w:ascii="Times New Roman" w:hAnsi="Times New Roman"/>
                <w:i/>
                <w:sz w:val="20"/>
                <w:szCs w:val="20"/>
              </w:rPr>
              <w:t>Ak áno, ako?</w:t>
            </w:r>
          </w:p>
        </w:tc>
      </w:tr>
      <w:tr>
        <w:tblPrEx>
          <w:tblW w:w="5179" w:type="pct"/>
          <w:jc w:val="center"/>
          <w:tblCellMar>
            <w:top w:w="28" w:type="dxa"/>
            <w:bottom w:w="28" w:type="dxa"/>
          </w:tblCellMar>
          <w:tblLook w:val="04A0"/>
        </w:tblPrEx>
        <w:trPr>
          <w:gridAfter w:val="1"/>
          <w:wAfter w:w="7" w:type="dxa"/>
          <w:trHeight w:val="209"/>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i/>
                <w:sz w:val="18"/>
                <w:szCs w:val="18"/>
              </w:rPr>
            </w:pPr>
            <w:r w:rsidRPr="00C95E6F">
              <w:rPr>
                <w:rFonts w:ascii="Times New Roman" w:hAnsi="Times New Roman"/>
                <w:i/>
                <w:sz w:val="18"/>
                <w:szCs w:val="18"/>
              </w:rPr>
              <w:t>Dopyt po práci závisí na jednej strane na produkcii tovarov a služieb v ekonomike a na druhej strane na cene práce.</w:t>
            </w:r>
          </w:p>
        </w:tc>
        <w:tc>
          <w:tcPr>
            <w:tcW w:w="300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sz w:val="24"/>
                <w:szCs w:val="24"/>
              </w:rPr>
            </w:pPr>
            <w:r w:rsidRPr="00C95E6F">
              <w:rPr>
                <w:rFonts w:ascii="Times New Roman" w:hAnsi="Times New Roman"/>
                <w:sz w:val="24"/>
                <w:szCs w:val="24"/>
              </w:rPr>
              <w:t>Bez vplyvu.</w:t>
            </w:r>
          </w:p>
        </w:tc>
      </w:tr>
      <w:tr>
        <w:tblPrEx>
          <w:tblW w:w="5179" w:type="pct"/>
          <w:jc w:val="center"/>
          <w:tblCellMar>
            <w:top w:w="28" w:type="dxa"/>
            <w:bottom w:w="28" w:type="dxa"/>
          </w:tblCellMar>
          <w:tblLook w:val="04A0"/>
        </w:tblPrEx>
        <w:trPr>
          <w:gridAfter w:val="1"/>
          <w:wAfter w:w="7" w:type="dxa"/>
          <w:trHeight w:val="208"/>
          <w:jc w:val="center"/>
        </w:trPr>
        <w:tc>
          <w:tcPr>
            <w:tcW w:w="4993"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rPr>
                <w:rFonts w:ascii="Times New Roman" w:hAnsi="Times New Roman"/>
                <w:sz w:val="20"/>
                <w:szCs w:val="20"/>
              </w:rPr>
            </w:pPr>
            <w:r w:rsidRPr="00C95E6F">
              <w:rPr>
                <w:rFonts w:ascii="Times New Roman" w:hAnsi="Times New Roman"/>
                <w:i/>
                <w:sz w:val="20"/>
                <w:szCs w:val="20"/>
              </w:rPr>
              <w:t>Má návrh dosah na fungovanie trhu práce?</w:t>
            </w:r>
            <w:r w:rsidRPr="00C95E6F">
              <w:rPr>
                <w:rFonts w:ascii="Times New Roman" w:hAnsi="Times New Roman"/>
                <w:sz w:val="20"/>
                <w:szCs w:val="20"/>
              </w:rPr>
              <w:t xml:space="preserve"> </w:t>
            </w:r>
            <w:r w:rsidRPr="00C95E6F">
              <w:rPr>
                <w:rFonts w:ascii="Times New Roman" w:hAnsi="Times New Roman"/>
                <w:i/>
                <w:sz w:val="20"/>
                <w:szCs w:val="20"/>
              </w:rPr>
              <w:t>Ak áno, aký?</w:t>
            </w:r>
          </w:p>
        </w:tc>
      </w:tr>
      <w:tr>
        <w:tblPrEx>
          <w:tblW w:w="5179" w:type="pct"/>
          <w:jc w:val="center"/>
          <w:tblCellMar>
            <w:top w:w="28" w:type="dxa"/>
            <w:bottom w:w="28" w:type="dxa"/>
          </w:tblCellMar>
          <w:tblLook w:val="04A0"/>
        </w:tblPrEx>
        <w:trPr>
          <w:gridAfter w:val="1"/>
          <w:wAfter w:w="7" w:type="dxa"/>
          <w:trHeight w:val="794"/>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i/>
                <w:sz w:val="18"/>
                <w:szCs w:val="18"/>
              </w:rPr>
            </w:pPr>
            <w:r w:rsidRPr="00C95E6F">
              <w:rPr>
                <w:rFonts w:ascii="Times New Roman" w:hAnsi="Times New Roman"/>
                <w:i/>
                <w:sz w:val="18"/>
                <w:szCs w:val="18"/>
              </w:rPr>
              <w:t>Týka sa makroekonomických dosahov ako je napr. participácia na trhu práce, dlhodobá nezamestnanosť, regionálne rozdiely v mierach zamestnanosti.</w:t>
            </w:r>
            <w:r w:rsidRPr="00C95E6F">
              <w:rPr>
                <w:rFonts w:ascii="Times New Roman" w:hAnsi="Times New Roman"/>
                <w:sz w:val="18"/>
                <w:szCs w:val="18"/>
              </w:rPr>
              <w:t xml:space="preserve"> </w:t>
            </w:r>
            <w:r w:rsidRPr="00C95E6F">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sz w:val="24"/>
                <w:szCs w:val="24"/>
              </w:rPr>
            </w:pPr>
            <w:r w:rsidRPr="00C95E6F">
              <w:rPr>
                <w:rFonts w:ascii="Times New Roman" w:hAnsi="Times New Roman"/>
                <w:sz w:val="24"/>
                <w:szCs w:val="24"/>
              </w:rPr>
              <w:t>Bez vplyvu.</w:t>
            </w:r>
          </w:p>
        </w:tc>
      </w:tr>
      <w:tr>
        <w:tblPrEx>
          <w:tblW w:w="5179" w:type="pct"/>
          <w:jc w:val="center"/>
          <w:tblCellMar>
            <w:top w:w="28" w:type="dxa"/>
            <w:bottom w:w="28" w:type="dxa"/>
          </w:tblCellMar>
          <w:tblLook w:val="04A0"/>
        </w:tblPrEx>
        <w:trPr>
          <w:gridAfter w:val="1"/>
          <w:wAfter w:w="7" w:type="dxa"/>
          <w:trHeight w:val="324"/>
          <w:jc w:val="center"/>
        </w:trPr>
        <w:tc>
          <w:tcPr>
            <w:tcW w:w="4993"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rPr>
                <w:rFonts w:ascii="Times New Roman" w:hAnsi="Times New Roman"/>
                <w:sz w:val="20"/>
                <w:szCs w:val="20"/>
              </w:rPr>
            </w:pPr>
            <w:r w:rsidRPr="00C95E6F">
              <w:rPr>
                <w:rFonts w:ascii="Times New Roman" w:hAnsi="Times New Roman"/>
                <w:i/>
                <w:sz w:val="20"/>
                <w:szCs w:val="20"/>
              </w:rPr>
              <w:t>Má návrh špecifické negatívne dôsledky pre isté skupiny profesií, skupín zamestnancov či živnostníkov?</w:t>
            </w:r>
            <w:r w:rsidRPr="00C95E6F">
              <w:rPr>
                <w:rFonts w:ascii="Times New Roman" w:hAnsi="Times New Roman"/>
                <w:sz w:val="20"/>
                <w:szCs w:val="20"/>
              </w:rPr>
              <w:t xml:space="preserve"> </w:t>
            </w:r>
            <w:r w:rsidRPr="00C95E6F">
              <w:rPr>
                <w:rFonts w:ascii="Times New Roman" w:hAnsi="Times New Roman"/>
                <w:i/>
                <w:sz w:val="20"/>
                <w:szCs w:val="20"/>
              </w:rPr>
              <w:t>Ak áno, aké a pre ktoré skupiny?</w:t>
            </w:r>
          </w:p>
        </w:tc>
      </w:tr>
      <w:tr>
        <w:tblPrEx>
          <w:tblW w:w="5179" w:type="pct"/>
          <w:jc w:val="center"/>
          <w:tblCellMar>
            <w:top w:w="28" w:type="dxa"/>
            <w:bottom w:w="28" w:type="dxa"/>
          </w:tblCellMar>
          <w:tblLook w:val="04A0"/>
        </w:tblPrEx>
        <w:trPr>
          <w:gridAfter w:val="1"/>
          <w:wAfter w:w="7" w:type="dxa"/>
          <w:trHeight w:val="216"/>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i/>
                <w:sz w:val="18"/>
                <w:szCs w:val="18"/>
              </w:rPr>
            </w:pPr>
            <w:r w:rsidRPr="00C95E6F">
              <w:rPr>
                <w:rFonts w:ascii="Times New Roman" w:hAnsi="Times New Roman"/>
                <w:i/>
                <w:sz w:val="18"/>
                <w:szCs w:val="18"/>
              </w:rPr>
              <w:t>Návrh môže ohrozovať napr. pracovníkov istých profesií favorizovaním špecifických aktivít či technológií.</w:t>
            </w:r>
          </w:p>
        </w:tc>
        <w:tc>
          <w:tcPr>
            <w:tcW w:w="300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sz w:val="24"/>
                <w:szCs w:val="24"/>
              </w:rPr>
            </w:pPr>
            <w:r w:rsidRPr="00C95E6F">
              <w:rPr>
                <w:rFonts w:ascii="Times New Roman" w:hAnsi="Times New Roman"/>
                <w:sz w:val="24"/>
                <w:szCs w:val="24"/>
              </w:rPr>
              <w:t>Bez vplyvu.</w:t>
            </w:r>
          </w:p>
        </w:tc>
      </w:tr>
      <w:tr>
        <w:tblPrEx>
          <w:tblW w:w="5179" w:type="pct"/>
          <w:jc w:val="center"/>
          <w:tblCellMar>
            <w:top w:w="28" w:type="dxa"/>
            <w:bottom w:w="28" w:type="dxa"/>
          </w:tblCellMar>
          <w:tblLook w:val="04A0"/>
        </w:tblPrEx>
        <w:trPr>
          <w:gridAfter w:val="1"/>
          <w:wAfter w:w="7" w:type="dxa"/>
          <w:trHeight w:val="219"/>
          <w:jc w:val="center"/>
        </w:trPr>
        <w:tc>
          <w:tcPr>
            <w:tcW w:w="4993"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22DAF" w:rsidRPr="00C95E6F" w:rsidP="00B83514">
            <w:pPr>
              <w:bidi w:val="0"/>
              <w:spacing w:after="0" w:line="240" w:lineRule="auto"/>
              <w:rPr>
                <w:rFonts w:ascii="Times New Roman" w:hAnsi="Times New Roman"/>
                <w:sz w:val="20"/>
                <w:szCs w:val="20"/>
              </w:rPr>
            </w:pPr>
            <w:r w:rsidRPr="00C95E6F">
              <w:rPr>
                <w:rFonts w:ascii="Times New Roman" w:hAnsi="Times New Roman"/>
                <w:i/>
                <w:sz w:val="20"/>
                <w:szCs w:val="20"/>
              </w:rPr>
              <w:t>Ovplyvňuje návrh špecifické vekové skupiny zamestnancov? Ak áno, aké? Akým spôsobom?</w:t>
            </w:r>
          </w:p>
        </w:tc>
      </w:tr>
      <w:tr>
        <w:tblPrEx>
          <w:tblW w:w="5179" w:type="pct"/>
          <w:jc w:val="center"/>
          <w:tblCellMar>
            <w:top w:w="28" w:type="dxa"/>
            <w:bottom w:w="28" w:type="dxa"/>
          </w:tblCellMar>
          <w:tblLook w:val="04A0"/>
        </w:tblPrEx>
        <w:trPr>
          <w:gridAfter w:val="1"/>
          <w:wAfter w:w="7" w:type="dxa"/>
          <w:trHeight w:val="497"/>
          <w:jc w:val="center"/>
        </w:trPr>
        <w:tc>
          <w:tcPr>
            <w:tcW w:w="199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i/>
                <w:sz w:val="18"/>
                <w:szCs w:val="18"/>
              </w:rPr>
            </w:pPr>
            <w:r w:rsidRPr="00C95E6F">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22DAF" w:rsidRPr="00C95E6F" w:rsidP="00B83514">
            <w:pPr>
              <w:bidi w:val="0"/>
              <w:spacing w:after="0" w:line="240" w:lineRule="auto"/>
              <w:rPr>
                <w:rFonts w:ascii="Times New Roman" w:hAnsi="Times New Roman"/>
                <w:sz w:val="24"/>
                <w:szCs w:val="24"/>
              </w:rPr>
            </w:pPr>
            <w:r w:rsidRPr="00C95E6F">
              <w:rPr>
                <w:rFonts w:ascii="Times New Roman" w:hAnsi="Times New Roman"/>
                <w:sz w:val="24"/>
                <w:szCs w:val="24"/>
              </w:rPr>
              <w:t>Bez vplyvu.</w:t>
            </w:r>
          </w:p>
        </w:tc>
      </w:tr>
    </w:tbl>
    <w:p w:rsidR="00922DAF">
      <w:pPr>
        <w:bidi w:val="0"/>
        <w:rPr>
          <w:rFonts w:ascii="Times New Roman" w:hAnsi="Times New Roman" w:cs="Times New Roman"/>
          <w:b/>
          <w:sz w:val="24"/>
          <w:szCs w:val="24"/>
        </w:rPr>
      </w:pPr>
    </w:p>
    <w:p w:rsidR="005A3535" w:rsidP="00DA01F2">
      <w:pPr>
        <w:bidi w:val="0"/>
        <w:spacing w:after="0" w:line="240" w:lineRule="auto"/>
        <w:ind w:left="360"/>
        <w:jc w:val="both"/>
        <w:rPr>
          <w:rFonts w:ascii="Times New Roman" w:hAnsi="Times New Roman" w:cs="Times New Roman"/>
          <w:b/>
          <w:sz w:val="24"/>
          <w:szCs w:val="24"/>
        </w:rPr>
      </w:pPr>
    </w:p>
    <w:p w:rsidR="005A3535" w:rsidP="00DA01F2">
      <w:pPr>
        <w:bidi w:val="0"/>
        <w:spacing w:after="0" w:line="240" w:lineRule="auto"/>
        <w:ind w:left="360"/>
        <w:jc w:val="both"/>
        <w:rPr>
          <w:rFonts w:ascii="Times New Roman" w:hAnsi="Times New Roman" w:cs="Times New Roman"/>
          <w:b/>
          <w:sz w:val="24"/>
          <w:szCs w:val="24"/>
        </w:rPr>
      </w:pPr>
    </w:p>
    <w:p w:rsidR="005A3535"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p w:rsidR="00B8326A" w:rsidP="00DA01F2">
      <w:pPr>
        <w:bidi w:val="0"/>
        <w:spacing w:after="0" w:line="240" w:lineRule="auto"/>
        <w:ind w:left="360"/>
        <w:jc w:val="both"/>
        <w:rPr>
          <w:rFonts w:ascii="Times New Roman" w:hAnsi="Times New Roman" w:cs="Times New Roman"/>
          <w:b/>
          <w:sz w:val="24"/>
          <w:szCs w:val="24"/>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326A" w:rsidRPr="00B8326A" w:rsidP="00B8326A">
            <w:pPr>
              <w:bidi w:val="0"/>
              <w:spacing w:after="0" w:line="240" w:lineRule="auto"/>
              <w:jc w:val="center"/>
              <w:rPr>
                <w:rFonts w:ascii="Times New Roman" w:hAnsi="Times New Roman" w:cs="Times New Roman"/>
                <w:b/>
                <w:bCs/>
                <w:sz w:val="24"/>
                <w:szCs w:val="24"/>
              </w:rPr>
            </w:pPr>
            <w:r w:rsidRPr="00B8326A">
              <w:rPr>
                <w:rFonts w:ascii="Times New Roman" w:hAnsi="Times New Roman" w:cs="Times New Roman"/>
                <w:b/>
                <w:bCs/>
                <w:sz w:val="24"/>
                <w:szCs w:val="24"/>
              </w:rPr>
              <w:t>Analýza vplyvov na služby verejnej správy pre občana</w:t>
            </w:r>
          </w:p>
          <w:p w:rsidR="00B8326A" w:rsidRPr="00B8326A" w:rsidP="00B8326A">
            <w:pPr>
              <w:bidi w:val="0"/>
              <w:spacing w:after="0" w:line="240" w:lineRule="auto"/>
              <w:rPr>
                <w:rFonts w:ascii="Times New Roman" w:hAnsi="Times New Roman" w:cs="Times New Roman"/>
                <w:b/>
                <w:i/>
                <w:iCs/>
                <w:sz w:val="24"/>
                <w:szCs w:val="24"/>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8326A" w:rsidRPr="00B8326A" w:rsidP="00B8326A">
            <w:pPr>
              <w:bidi w:val="0"/>
              <w:spacing w:after="0" w:line="240" w:lineRule="auto"/>
              <w:jc w:val="center"/>
              <w:rPr>
                <w:rFonts w:ascii="Times New Roman" w:hAnsi="Times New Roman" w:cs="Times New Roman"/>
                <w:b/>
                <w:sz w:val="24"/>
                <w:szCs w:val="24"/>
              </w:rPr>
            </w:pPr>
            <w:r w:rsidRPr="00B8326A">
              <w:rPr>
                <w:rFonts w:ascii="Times New Roman" w:hAnsi="Times New Roman" w:cs="Times New Roman"/>
                <w:b/>
                <w:sz w:val="24"/>
                <w:szCs w:val="24"/>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i/>
                <w:sz w:val="24"/>
                <w:szCs w:val="24"/>
              </w:rPr>
            </w:pPr>
            <w:r w:rsidRPr="00B8326A">
              <w:rPr>
                <w:rFonts w:ascii="Times New Roman" w:hAnsi="Times New Roman" w:cs="Times New Roman"/>
                <w:b/>
                <w:sz w:val="24"/>
                <w:szCs w:val="24"/>
              </w:rPr>
              <w:t>7.1.1 Predpokladá predložený návrh zmenu existujúcej služby verejnej správy alebo vytvorenie novej služby?</w:t>
            </w:r>
            <w:r w:rsidRPr="00B8326A">
              <w:rPr>
                <w:rFonts w:ascii="Times New Roman" w:hAnsi="Times New Roman" w:cs="Times New Roman"/>
                <w:i/>
                <w:sz w:val="24"/>
                <w:szCs w:val="24"/>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i/>
                <w:sz w:val="24"/>
                <w:szCs w:val="24"/>
              </w:rPr>
            </w:pPr>
            <w:r w:rsidRPr="00B8326A">
              <w:rPr>
                <w:rFonts w:ascii="Times New Roman" w:hAnsi="Times New Roman" w:cs="Times New Roman"/>
                <w:i/>
                <w:sz w:val="24"/>
                <w:szCs w:val="24"/>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V nadväznosti na  zavedenie zdaňovania podielov na zisku (dividend):</w:t>
            </w:r>
          </w:p>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 rozšírenie povinnosti podania daňového priznania k dani z príjmov fyzických osôb o podania daňovníkov, ktorí budú dosahovať príjmy z podielov na zisku (dividend) plynúce zo zdrojov v zahraničí</w:t>
            </w:r>
          </w:p>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sz w:val="24"/>
                <w:szCs w:val="24"/>
              </w:rPr>
              <w:t>- zrušenie oznamovacej povinnosti pre platenie zdravotných odvodov z podielov na zisku (dividend)</w:t>
            </w: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i/>
                <w:sz w:val="24"/>
                <w:szCs w:val="24"/>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sz w:val="24"/>
                <w:szCs w:val="24"/>
              </w:rPr>
            </w:pPr>
            <w:r w:rsidRPr="00B8326A">
              <w:rPr>
                <w:rFonts w:ascii="Times New Roman" w:hAnsi="Times New Roman" w:cs="Times New Roman"/>
                <w:b/>
                <w:sz w:val="24"/>
                <w:szCs w:val="24"/>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i/>
                <w:sz w:val="24"/>
                <w:szCs w:val="24"/>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Podanie daňového priznania k dani z príjmov fyzických osôb len z podielov na zisku (dividend) plynúcich zo zdrojov v zahraničí</w:t>
            </w:r>
          </w:p>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sz w:val="24"/>
                <w:szCs w:val="24"/>
              </w:rPr>
              <w:t>Podanie oznamovacej povinnosti pre platenie zdravotných odvodov</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i/>
                <w:sz w:val="24"/>
                <w:szCs w:val="24"/>
              </w:rPr>
            </w:pPr>
            <w:r w:rsidRPr="00B8326A">
              <w:rPr>
                <w:rFonts w:ascii="Times New Roman" w:hAnsi="Times New Roman" w:cs="Times New Roman"/>
                <w:i/>
                <w:sz w:val="24"/>
                <w:szCs w:val="24"/>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Zákon č. 595/2003 Z. z. o dani z príjmov v znení neskorších predpisov</w:t>
            </w:r>
          </w:p>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sz w:val="24"/>
                <w:szCs w:val="24"/>
              </w:rPr>
              <w:t>Zákon č. 580/2004 Z. Z. o zdravotnom poistení a o zmene a doplnení zákona č. 95/2002 Z. z. o poisťovníctve a o zmene a doplnení niektorých zákonov v znení neskorších predpisov</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i/>
                <w:sz w:val="24"/>
                <w:szCs w:val="24"/>
              </w:rPr>
            </w:pPr>
            <w:r w:rsidRPr="00B8326A">
              <w:rPr>
                <w:rFonts w:ascii="Times New Roman" w:hAnsi="Times New Roman" w:cs="Times New Roman"/>
                <w:i/>
                <w:sz w:val="24"/>
                <w:szCs w:val="24"/>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Finančná správa SR</w:t>
            </w:r>
          </w:p>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Zdravotné poisťovne</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i/>
                <w:sz w:val="24"/>
                <w:szCs w:val="24"/>
              </w:rPr>
            </w:pPr>
            <w:r w:rsidRPr="00B8326A">
              <w:rPr>
                <w:rFonts w:ascii="Times New Roman" w:hAnsi="Times New Roman" w:cs="Times New Roman"/>
                <w:b/>
                <w:sz w:val="24"/>
                <w:szCs w:val="24"/>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i/>
                <w:sz w:val="24"/>
                <w:szCs w:val="24"/>
              </w:rPr>
            </w:pPr>
            <w:r w:rsidRPr="00B8326A">
              <w:rPr>
                <w:rFonts w:ascii="Times New Roman" w:hAnsi="Times New Roman" w:cs="Times New Roman"/>
                <w:i/>
                <w:sz w:val="24"/>
                <w:szCs w:val="24"/>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Zvýšenie počtu podaných daňových priznaní</w:t>
            </w:r>
          </w:p>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Zánik oznamovacej povinnosti pre platenie zdravotných odvodov</w:t>
            </w:r>
          </w:p>
          <w:p w:rsidR="00B8326A" w:rsidRPr="00B8326A" w:rsidP="00B8326A">
            <w:pPr>
              <w:bidi w:val="0"/>
              <w:spacing w:after="0" w:line="240" w:lineRule="auto"/>
              <w:rPr>
                <w:rFonts w:ascii="Times New Roman" w:hAnsi="Times New Roman" w:cs="Times New Roman"/>
                <w:b/>
                <w:i/>
                <w:sz w:val="24"/>
                <w:szCs w:val="24"/>
              </w:rPr>
            </w:pPr>
            <w:r w:rsidRPr="00B8326A">
              <w:rPr>
                <w:rFonts w:ascii="Times New Roman" w:hAnsi="Times New Roman" w:cs="Times New Roman"/>
                <w:sz w:val="24"/>
                <w:szCs w:val="24"/>
              </w:rPr>
              <w:t xml:space="preserve">Úprava výšky poplatku za žiadosť o vydanie rozhodnutia o odsúhlasení metódy ocenenia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i/>
                <w:sz w:val="24"/>
                <w:szCs w:val="24"/>
              </w:rPr>
            </w:pPr>
            <w:r w:rsidRPr="00B8326A">
              <w:rPr>
                <w:rFonts w:ascii="Times New Roman" w:hAnsi="Times New Roman" w:cs="Times New Roman"/>
                <w:i/>
                <w:sz w:val="24"/>
                <w:szCs w:val="24"/>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8326A" w:rsidRPr="00B8326A" w:rsidP="00B8326A">
            <w:pPr>
              <w:bidi w:val="0"/>
              <w:spacing w:after="0" w:line="240" w:lineRule="auto"/>
              <w:jc w:val="center"/>
              <w:rPr>
                <w:rFonts w:ascii="Times New Roman" w:hAnsi="Times New Roman" w:cs="Times New Roman"/>
                <w:b/>
                <w:sz w:val="24"/>
                <w:szCs w:val="24"/>
              </w:rPr>
            </w:pPr>
            <w:r w:rsidRPr="00B8326A">
              <w:rPr>
                <w:rFonts w:ascii="Times New Roman" w:hAnsi="Times New Roman" w:cs="Times New Roman"/>
                <w:b/>
                <w:sz w:val="24"/>
                <w:szCs w:val="24"/>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sz w:val="24"/>
                <w:szCs w:val="24"/>
              </w:rPr>
            </w:pPr>
            <w:r w:rsidRPr="00B8326A">
              <w:rPr>
                <w:rFonts w:ascii="Times New Roman" w:hAnsi="Times New Roman" w:cs="Times New Roman"/>
                <w:b/>
                <w:sz w:val="24"/>
                <w:szCs w:val="24"/>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sz w:val="24"/>
                <w:szCs w:val="24"/>
              </w:rPr>
            </w:pPr>
            <w:r w:rsidRPr="00B8326A">
              <w:rPr>
                <w:rFonts w:ascii="Times New Roman" w:hAnsi="Times New Roman" w:cs="Times New Roman"/>
                <w:i/>
                <w:sz w:val="24"/>
                <w:szCs w:val="24"/>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V nadväznosti na informácie od Finančnej správy sa predpokladá zníženie priamych finančných nákladov v súvislosti so stanovením fixného nastavenia výšky poplatku za žiadosť o vydanie rozhodnutia o odsúhlasení metódy ocenenia</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i/>
                <w:sz w:val="24"/>
                <w:szCs w:val="24"/>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i/>
                <w:sz w:val="24"/>
                <w:szCs w:val="24"/>
              </w:rPr>
              <w:t>Nepredpokladá sa.</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i/>
                <w:sz w:val="24"/>
                <w:szCs w:val="24"/>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i/>
                <w:sz w:val="24"/>
                <w:szCs w:val="24"/>
              </w:rPr>
              <w:t>Nepredpokladá sa.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i/>
                <w:sz w:val="24"/>
                <w:szCs w:val="24"/>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sz w:val="24"/>
                <w:szCs w:val="24"/>
              </w:rPr>
            </w:pPr>
            <w:r w:rsidRPr="00B8326A">
              <w:rPr>
                <w:rFonts w:ascii="Times New Roman" w:hAnsi="Times New Roman" w:cs="Times New Roman"/>
                <w:i/>
                <w:sz w:val="24"/>
                <w:szCs w:val="24"/>
              </w:rPr>
              <w:t>Nepredpokladá sa.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iCs/>
                <w:sz w:val="24"/>
                <w:szCs w:val="24"/>
              </w:rPr>
            </w:pPr>
            <w:r w:rsidRPr="00B8326A">
              <w:rPr>
                <w:rFonts w:ascii="Times New Roman" w:hAnsi="Times New Roman" w:cs="Times New Roman"/>
                <w:b/>
                <w:sz w:val="24"/>
                <w:szCs w:val="24"/>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sz w:val="24"/>
                <w:szCs w:val="24"/>
              </w:rPr>
            </w:pPr>
            <w:r w:rsidRPr="00B8326A">
              <w:rPr>
                <w:rFonts w:ascii="Times New Roman" w:hAnsi="Times New Roman" w:cs="Times New Roman"/>
                <w:i/>
                <w:sz w:val="24"/>
                <w:szCs w:val="24"/>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Nepredpokladá sa.</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sz w:val="24"/>
                <w:szCs w:val="24"/>
              </w:rPr>
            </w:pPr>
            <w:r w:rsidRPr="00B8326A">
              <w:rPr>
                <w:rFonts w:ascii="Times New Roman" w:hAnsi="Times New Roman" w:cs="Times New Roman"/>
                <w:i/>
                <w:sz w:val="24"/>
                <w:szCs w:val="24"/>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Nepredpokladá sa.</w:t>
            </w: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sz w:val="24"/>
                <w:szCs w:val="24"/>
              </w:rPr>
            </w:pPr>
            <w:r w:rsidRPr="00B8326A">
              <w:rPr>
                <w:rFonts w:ascii="Times New Roman" w:hAnsi="Times New Roman" w:cs="Times New Roman"/>
                <w:b/>
                <w:sz w:val="24"/>
                <w:szCs w:val="24"/>
              </w:rPr>
              <w:t xml:space="preserve">7.2.3 Ktorá skupina občanov bude predloženým návrhom ovplyvnená? </w:t>
            </w:r>
          </w:p>
          <w:p w:rsidR="00B8326A" w:rsidRPr="00B8326A" w:rsidP="00B8326A">
            <w:pPr>
              <w:bidi w:val="0"/>
              <w:spacing w:after="0" w:line="240" w:lineRule="auto"/>
              <w:rPr>
                <w:rFonts w:ascii="Times New Roman" w:hAnsi="Times New Roman" w:cs="Times New Roman"/>
                <w:i/>
                <w:iCs/>
                <w:sz w:val="24"/>
                <w:szCs w:val="24"/>
              </w:rPr>
            </w:pPr>
            <w:r w:rsidRPr="00B8326A">
              <w:rPr>
                <w:rFonts w:ascii="Times New Roman" w:hAnsi="Times New Roman" w:cs="Times New Roman"/>
                <w:i/>
                <w:iCs/>
                <w:sz w:val="24"/>
                <w:szCs w:val="24"/>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Cs/>
                <w:sz w:val="24"/>
                <w:szCs w:val="24"/>
              </w:rPr>
            </w:pPr>
            <w:r w:rsidRPr="00B8326A">
              <w:rPr>
                <w:rFonts w:ascii="Times New Roman" w:hAnsi="Times New Roman" w:cs="Times New Roman"/>
                <w:iCs/>
                <w:sz w:val="24"/>
                <w:szCs w:val="24"/>
              </w:rPr>
              <w:t>Daňovníci – fyzické osoby s príjmami z podielov na zisku (dividend) plynúce zo zdrojov zo zahraničia. Z dostupných informácií nie je možné identifikovať počet fyzických osôb, ktorých sa povinnosť podania daňového priznania k dani z príjmov fyzických osôb bude týkať.</w:t>
            </w:r>
          </w:p>
          <w:p w:rsidR="00B8326A" w:rsidRPr="00B8326A" w:rsidP="00B8326A">
            <w:pPr>
              <w:bidi w:val="0"/>
              <w:spacing w:after="0" w:line="240" w:lineRule="auto"/>
              <w:rPr>
                <w:rFonts w:ascii="Times New Roman" w:hAnsi="Times New Roman" w:cs="Times New Roman"/>
                <w:iCs/>
                <w:sz w:val="24"/>
                <w:szCs w:val="24"/>
              </w:rPr>
            </w:pPr>
            <w:r w:rsidRPr="00B8326A">
              <w:rPr>
                <w:rFonts w:ascii="Times New Roman" w:hAnsi="Times New Roman" w:cs="Times New Roman"/>
                <w:iCs/>
                <w:sz w:val="24"/>
                <w:szCs w:val="24"/>
              </w:rPr>
              <w:t>Daňovníci, ktorí budú žiadať správcu dane o vydanie rozhodnutia o odsúhlasení metódy ocenenia</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iCs/>
                <w:sz w:val="24"/>
                <w:szCs w:val="24"/>
              </w:rPr>
            </w:pPr>
            <w:r w:rsidRPr="00B8326A">
              <w:rPr>
                <w:rFonts w:ascii="Times New Roman" w:hAnsi="Times New Roman" w:cs="Times New Roman"/>
                <w:b/>
                <w:sz w:val="24"/>
                <w:szCs w:val="24"/>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iCs/>
                <w:sz w:val="24"/>
                <w:szCs w:val="24"/>
              </w:rPr>
            </w:pPr>
            <w:r w:rsidRPr="00B8326A">
              <w:rPr>
                <w:rFonts w:ascii="Times New Roman" w:hAnsi="Times New Roman" w:cs="Times New Roman"/>
                <w:i/>
                <w:iCs/>
                <w:sz w:val="24"/>
                <w:szCs w:val="24"/>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iCs/>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iCs/>
                <w:sz w:val="24"/>
                <w:szCs w:val="24"/>
              </w:rPr>
            </w:pPr>
            <w:r w:rsidRPr="00B8326A">
              <w:rPr>
                <w:rFonts w:ascii="Times New Roman" w:hAnsi="Times New Roman" w:cs="Times New Roman"/>
                <w:i/>
                <w:iCs/>
                <w:sz w:val="24"/>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Cs/>
                <w:sz w:val="24"/>
                <w:szCs w:val="24"/>
              </w:rPr>
            </w:pPr>
            <w:r w:rsidRPr="00B8326A">
              <w:rPr>
                <w:rFonts w:ascii="Times New Roman" w:hAnsi="Times New Roman" w:cs="Times New Roman"/>
                <w:iCs/>
                <w:sz w:val="24"/>
                <w:szCs w:val="24"/>
              </w:rPr>
              <w:t>Zánik oznamovacej povinnosti pre platenie zdravotných odvodov</w:t>
            </w:r>
          </w:p>
          <w:p w:rsidR="00B8326A" w:rsidRPr="00B8326A" w:rsidP="00B8326A">
            <w:pPr>
              <w:bidi w:val="0"/>
              <w:spacing w:after="0" w:line="240" w:lineRule="auto"/>
              <w:rPr>
                <w:rFonts w:ascii="Times New Roman" w:hAnsi="Times New Roman" w:cs="Times New Roman"/>
                <w:i/>
                <w:iCs/>
                <w:sz w:val="24"/>
                <w:szCs w:val="24"/>
              </w:rPr>
            </w:pPr>
          </w:p>
          <w:p w:rsidR="00B8326A" w:rsidRPr="00B8326A" w:rsidP="00B8326A">
            <w:pPr>
              <w:bidi w:val="0"/>
              <w:spacing w:after="0" w:line="240" w:lineRule="auto"/>
              <w:rPr>
                <w:rFonts w:ascii="Times New Roman" w:hAnsi="Times New Roman" w:cs="Times New Roman"/>
                <w:i/>
                <w:iCs/>
                <w:sz w:val="24"/>
                <w:szCs w:val="24"/>
              </w:rPr>
            </w:pPr>
          </w:p>
          <w:p w:rsidR="00B8326A" w:rsidRPr="00B8326A" w:rsidP="00B8326A">
            <w:pPr>
              <w:bidi w:val="0"/>
              <w:spacing w:after="0" w:line="240" w:lineRule="auto"/>
              <w:rPr>
                <w:rFonts w:ascii="Times New Roman" w:hAnsi="Times New Roman" w:cs="Times New Roman"/>
                <w:i/>
                <w:iCs/>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B8326A" w:rsidRPr="00B8326A" w:rsidP="00B8326A">
            <w:pPr>
              <w:bidi w:val="0"/>
              <w:spacing w:after="0" w:line="240" w:lineRule="auto"/>
              <w:jc w:val="center"/>
              <w:rPr>
                <w:rFonts w:ascii="Times New Roman" w:hAnsi="Times New Roman" w:cs="Times New Roman"/>
                <w:b/>
                <w:sz w:val="24"/>
                <w:szCs w:val="24"/>
              </w:rPr>
            </w:pPr>
            <w:r w:rsidRPr="00B8326A">
              <w:rPr>
                <w:rFonts w:ascii="Times New Roman" w:hAnsi="Times New Roman" w:cs="Times New Roman"/>
                <w:b/>
                <w:sz w:val="24"/>
                <w:szCs w:val="24"/>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b/>
                <w:sz w:val="24"/>
                <w:szCs w:val="24"/>
              </w:rPr>
            </w:pPr>
            <w:r w:rsidRPr="00B8326A">
              <w:rPr>
                <w:rFonts w:ascii="Times New Roman" w:hAnsi="Times New Roman" w:cs="Times New Roman"/>
                <w:b/>
                <w:sz w:val="24"/>
                <w:szCs w:val="24"/>
              </w:rPr>
              <w:t xml:space="preserve">7.3.1 Ktoré sú dotknuté subjekty verejnej správy? </w:t>
            </w:r>
          </w:p>
          <w:p w:rsidR="00B8326A" w:rsidRPr="00B8326A" w:rsidP="00B8326A">
            <w:pPr>
              <w:bidi w:val="0"/>
              <w:spacing w:after="0" w:line="240" w:lineRule="auto"/>
              <w:rPr>
                <w:rFonts w:ascii="Times New Roman" w:hAnsi="Times New Roman" w:cs="Times New Roman"/>
                <w:i/>
                <w:iCs/>
                <w:sz w:val="24"/>
                <w:szCs w:val="24"/>
              </w:rPr>
            </w:pPr>
            <w:r w:rsidRPr="00B8326A">
              <w:rPr>
                <w:rFonts w:ascii="Times New Roman" w:hAnsi="Times New Roman" w:cs="Times New Roman"/>
                <w:i/>
                <w:sz w:val="24"/>
                <w:szCs w:val="24"/>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sz w:val="24"/>
                <w:szCs w:val="24"/>
              </w:rPr>
            </w:pPr>
            <w:r w:rsidRPr="00B8326A">
              <w:rPr>
                <w:rFonts w:ascii="Times New Roman" w:hAnsi="Times New Roman" w:cs="Times New Roman"/>
                <w:sz w:val="24"/>
                <w:szCs w:val="24"/>
              </w:rPr>
              <w:t>Finančná správa SR</w:t>
            </w:r>
          </w:p>
          <w:p w:rsidR="00B8326A" w:rsidRPr="00B8326A" w:rsidP="00B8326A">
            <w:pPr>
              <w:bidi w:val="0"/>
              <w:spacing w:after="0" w:line="240" w:lineRule="auto"/>
              <w:rPr>
                <w:rFonts w:ascii="Times New Roman" w:hAnsi="Times New Roman" w:cs="Times New Roman"/>
                <w:b/>
                <w:sz w:val="24"/>
                <w:szCs w:val="24"/>
              </w:rPr>
            </w:pPr>
            <w:r w:rsidRPr="00B8326A">
              <w:rPr>
                <w:rFonts w:ascii="Times New Roman" w:hAnsi="Times New Roman" w:cs="Times New Roman"/>
                <w:sz w:val="24"/>
                <w:szCs w:val="24"/>
              </w:rPr>
              <w:t>Zdravotná poisťovňa</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iCs/>
                <w:sz w:val="24"/>
                <w:szCs w:val="24"/>
              </w:rPr>
            </w:pPr>
            <w:r w:rsidRPr="00B8326A">
              <w:rPr>
                <w:rFonts w:ascii="Times New Roman" w:hAnsi="Times New Roman" w:cs="Times New Roman"/>
                <w:b/>
                <w:sz w:val="24"/>
                <w:szCs w:val="24"/>
              </w:rPr>
              <w:t xml:space="preserve">7.3.2 Vyplývajú z návrhu pre orgán verejnej správy pri vybavení požiadavky nové povinnosti alebo zanikajú už existujúce povinnosti?  </w:t>
            </w:r>
            <w:r w:rsidRPr="00B8326A">
              <w:rPr>
                <w:rFonts w:ascii="Times New Roman" w:hAnsi="Times New Roman" w:cs="Times New Roman"/>
                <w:iCs/>
                <w:sz w:val="24"/>
                <w:szCs w:val="24"/>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iCs/>
                <w:sz w:val="24"/>
                <w:szCs w:val="24"/>
              </w:rPr>
            </w:pPr>
            <w:r w:rsidRPr="00B8326A">
              <w:rPr>
                <w:rFonts w:ascii="Times New Roman" w:hAnsi="Times New Roman" w:cs="Times New Roman"/>
                <w:i/>
                <w:iCs/>
                <w:sz w:val="24"/>
                <w:szCs w:val="24"/>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Cs/>
                <w:sz w:val="24"/>
                <w:szCs w:val="24"/>
              </w:rPr>
            </w:pPr>
            <w:r w:rsidRPr="00B8326A">
              <w:rPr>
                <w:rFonts w:ascii="Times New Roman" w:hAnsi="Times New Roman" w:cs="Times New Roman"/>
                <w:iCs/>
                <w:sz w:val="24"/>
                <w:szCs w:val="24"/>
              </w:rPr>
              <w:t>Rozšírenie povinnosti podania daňového priznania k dani z príjmov fyzických osôb o podania daňovníkov, ktorí budú dosahovať príjmy z podielov na zisku (dividend) plynúce zo zdrojov v zahraničí</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
                <w:iCs/>
                <w:sz w:val="24"/>
                <w:szCs w:val="24"/>
              </w:rPr>
            </w:pPr>
            <w:r w:rsidRPr="00B8326A">
              <w:rPr>
                <w:rFonts w:ascii="Times New Roman" w:hAnsi="Times New Roman" w:cs="Times New Roman"/>
                <w:i/>
                <w:iCs/>
                <w:sz w:val="24"/>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26A" w:rsidRPr="00B8326A" w:rsidP="00B8326A">
            <w:pPr>
              <w:bidi w:val="0"/>
              <w:spacing w:after="0" w:line="240" w:lineRule="auto"/>
              <w:rPr>
                <w:rFonts w:ascii="Times New Roman" w:hAnsi="Times New Roman" w:cs="Times New Roman"/>
                <w:iCs/>
                <w:sz w:val="24"/>
                <w:szCs w:val="24"/>
              </w:rPr>
            </w:pPr>
            <w:r w:rsidRPr="00B8326A">
              <w:rPr>
                <w:rFonts w:ascii="Times New Roman" w:hAnsi="Times New Roman" w:cs="Times New Roman"/>
                <w:iCs/>
                <w:sz w:val="24"/>
                <w:szCs w:val="24"/>
              </w:rPr>
              <w:t>Zánik povinnosti spracovania oznámenia O príjmoch za rok 20xx, ktoré je prílohou č. 2 k vyhláške č. 116/2014 Z. z. o podrobnostiach o vykazovaní preddavkov na poistné na verejné zdravotné poistenie.</w:t>
            </w:r>
          </w:p>
        </w:tc>
      </w:tr>
    </w:tbl>
    <w:p w:rsidR="00B8326A"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DA01F2">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jc w:val="both"/>
        <w:rPr>
          <w:rFonts w:ascii="Times New Roman" w:hAnsi="Times New Roman" w:cs="Times New Roman"/>
          <w:b/>
          <w:sz w:val="24"/>
          <w:szCs w:val="24"/>
        </w:rPr>
      </w:pPr>
    </w:p>
    <w:p w:rsidR="00B8326A" w:rsidRPr="00B8326A" w:rsidP="00B8326A">
      <w:pPr>
        <w:bidi w:val="0"/>
        <w:spacing w:after="0" w:line="240" w:lineRule="auto"/>
        <w:jc w:val="center"/>
        <w:rPr>
          <w:rFonts w:ascii="Times New Roman" w:hAnsi="Times New Roman" w:cs="Times New Roman"/>
          <w:b/>
          <w:bCs/>
          <w:sz w:val="24"/>
          <w:szCs w:val="24"/>
        </w:rPr>
      </w:pPr>
      <w:r w:rsidRPr="00B8326A">
        <w:rPr>
          <w:rFonts w:ascii="Times New Roman" w:hAnsi="Times New Roman" w:cs="Times New Roman"/>
          <w:b/>
          <w:bCs/>
          <w:sz w:val="24"/>
          <w:szCs w:val="24"/>
        </w:rPr>
        <w:t>DOLOŽKA ZLUČITEĽNOSTI</w:t>
      </w:r>
    </w:p>
    <w:p w:rsidR="00B8326A" w:rsidRPr="00B8326A" w:rsidP="00B8326A">
      <w:pPr>
        <w:pBdr>
          <w:bottom w:val="single" w:sz="6" w:space="1" w:color="auto"/>
        </w:pBdr>
        <w:bidi w:val="0"/>
        <w:spacing w:after="0" w:line="240" w:lineRule="auto"/>
        <w:jc w:val="center"/>
        <w:rPr>
          <w:rFonts w:ascii="Times New Roman" w:hAnsi="Times New Roman" w:cs="Times New Roman"/>
          <w:b/>
          <w:sz w:val="24"/>
          <w:szCs w:val="24"/>
        </w:rPr>
      </w:pPr>
      <w:r w:rsidRPr="00B8326A">
        <w:rPr>
          <w:rFonts w:ascii="Times New Roman" w:hAnsi="Times New Roman" w:cs="Times New Roman"/>
          <w:b/>
          <w:bCs/>
          <w:sz w:val="24"/>
          <w:szCs w:val="24"/>
        </w:rPr>
        <w:t xml:space="preserve">návrhu zákona, </w:t>
      </w:r>
      <w:r w:rsidRPr="00B8326A">
        <w:rPr>
          <w:rFonts w:ascii="Times New Roman" w:hAnsi="Times New Roman" w:cs="Times New Roman"/>
          <w:b/>
          <w:sz w:val="24"/>
          <w:szCs w:val="24"/>
        </w:rPr>
        <w:t xml:space="preserve">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 </w:t>
      </w:r>
    </w:p>
    <w:p w:rsidR="00B8326A" w:rsidRPr="00B8326A" w:rsidP="00B8326A">
      <w:pPr>
        <w:pBdr>
          <w:bottom w:val="single" w:sz="6" w:space="1" w:color="auto"/>
        </w:pBdr>
        <w:bidi w:val="0"/>
        <w:spacing w:after="0" w:line="240" w:lineRule="auto"/>
        <w:jc w:val="center"/>
        <w:rPr>
          <w:rFonts w:ascii="Times New Roman" w:hAnsi="Times New Roman" w:cs="Times New Roman"/>
          <w:b/>
          <w:bCs/>
          <w:sz w:val="24"/>
          <w:szCs w:val="24"/>
        </w:rPr>
      </w:pPr>
      <w:r w:rsidRPr="00B8326A">
        <w:rPr>
          <w:rFonts w:ascii="Times New Roman" w:hAnsi="Times New Roman" w:cs="Times New Roman"/>
          <w:b/>
          <w:bCs/>
          <w:sz w:val="24"/>
          <w:szCs w:val="24"/>
        </w:rPr>
        <w:t>s právom Európskej únie</w:t>
      </w:r>
    </w:p>
    <w:p w:rsidR="00B8326A" w:rsidRPr="00B8326A" w:rsidP="00B8326A">
      <w:pPr>
        <w:bidi w:val="0"/>
        <w:spacing w:after="0" w:line="240" w:lineRule="auto"/>
        <w:rPr>
          <w:rFonts w:ascii="Times New Roman" w:hAnsi="Times New Roman" w:cs="Times New Roman"/>
          <w:b/>
          <w:bCs/>
          <w:sz w:val="24"/>
          <w:szCs w:val="24"/>
        </w:rPr>
      </w:pPr>
    </w:p>
    <w:p w:rsidR="00B8326A" w:rsidRPr="00B8326A" w:rsidP="00B8326A">
      <w:pPr>
        <w:numPr>
          <w:numId w:val="14"/>
        </w:numPr>
        <w:bidi w:val="0"/>
        <w:spacing w:after="0" w:line="240" w:lineRule="auto"/>
        <w:jc w:val="both"/>
        <w:rPr>
          <w:rFonts w:ascii="Times New Roman" w:hAnsi="Times New Roman" w:cs="Times New Roman"/>
          <w:sz w:val="24"/>
          <w:szCs w:val="24"/>
        </w:rPr>
      </w:pPr>
      <w:r w:rsidRPr="00B8326A">
        <w:rPr>
          <w:rFonts w:ascii="Times New Roman" w:hAnsi="Times New Roman" w:cs="Times New Roman"/>
          <w:b/>
          <w:bCs/>
          <w:sz w:val="24"/>
          <w:szCs w:val="24"/>
        </w:rPr>
        <w:t>Predkladateľ návrhu zákona:</w:t>
      </w:r>
    </w:p>
    <w:p w:rsidR="00B8326A" w:rsidRPr="00B8326A" w:rsidP="00B8326A">
      <w:pPr>
        <w:bidi w:val="0"/>
        <w:spacing w:after="0" w:line="240" w:lineRule="auto"/>
        <w:ind w:firstLine="425"/>
        <w:jc w:val="both"/>
        <w:rPr>
          <w:rFonts w:ascii="Times New Roman" w:hAnsi="Times New Roman" w:cs="Times New Roman"/>
          <w:sz w:val="24"/>
          <w:szCs w:val="24"/>
        </w:rPr>
      </w:pPr>
      <w:r w:rsidRPr="00B8326A">
        <w:rPr>
          <w:rFonts w:ascii="Times New Roman" w:hAnsi="Times New Roman" w:cs="Times New Roman"/>
          <w:sz w:val="24"/>
          <w:szCs w:val="24"/>
        </w:rPr>
        <w:t xml:space="preserve">Vláda Slovenskej republiky. </w:t>
      </w:r>
    </w:p>
    <w:p w:rsidR="00B8326A" w:rsidRPr="00B8326A" w:rsidP="00B8326A">
      <w:pPr>
        <w:bidi w:val="0"/>
        <w:spacing w:after="0" w:line="240" w:lineRule="auto"/>
        <w:jc w:val="both"/>
        <w:rPr>
          <w:rFonts w:ascii="Times New Roman" w:hAnsi="Times New Roman" w:cs="Times New Roman"/>
          <w:b/>
          <w:bCs/>
          <w:sz w:val="24"/>
          <w:szCs w:val="24"/>
        </w:rPr>
      </w:pPr>
    </w:p>
    <w:p w:rsidR="00B8326A" w:rsidRPr="00B8326A" w:rsidP="00B8326A">
      <w:pPr>
        <w:numPr>
          <w:numId w:val="14"/>
        </w:numPr>
        <w:bidi w:val="0"/>
        <w:spacing w:after="0" w:line="240" w:lineRule="auto"/>
        <w:jc w:val="both"/>
        <w:rPr>
          <w:rFonts w:ascii="Times New Roman" w:hAnsi="Times New Roman" w:cs="Times New Roman"/>
          <w:b/>
          <w:bCs/>
          <w:sz w:val="24"/>
          <w:szCs w:val="24"/>
        </w:rPr>
      </w:pPr>
      <w:r w:rsidRPr="00B8326A">
        <w:rPr>
          <w:rFonts w:ascii="Times New Roman" w:hAnsi="Times New Roman" w:cs="Times New Roman"/>
          <w:b/>
          <w:bCs/>
          <w:sz w:val="24"/>
          <w:szCs w:val="24"/>
        </w:rPr>
        <w:t>Názov návrhu zákona:</w:t>
      </w:r>
    </w:p>
    <w:p w:rsidR="00B8326A" w:rsidRPr="00B8326A" w:rsidP="00B8326A">
      <w:pPr>
        <w:bidi w:val="0"/>
        <w:spacing w:after="0" w:line="240" w:lineRule="auto"/>
        <w:ind w:left="425"/>
        <w:jc w:val="both"/>
        <w:rPr>
          <w:rFonts w:ascii="Times New Roman" w:hAnsi="Times New Roman" w:cs="Times New Roman"/>
          <w:b/>
          <w:bCs/>
          <w:sz w:val="24"/>
          <w:szCs w:val="24"/>
        </w:rPr>
      </w:pPr>
      <w:r w:rsidRPr="00B8326A">
        <w:rPr>
          <w:rFonts w:ascii="Times New Roman" w:hAnsi="Times New Roman" w:cs="Times New Roman"/>
          <w:sz w:val="24"/>
          <w:szCs w:val="24"/>
        </w:rPr>
        <w:t>Návrh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w:t>
      </w:r>
    </w:p>
    <w:p w:rsidR="00B8326A" w:rsidRPr="00B8326A" w:rsidP="00B8326A">
      <w:pPr>
        <w:bidi w:val="0"/>
        <w:spacing w:after="0" w:line="240" w:lineRule="auto"/>
        <w:jc w:val="both"/>
        <w:rPr>
          <w:rFonts w:ascii="Times New Roman" w:hAnsi="Times New Roman" w:cs="Times New Roman"/>
          <w:b/>
          <w:bCs/>
          <w:sz w:val="24"/>
          <w:szCs w:val="24"/>
        </w:rPr>
      </w:pPr>
    </w:p>
    <w:p w:rsidR="00B8326A" w:rsidRPr="00B8326A" w:rsidP="00B8326A">
      <w:pPr>
        <w:numPr>
          <w:numId w:val="14"/>
        </w:numPr>
        <w:bidi w:val="0"/>
        <w:spacing w:after="0" w:line="240" w:lineRule="auto"/>
        <w:jc w:val="both"/>
        <w:rPr>
          <w:rFonts w:ascii="Times New Roman" w:hAnsi="Times New Roman" w:cs="Times New Roman"/>
          <w:b/>
          <w:bCs/>
          <w:sz w:val="24"/>
          <w:szCs w:val="24"/>
        </w:rPr>
      </w:pPr>
      <w:r w:rsidRPr="00B8326A">
        <w:rPr>
          <w:rFonts w:ascii="Times New Roman" w:hAnsi="Times New Roman" w:cs="Times New Roman"/>
          <w:b/>
          <w:bCs/>
          <w:sz w:val="24"/>
          <w:szCs w:val="24"/>
        </w:rPr>
        <w:t xml:space="preserve">Problematika návrhu zákona: </w:t>
      </w:r>
    </w:p>
    <w:p w:rsidR="00B8326A" w:rsidRPr="00B8326A" w:rsidP="00B8326A">
      <w:pPr>
        <w:numPr>
          <w:ilvl w:val="1"/>
          <w:numId w:val="14"/>
        </w:numPr>
        <w:bidi w:val="0"/>
        <w:spacing w:after="0" w:line="240" w:lineRule="auto"/>
        <w:rPr>
          <w:rFonts w:ascii="Times New Roman" w:hAnsi="Times New Roman" w:cs="Times New Roman"/>
          <w:sz w:val="24"/>
          <w:szCs w:val="24"/>
          <w:lang w:eastAsia="cs-CZ"/>
        </w:rPr>
      </w:pPr>
      <w:r w:rsidRPr="00B8326A">
        <w:rPr>
          <w:rFonts w:ascii="Times New Roman" w:hAnsi="Times New Roman" w:cs="Times New Roman"/>
          <w:sz w:val="24"/>
          <w:szCs w:val="24"/>
          <w:lang w:eastAsia="cs-CZ"/>
        </w:rPr>
        <w:t>je upravená v práve Európskej únie:</w:t>
      </w:r>
    </w:p>
    <w:p w:rsidR="00B8326A" w:rsidRPr="00B8326A" w:rsidP="00B8326A">
      <w:pPr>
        <w:bidi w:val="0"/>
        <w:spacing w:after="0" w:line="240" w:lineRule="auto"/>
        <w:ind w:left="900" w:hanging="425"/>
        <w:rPr>
          <w:rFonts w:ascii="Times New Roman" w:hAnsi="Times New Roman" w:cs="Times New Roman"/>
          <w:b/>
          <w:bCs/>
          <w:iCs/>
          <w:sz w:val="24"/>
          <w:szCs w:val="24"/>
          <w:lang w:eastAsia="cs-CZ"/>
        </w:rPr>
      </w:pPr>
      <w:r w:rsidRPr="00B8326A">
        <w:rPr>
          <w:rFonts w:ascii="Times New Roman" w:hAnsi="Times New Roman" w:cs="Times New Roman"/>
          <w:b/>
          <w:bCs/>
          <w:iCs/>
          <w:sz w:val="24"/>
          <w:szCs w:val="24"/>
          <w:lang w:eastAsia="cs-CZ"/>
        </w:rPr>
        <w:t xml:space="preserve">Primárne právo: </w:t>
      </w:r>
    </w:p>
    <w:p w:rsidR="00B8326A" w:rsidRPr="00B8326A" w:rsidP="00B8326A">
      <w:pPr>
        <w:numPr>
          <w:numId w:val="15"/>
        </w:numPr>
        <w:bidi w:val="0"/>
        <w:spacing w:after="0" w:line="240" w:lineRule="auto"/>
        <w:jc w:val="both"/>
        <w:rPr>
          <w:rFonts w:ascii="Times New Roman" w:hAnsi="Times New Roman" w:cs="Times New Roman"/>
          <w:sz w:val="24"/>
          <w:szCs w:val="24"/>
          <w:lang w:eastAsia="cs-CZ"/>
        </w:rPr>
      </w:pPr>
      <w:r w:rsidRPr="00B8326A">
        <w:rPr>
          <w:rFonts w:ascii="Times New Roman" w:hAnsi="Times New Roman" w:cs="Times New Roman"/>
          <w:sz w:val="24"/>
          <w:szCs w:val="24"/>
          <w:lang w:eastAsia="cs-CZ"/>
        </w:rPr>
        <w:t>čl. 110 až 112 a čl. 115 Zmluvy o fungovaní Európskej únie.</w:t>
      </w:r>
    </w:p>
    <w:p w:rsidR="00B8326A" w:rsidRPr="00B8326A" w:rsidP="00B8326A">
      <w:pPr>
        <w:pStyle w:val="BodyTextIndent"/>
        <w:bidi w:val="0"/>
        <w:spacing w:after="0"/>
        <w:ind w:left="475"/>
        <w:jc w:val="both"/>
        <w:rPr>
          <w:rFonts w:ascii="Times New Roman" w:hAnsi="Times New Roman"/>
          <w:b/>
          <w:bCs/>
          <w:i/>
          <w:iCs/>
        </w:rPr>
      </w:pPr>
      <w:r w:rsidRPr="00B8326A">
        <w:rPr>
          <w:rFonts w:ascii="Times New Roman" w:hAnsi="Times New Roman"/>
          <w:b/>
          <w:bCs/>
          <w:iCs/>
        </w:rPr>
        <w:t>Sekundárne právo</w:t>
      </w:r>
      <w:r w:rsidRPr="00B8326A">
        <w:rPr>
          <w:rFonts w:ascii="Times New Roman" w:hAnsi="Times New Roman"/>
          <w:b/>
          <w:bCs/>
          <w:i/>
          <w:iCs/>
        </w:rPr>
        <w:t xml:space="preserve"> </w:t>
      </w:r>
      <w:r w:rsidRPr="00B8326A">
        <w:rPr>
          <w:rFonts w:ascii="Times New Roman" w:hAnsi="Times New Roman"/>
        </w:rPr>
        <w:t>(prijaté po nadobudnutí platnosti Lisabonskej zmluvy, ktorou sa mení a dopĺňa Zmluva o Európskej únii a Zmluva o založení Európskeho spoločenstva  - po 30. novembri 2009):</w:t>
      </w:r>
    </w:p>
    <w:p w:rsidR="00B8326A" w:rsidRPr="00B8326A" w:rsidP="00B8326A">
      <w:pPr>
        <w:numPr>
          <w:numId w:val="24"/>
        </w:numPr>
        <w:autoSpaceDE w:val="0"/>
        <w:autoSpaceDN w:val="0"/>
        <w:bidi w:val="0"/>
        <w:adjustRightInd w:val="0"/>
        <w:spacing w:after="0" w:line="240" w:lineRule="auto"/>
        <w:ind w:left="782" w:hanging="357"/>
        <w:jc w:val="both"/>
        <w:rPr>
          <w:rFonts w:ascii="Times New Roman" w:hAnsi="Times New Roman" w:cs="Times New Roman"/>
          <w:bCs/>
          <w:iCs/>
          <w:sz w:val="24"/>
          <w:szCs w:val="24"/>
          <w:u w:val="single"/>
        </w:rPr>
      </w:pPr>
      <w:r w:rsidRPr="00B8326A">
        <w:rPr>
          <w:rFonts w:ascii="Times New Roman" w:hAnsi="Times New Roman" w:cs="Times New Roman"/>
          <w:bCs/>
          <w:iCs/>
          <w:sz w:val="24"/>
          <w:szCs w:val="24"/>
          <w:u w:val="single"/>
        </w:rPr>
        <w:t>legislatívne akty:</w:t>
      </w:r>
    </w:p>
    <w:p w:rsidR="00B8326A" w:rsidRPr="00B8326A" w:rsidP="00B8326A">
      <w:pPr>
        <w:numPr>
          <w:numId w:val="15"/>
        </w:numPr>
        <w:autoSpaceDE w:val="0"/>
        <w:autoSpaceDN w:val="0"/>
        <w:bidi w:val="0"/>
        <w:adjustRightInd w:val="0"/>
        <w:spacing w:after="0" w:line="240" w:lineRule="auto"/>
        <w:jc w:val="both"/>
        <w:rPr>
          <w:rFonts w:ascii="Times New Roman" w:hAnsi="Times New Roman" w:cs="Times New Roman"/>
          <w:bCs/>
          <w:sz w:val="24"/>
          <w:szCs w:val="24"/>
        </w:rPr>
      </w:pPr>
      <w:r w:rsidRPr="00B8326A">
        <w:rPr>
          <w:rFonts w:ascii="Times New Roman" w:hAnsi="Times New Roman" w:cs="Times New Roman"/>
          <w:bCs/>
          <w:sz w:val="24"/>
          <w:szCs w:val="24"/>
        </w:rPr>
        <w:t>smernica Rady</w:t>
      </w:r>
      <w:r w:rsidRPr="00B8326A">
        <w:rPr>
          <w:rFonts w:ascii="Times New Roman" w:hAnsi="Times New Roman" w:cs="Times New Roman"/>
          <w:b/>
          <w:bCs/>
          <w:sz w:val="24"/>
          <w:szCs w:val="24"/>
        </w:rPr>
        <w:t xml:space="preserve"> </w:t>
      </w:r>
      <w:r w:rsidRPr="00B8326A">
        <w:rPr>
          <w:rStyle w:val="Strong"/>
          <w:rFonts w:ascii="Times New Roman" w:hAnsi="Times New Roman"/>
          <w:b w:val="0"/>
          <w:sz w:val="24"/>
          <w:szCs w:val="24"/>
          <w:bdr w:val="nil"/>
          <w:shd w:val="clear" w:color="auto" w:fill="FFFFFF"/>
        </w:rPr>
        <w:t xml:space="preserve">(EÚ) </w:t>
      </w:r>
      <w:r w:rsidRPr="00B8326A">
        <w:rPr>
          <w:rStyle w:val="Strong"/>
          <w:rFonts w:ascii="Times New Roman" w:hAnsi="Times New Roman"/>
          <w:b w:val="0"/>
          <w:sz w:val="24"/>
          <w:szCs w:val="24"/>
          <w:u w:val="single"/>
          <w:bdr w:val="nil"/>
          <w:shd w:val="clear" w:color="auto" w:fill="FFFFFF"/>
        </w:rPr>
        <w:t>2015/2060</w:t>
      </w:r>
      <w:r w:rsidRPr="00B8326A">
        <w:rPr>
          <w:rStyle w:val="Strong"/>
          <w:rFonts w:ascii="Times New Roman" w:hAnsi="Times New Roman"/>
          <w:b w:val="0"/>
          <w:sz w:val="24"/>
          <w:szCs w:val="24"/>
          <w:bdr w:val="nil"/>
          <w:shd w:val="clear" w:color="auto" w:fill="FFFFFF"/>
        </w:rPr>
        <w:t xml:space="preserve"> z 10. novembra 2015, ktorou sa zrušuje smernica 2003/48/ES o zdaňovaní príjmu z úspor v podobe výplaty úrokov</w:t>
      </w:r>
      <w:r w:rsidRPr="00B8326A">
        <w:rPr>
          <w:rFonts w:ascii="Times New Roman" w:hAnsi="Times New Roman" w:cs="Times New Roman"/>
          <w:b/>
          <w:bCs/>
          <w:sz w:val="24"/>
          <w:szCs w:val="24"/>
        </w:rPr>
        <w:t xml:space="preserve"> </w:t>
      </w:r>
      <w:r w:rsidRPr="00B8326A">
        <w:rPr>
          <w:rFonts w:ascii="Times New Roman" w:hAnsi="Times New Roman" w:cs="Times New Roman"/>
          <w:bCs/>
          <w:sz w:val="24"/>
          <w:szCs w:val="24"/>
        </w:rPr>
        <w:t>(</w:t>
      </w:r>
      <w:r w:rsidRPr="00B8326A">
        <w:rPr>
          <w:rFonts w:ascii="Times New Roman" w:hAnsi="Times New Roman" w:cs="Times New Roman"/>
          <w:bCs/>
          <w:iCs/>
          <w:sz w:val="24"/>
          <w:szCs w:val="24"/>
        </w:rPr>
        <w:t>Ú. v. EÚ L 301, 18.11.2015),</w:t>
      </w:r>
    </w:p>
    <w:p w:rsidR="00B8326A" w:rsidRPr="00B8326A" w:rsidP="00B8326A">
      <w:pPr>
        <w:numPr>
          <w:numId w:val="15"/>
        </w:numPr>
        <w:autoSpaceDE w:val="0"/>
        <w:autoSpaceDN w:val="0"/>
        <w:bidi w:val="0"/>
        <w:adjustRightInd w:val="0"/>
        <w:spacing w:after="0" w:line="240" w:lineRule="auto"/>
        <w:jc w:val="both"/>
        <w:rPr>
          <w:rStyle w:val="Emphasis"/>
          <w:rFonts w:ascii="Times New Roman" w:hAnsi="Times New Roman"/>
          <w:bCs/>
          <w:sz w:val="24"/>
          <w:szCs w:val="24"/>
          <w:u w:val="single"/>
        </w:rPr>
      </w:pPr>
      <w:r w:rsidRPr="00B8326A">
        <w:rPr>
          <w:rFonts w:ascii="Times New Roman" w:hAnsi="Times New Roman" w:cs="Times New Roman"/>
          <w:bCs/>
          <w:iCs/>
          <w:sz w:val="24"/>
          <w:szCs w:val="24"/>
        </w:rPr>
        <w:t xml:space="preserve">smernica </w:t>
      </w:r>
      <w:r w:rsidRPr="00B8326A">
        <w:rPr>
          <w:rFonts w:ascii="Times New Roman" w:hAnsi="Times New Roman" w:cs="Times New Roman"/>
          <w:bCs/>
          <w:sz w:val="24"/>
          <w:szCs w:val="24"/>
        </w:rPr>
        <w:t xml:space="preserve">Rady </w:t>
      </w:r>
      <w:r w:rsidRPr="00B8326A">
        <w:rPr>
          <w:rFonts w:ascii="Times New Roman" w:hAnsi="Times New Roman" w:cs="Times New Roman"/>
          <w:bCs/>
          <w:sz w:val="24"/>
          <w:szCs w:val="24"/>
          <w:u w:val="single"/>
        </w:rPr>
        <w:t>2011/96/EÚ</w:t>
      </w:r>
      <w:r w:rsidRPr="00B8326A">
        <w:rPr>
          <w:rFonts w:ascii="Times New Roman" w:hAnsi="Times New Roman" w:cs="Times New Roman"/>
          <w:bCs/>
          <w:sz w:val="24"/>
          <w:szCs w:val="24"/>
        </w:rPr>
        <w:t xml:space="preserve"> z 30. novembra 2011 o spoločnom systéme zdaňovania uplatňovanom v prípade materských spoločností a dcérskych spoločností v rozličných členských štátoch (prepracované znenie) (</w:t>
      </w:r>
      <w:r w:rsidRPr="00B8326A">
        <w:rPr>
          <w:rStyle w:val="Emphasis"/>
          <w:rFonts w:ascii="Times New Roman" w:hAnsi="Times New Roman"/>
          <w:i w:val="0"/>
          <w:sz w:val="24"/>
          <w:szCs w:val="24"/>
        </w:rPr>
        <w:t>Ú. v. EÚ L 345, 29.12.2011)</w:t>
      </w:r>
      <w:r w:rsidRPr="00B8326A">
        <w:rPr>
          <w:rFonts w:ascii="Times New Roman" w:hAnsi="Times New Roman" w:cs="Times New Roman"/>
          <w:sz w:val="24"/>
          <w:szCs w:val="24"/>
        </w:rPr>
        <w:t xml:space="preserve"> v platnom znení</w:t>
      </w:r>
      <w:r w:rsidRPr="00B8326A">
        <w:rPr>
          <w:rStyle w:val="Emphasis"/>
          <w:rFonts w:ascii="Times New Roman" w:hAnsi="Times New Roman"/>
          <w:i w:val="0"/>
          <w:sz w:val="24"/>
          <w:szCs w:val="24"/>
        </w:rPr>
        <w:t>.</w:t>
      </w:r>
    </w:p>
    <w:p w:rsidR="00B8326A" w:rsidRPr="00B8326A" w:rsidP="00B8326A">
      <w:pPr>
        <w:autoSpaceDE w:val="0"/>
        <w:autoSpaceDN w:val="0"/>
        <w:bidi w:val="0"/>
        <w:adjustRightInd w:val="0"/>
        <w:spacing w:after="0" w:line="240" w:lineRule="auto"/>
        <w:ind w:left="454"/>
        <w:jc w:val="both"/>
        <w:rPr>
          <w:rFonts w:ascii="Times New Roman" w:hAnsi="Times New Roman" w:cs="Times New Roman"/>
          <w:sz w:val="24"/>
          <w:szCs w:val="24"/>
        </w:rPr>
      </w:pPr>
      <w:r w:rsidRPr="00B8326A">
        <w:rPr>
          <w:rFonts w:ascii="Times New Roman" w:hAnsi="Times New Roman" w:cs="Times New Roman"/>
          <w:b/>
          <w:bCs/>
          <w:iCs/>
          <w:sz w:val="24"/>
          <w:szCs w:val="24"/>
        </w:rPr>
        <w:t xml:space="preserve">Sekundárne právo </w:t>
      </w:r>
      <w:r w:rsidRPr="00B8326A">
        <w:rPr>
          <w:rFonts w:ascii="Times New Roman" w:hAnsi="Times New Roman" w:cs="Times New Roman"/>
          <w:sz w:val="24"/>
          <w:szCs w:val="24"/>
        </w:rPr>
        <w:t>(prijaté pred nadobudnutím platnosti Lisabonskej zmluvy, ktorou sa mení a dopĺňa Zmluva o Európskej únii a Zmluva o založení Európskeho spoločenstva - do 30. novembra 2009):</w:t>
      </w:r>
    </w:p>
    <w:p w:rsidR="00B8326A" w:rsidRPr="00B8326A" w:rsidP="00B8326A">
      <w:pPr>
        <w:autoSpaceDE w:val="0"/>
        <w:autoSpaceDN w:val="0"/>
        <w:bidi w:val="0"/>
        <w:adjustRightInd w:val="0"/>
        <w:spacing w:after="0" w:line="240" w:lineRule="auto"/>
        <w:ind w:left="454"/>
        <w:rPr>
          <w:rFonts w:ascii="Times New Roman" w:hAnsi="Times New Roman" w:cs="Times New Roman"/>
          <w:b/>
          <w:bCs/>
          <w:iCs/>
          <w:sz w:val="24"/>
          <w:szCs w:val="24"/>
        </w:rPr>
      </w:pPr>
    </w:p>
    <w:p w:rsidR="00B8326A" w:rsidRPr="00B8326A" w:rsidP="00B8326A">
      <w:pPr>
        <w:numPr>
          <w:numId w:val="16"/>
        </w:numPr>
        <w:bidi w:val="0"/>
        <w:adjustRightInd w:val="0"/>
        <w:spacing w:after="0" w:line="240" w:lineRule="auto"/>
        <w:jc w:val="both"/>
        <w:rPr>
          <w:rFonts w:ascii="Times New Roman" w:hAnsi="Times New Roman" w:cs="Times New Roman"/>
          <w:sz w:val="24"/>
          <w:szCs w:val="24"/>
        </w:rPr>
      </w:pPr>
      <w:r w:rsidRPr="00B8326A">
        <w:rPr>
          <w:rFonts w:ascii="Times New Roman" w:hAnsi="Times New Roman" w:cs="Times New Roman"/>
          <w:bCs/>
          <w:sz w:val="24"/>
          <w:szCs w:val="24"/>
        </w:rPr>
        <w:t xml:space="preserve">smernica Rady </w:t>
      </w:r>
      <w:r w:rsidRPr="00B8326A">
        <w:rPr>
          <w:rFonts w:ascii="Times New Roman" w:hAnsi="Times New Roman" w:cs="Times New Roman"/>
          <w:bCs/>
          <w:sz w:val="24"/>
          <w:szCs w:val="24"/>
          <w:u w:val="single"/>
        </w:rPr>
        <w:t>2003/48/ES</w:t>
      </w:r>
      <w:r w:rsidRPr="00B8326A">
        <w:rPr>
          <w:rFonts w:ascii="Times New Roman" w:hAnsi="Times New Roman" w:cs="Times New Roman"/>
          <w:bCs/>
          <w:sz w:val="24"/>
          <w:szCs w:val="24"/>
        </w:rPr>
        <w:t xml:space="preserve"> z 3. júna 2003 </w:t>
      </w:r>
      <w:r w:rsidRPr="00B8326A">
        <w:rPr>
          <w:rFonts w:ascii="Times New Roman" w:hAnsi="Times New Roman" w:cs="Times New Roman"/>
          <w:sz w:val="24"/>
          <w:szCs w:val="24"/>
        </w:rPr>
        <w:t xml:space="preserve">o zdaňovaní príjmu z úspor v podobe výplaty úrokov  </w:t>
      </w:r>
      <w:r w:rsidRPr="00B8326A">
        <w:rPr>
          <w:rFonts w:ascii="Times New Roman" w:hAnsi="Times New Roman" w:cs="Times New Roman"/>
          <w:color w:val="000000"/>
          <w:sz w:val="24"/>
          <w:szCs w:val="24"/>
        </w:rPr>
        <w:t>(</w:t>
      </w:r>
      <w:r w:rsidRPr="00B8326A">
        <w:rPr>
          <w:rFonts w:ascii="Times New Roman" w:hAnsi="Times New Roman" w:cs="Times New Roman"/>
          <w:sz w:val="24"/>
          <w:szCs w:val="24"/>
        </w:rPr>
        <w:t xml:space="preserve">Mimoriadne vydanie </w:t>
      </w:r>
      <w:r w:rsidRPr="00B8326A">
        <w:rPr>
          <w:rFonts w:ascii="Times New Roman" w:hAnsi="Times New Roman" w:cs="Times New Roman"/>
          <w:color w:val="000000"/>
          <w:sz w:val="24"/>
          <w:szCs w:val="24"/>
        </w:rPr>
        <w:t>Ú.v.</w:t>
      </w:r>
      <w:r w:rsidRPr="00B8326A">
        <w:rPr>
          <w:rFonts w:ascii="Times New Roman" w:hAnsi="Times New Roman" w:cs="Times New Roman"/>
          <w:i/>
          <w:iCs/>
          <w:color w:val="000000"/>
          <w:sz w:val="24"/>
          <w:szCs w:val="24"/>
        </w:rPr>
        <w:t xml:space="preserve"> </w:t>
      </w:r>
      <w:r w:rsidRPr="00B8326A">
        <w:rPr>
          <w:rFonts w:ascii="Times New Roman" w:hAnsi="Times New Roman" w:cs="Times New Roman"/>
          <w:sz w:val="24"/>
          <w:szCs w:val="24"/>
        </w:rPr>
        <w:t xml:space="preserve">EÚ, kap.  9/ zv. 1, </w:t>
      </w:r>
      <w:r w:rsidRPr="00B8326A">
        <w:rPr>
          <w:rFonts w:ascii="Times New Roman" w:hAnsi="Times New Roman" w:cs="Times New Roman"/>
          <w:iCs/>
          <w:sz w:val="24"/>
          <w:szCs w:val="24"/>
        </w:rPr>
        <w:t>Ú. v. EÚ L 157, 26.6.2003</w:t>
      </w:r>
      <w:r w:rsidRPr="00B8326A">
        <w:rPr>
          <w:rFonts w:ascii="Times New Roman" w:hAnsi="Times New Roman" w:cs="Times New Roman"/>
          <w:sz w:val="24"/>
          <w:szCs w:val="24"/>
        </w:rPr>
        <w:t>) v platnom znení,</w:t>
      </w:r>
    </w:p>
    <w:p w:rsidR="00B8326A" w:rsidRPr="00B8326A" w:rsidP="00B8326A">
      <w:pPr>
        <w:numPr>
          <w:numId w:val="17"/>
        </w:numPr>
        <w:bidi w:val="0"/>
        <w:adjustRightInd w:val="0"/>
        <w:spacing w:after="0" w:line="240" w:lineRule="auto"/>
        <w:jc w:val="both"/>
        <w:rPr>
          <w:rFonts w:ascii="Times New Roman" w:hAnsi="Times New Roman" w:cs="Times New Roman"/>
          <w:sz w:val="24"/>
          <w:szCs w:val="24"/>
        </w:rPr>
      </w:pPr>
      <w:r w:rsidRPr="00B8326A">
        <w:rPr>
          <w:rFonts w:ascii="Times New Roman" w:hAnsi="Times New Roman" w:cs="Times New Roman"/>
          <w:bCs/>
          <w:sz w:val="24"/>
          <w:szCs w:val="24"/>
        </w:rPr>
        <w:t xml:space="preserve">smernica Rady </w:t>
      </w:r>
      <w:r w:rsidRPr="00B8326A">
        <w:rPr>
          <w:rFonts w:ascii="Times New Roman" w:hAnsi="Times New Roman" w:cs="Times New Roman"/>
          <w:bCs/>
          <w:sz w:val="24"/>
          <w:szCs w:val="24"/>
          <w:u w:val="single"/>
        </w:rPr>
        <w:t>2003/49/ES</w:t>
      </w:r>
      <w:r w:rsidRPr="00B8326A">
        <w:rPr>
          <w:rFonts w:ascii="Times New Roman" w:hAnsi="Times New Roman" w:cs="Times New Roman"/>
          <w:bCs/>
          <w:sz w:val="24"/>
          <w:szCs w:val="24"/>
        </w:rPr>
        <w:t xml:space="preserve"> z 3. júna 2003 o spoločnom systéme zdaňovania uplatňovanom na výplaty úrokov a licenčných poplatkov medzi združenými spoločnosťami rôznych členských štátov  </w:t>
      </w:r>
      <w:r w:rsidRPr="00B8326A">
        <w:rPr>
          <w:rFonts w:ascii="Times New Roman" w:hAnsi="Times New Roman" w:cs="Times New Roman"/>
          <w:color w:val="000000"/>
          <w:sz w:val="24"/>
          <w:szCs w:val="24"/>
        </w:rPr>
        <w:t>(</w:t>
      </w:r>
      <w:r w:rsidRPr="00B8326A">
        <w:rPr>
          <w:rFonts w:ascii="Times New Roman" w:hAnsi="Times New Roman" w:cs="Times New Roman"/>
          <w:sz w:val="24"/>
          <w:szCs w:val="24"/>
        </w:rPr>
        <w:t xml:space="preserve">Mimoriadne vydanie </w:t>
      </w:r>
      <w:r w:rsidRPr="00B8326A">
        <w:rPr>
          <w:rFonts w:ascii="Times New Roman" w:hAnsi="Times New Roman" w:cs="Times New Roman"/>
          <w:color w:val="000000"/>
          <w:sz w:val="24"/>
          <w:szCs w:val="24"/>
        </w:rPr>
        <w:t>Ú.v.</w:t>
      </w:r>
      <w:r w:rsidRPr="00B8326A">
        <w:rPr>
          <w:rFonts w:ascii="Times New Roman" w:hAnsi="Times New Roman" w:cs="Times New Roman"/>
          <w:i/>
          <w:iCs/>
          <w:color w:val="000000"/>
          <w:sz w:val="24"/>
          <w:szCs w:val="24"/>
        </w:rPr>
        <w:t xml:space="preserve"> </w:t>
      </w:r>
      <w:r w:rsidRPr="00B8326A">
        <w:rPr>
          <w:rFonts w:ascii="Times New Roman" w:hAnsi="Times New Roman" w:cs="Times New Roman"/>
          <w:sz w:val="24"/>
          <w:szCs w:val="24"/>
        </w:rPr>
        <w:t xml:space="preserve">EÚ, kap. 9/ zv. 1, </w:t>
      </w:r>
      <w:r w:rsidRPr="00B8326A">
        <w:rPr>
          <w:rFonts w:ascii="Times New Roman" w:hAnsi="Times New Roman" w:cs="Times New Roman"/>
          <w:iCs/>
          <w:sz w:val="24"/>
          <w:szCs w:val="24"/>
        </w:rPr>
        <w:t>Ú. v. EÚ L 157, 26.6.2003</w:t>
      </w:r>
      <w:r w:rsidRPr="00B8326A">
        <w:rPr>
          <w:rFonts w:ascii="Times New Roman" w:hAnsi="Times New Roman" w:cs="Times New Roman"/>
          <w:sz w:val="24"/>
          <w:szCs w:val="24"/>
        </w:rPr>
        <w:t>) v platnom znení,</w:t>
      </w:r>
    </w:p>
    <w:p w:rsidR="00B8326A" w:rsidRPr="00B8326A" w:rsidP="00B8326A">
      <w:pPr>
        <w:numPr>
          <w:numId w:val="17"/>
        </w:numPr>
        <w:bidi w:val="0"/>
        <w:adjustRightInd w:val="0"/>
        <w:spacing w:after="0" w:line="240" w:lineRule="auto"/>
        <w:jc w:val="both"/>
        <w:rPr>
          <w:rFonts w:ascii="Times New Roman" w:hAnsi="Times New Roman" w:cs="Times New Roman"/>
          <w:sz w:val="24"/>
          <w:szCs w:val="24"/>
        </w:rPr>
      </w:pPr>
      <w:r w:rsidRPr="00B8326A">
        <w:rPr>
          <w:rFonts w:ascii="Times New Roman" w:hAnsi="Times New Roman" w:cs="Times New Roman"/>
          <w:sz w:val="24"/>
          <w:szCs w:val="24"/>
        </w:rPr>
        <w:t xml:space="preserve">smernica Rady </w:t>
      </w:r>
      <w:r w:rsidRPr="00B8326A">
        <w:rPr>
          <w:rFonts w:ascii="Times New Roman" w:hAnsi="Times New Roman" w:cs="Times New Roman"/>
          <w:sz w:val="24"/>
          <w:szCs w:val="24"/>
          <w:u w:val="single"/>
        </w:rPr>
        <w:t>2008/7/ES</w:t>
      </w:r>
      <w:r w:rsidRPr="00B8326A">
        <w:rPr>
          <w:rFonts w:ascii="Times New Roman" w:hAnsi="Times New Roman" w:cs="Times New Roman"/>
          <w:sz w:val="24"/>
          <w:szCs w:val="24"/>
        </w:rPr>
        <w:t xml:space="preserve"> z 12. februára 2008 o nepriamych daniach z navyšovania kapitálu (Ú. v. EÚ L 46, 21.2. 2008) v platnom znení,</w:t>
      </w:r>
    </w:p>
    <w:p w:rsidR="00B8326A" w:rsidRPr="00B8326A" w:rsidP="00B8326A">
      <w:pPr>
        <w:numPr>
          <w:numId w:val="23"/>
        </w:numPr>
        <w:tabs>
          <w:tab w:val="clear" w:pos="360"/>
          <w:tab w:val="num" w:pos="851"/>
        </w:tabs>
        <w:bidi w:val="0"/>
        <w:spacing w:after="0" w:line="240" w:lineRule="auto"/>
        <w:ind w:left="851" w:hanging="425"/>
        <w:jc w:val="both"/>
        <w:rPr>
          <w:rFonts w:ascii="Times New Roman" w:hAnsi="Times New Roman" w:cs="Times New Roman"/>
          <w:sz w:val="24"/>
          <w:szCs w:val="24"/>
        </w:rPr>
      </w:pPr>
      <w:r w:rsidRPr="00B8326A">
        <w:rPr>
          <w:rFonts w:ascii="Times New Roman" w:hAnsi="Times New Roman" w:cs="Times New Roman"/>
          <w:sz w:val="24"/>
          <w:szCs w:val="24"/>
        </w:rPr>
        <w:t xml:space="preserve">smernica Rady </w:t>
      </w:r>
      <w:r w:rsidRPr="00B8326A">
        <w:rPr>
          <w:rFonts w:ascii="Times New Roman" w:hAnsi="Times New Roman" w:cs="Times New Roman"/>
          <w:sz w:val="24"/>
          <w:szCs w:val="24"/>
          <w:u w:val="single"/>
        </w:rPr>
        <w:t>2009/133/ES</w:t>
      </w:r>
      <w:r w:rsidRPr="00B8326A">
        <w:rPr>
          <w:rFonts w:ascii="Times New Roman" w:hAnsi="Times New Roman" w:cs="Times New Roman"/>
          <w:sz w:val="24"/>
          <w:szCs w:val="24"/>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 (Ú. v. EÚ L 310, 25.11. 2009) v platnom znení.</w:t>
      </w:r>
    </w:p>
    <w:p w:rsidR="00B8326A" w:rsidRPr="00B8326A" w:rsidP="00B8326A">
      <w:pPr>
        <w:numPr>
          <w:ilvl w:val="1"/>
          <w:numId w:val="14"/>
        </w:numPr>
        <w:bidi w:val="0"/>
        <w:spacing w:after="0" w:line="240" w:lineRule="auto"/>
        <w:rPr>
          <w:rFonts w:ascii="Times New Roman" w:hAnsi="Times New Roman" w:cs="Times New Roman"/>
          <w:sz w:val="24"/>
          <w:szCs w:val="24"/>
          <w:lang w:eastAsia="cs-CZ"/>
        </w:rPr>
      </w:pPr>
      <w:r w:rsidRPr="00B8326A">
        <w:rPr>
          <w:rFonts w:ascii="Times New Roman" w:hAnsi="Times New Roman" w:cs="Times New Roman"/>
          <w:sz w:val="24"/>
          <w:szCs w:val="24"/>
          <w:lang w:eastAsia="cs-CZ"/>
        </w:rPr>
        <w:t>je obsiahnutá v judikatúre Súdneho dvora Európskej únie:</w:t>
      </w:r>
    </w:p>
    <w:p w:rsidR="00B8326A" w:rsidRPr="00B8326A" w:rsidP="00B8326A">
      <w:pPr>
        <w:numPr>
          <w:numId w:val="18"/>
        </w:numPr>
        <w:bidi w:val="0"/>
        <w:spacing w:after="0" w:line="240" w:lineRule="auto"/>
        <w:jc w:val="both"/>
        <w:rPr>
          <w:rFonts w:ascii="Times New Roman" w:hAnsi="Times New Roman" w:cs="Times New Roman"/>
          <w:color w:val="000000"/>
          <w:sz w:val="24"/>
          <w:szCs w:val="24"/>
        </w:rPr>
      </w:pPr>
      <w:r w:rsidRPr="00B8326A">
        <w:rPr>
          <w:rFonts w:ascii="Times New Roman" w:hAnsi="Times New Roman" w:cs="Times New Roman"/>
          <w:color w:val="000000"/>
          <w:sz w:val="24"/>
          <w:szCs w:val="24"/>
        </w:rPr>
        <w:t xml:space="preserve">rozhodnutie Súdneho dvora vo veci C - 28/95, </w:t>
      </w:r>
      <w:r w:rsidRPr="00B8326A">
        <w:rPr>
          <w:rFonts w:ascii="Times New Roman" w:hAnsi="Times New Roman" w:cs="Times New Roman"/>
          <w:bCs/>
          <w:color w:val="000000"/>
          <w:sz w:val="24"/>
          <w:szCs w:val="24"/>
        </w:rPr>
        <w:t>A.Leur-Bloem v. Inspecteur der Belastingdienst/Ondernemingen Amsterdam 2</w:t>
      </w:r>
      <w:r w:rsidRPr="00B8326A">
        <w:rPr>
          <w:rFonts w:ascii="Times New Roman" w:hAnsi="Times New Roman" w:cs="Times New Roman"/>
          <w:color w:val="000000"/>
          <w:sz w:val="24"/>
          <w:szCs w:val="24"/>
        </w:rPr>
        <w:t>,</w:t>
      </w:r>
      <w:r w:rsidRPr="00B8326A">
        <w:rPr>
          <w:rFonts w:ascii="Times New Roman" w:hAnsi="Times New Roman" w:cs="Times New Roman"/>
          <w:sz w:val="24"/>
          <w:szCs w:val="24"/>
        </w:rPr>
        <w:t xml:space="preserve"> [1997]</w:t>
      </w:r>
      <w:r w:rsidRPr="00B8326A">
        <w:rPr>
          <w:rFonts w:ascii="Times New Roman" w:hAnsi="Times New Roman" w:cs="Times New Roman"/>
          <w:color w:val="000000"/>
          <w:sz w:val="24"/>
          <w:szCs w:val="24"/>
        </w:rPr>
        <w:t>,</w:t>
      </w:r>
    </w:p>
    <w:p w:rsidR="00B8326A" w:rsidRPr="00B8326A" w:rsidP="00B8326A">
      <w:pPr>
        <w:numPr>
          <w:numId w:val="19"/>
        </w:numPr>
        <w:bidi w:val="0"/>
        <w:spacing w:after="0" w:line="240" w:lineRule="auto"/>
        <w:jc w:val="both"/>
        <w:rPr>
          <w:rFonts w:ascii="Times New Roman" w:hAnsi="Times New Roman" w:cs="Times New Roman"/>
          <w:color w:val="000000"/>
          <w:sz w:val="24"/>
          <w:szCs w:val="24"/>
        </w:rPr>
      </w:pPr>
      <w:r w:rsidRPr="00B8326A">
        <w:rPr>
          <w:rFonts w:ascii="Times New Roman" w:hAnsi="Times New Roman" w:cs="Times New Roman"/>
          <w:color w:val="000000"/>
          <w:sz w:val="24"/>
          <w:szCs w:val="24"/>
        </w:rPr>
        <w:t xml:space="preserve">rozhodnutie Súdneho dvora vo veci C - 43/2000, Andersen og Jensen ApS v. Skatteministeriet, [2002], </w:t>
      </w:r>
    </w:p>
    <w:p w:rsidR="00B8326A" w:rsidRPr="00B8326A" w:rsidP="00B8326A">
      <w:pPr>
        <w:numPr>
          <w:numId w:val="20"/>
        </w:numPr>
        <w:bidi w:val="0"/>
        <w:spacing w:after="0" w:line="240" w:lineRule="auto"/>
        <w:jc w:val="both"/>
        <w:rPr>
          <w:rFonts w:ascii="Times New Roman" w:hAnsi="Times New Roman" w:cs="Times New Roman"/>
          <w:color w:val="000000"/>
          <w:sz w:val="24"/>
          <w:szCs w:val="24"/>
        </w:rPr>
      </w:pPr>
      <w:r w:rsidRPr="00B8326A">
        <w:rPr>
          <w:rFonts w:ascii="Times New Roman" w:hAnsi="Times New Roman" w:cs="Times New Roman"/>
          <w:color w:val="000000"/>
          <w:sz w:val="24"/>
          <w:szCs w:val="24"/>
        </w:rPr>
        <w:t>rozhodnutie Súdneho dvora vo veci C - 522/04, EK v. Belgické kráľovstvo, [2007],</w:t>
      </w:r>
    </w:p>
    <w:p w:rsidR="00B8326A" w:rsidRPr="00B8326A" w:rsidP="00B8326A">
      <w:pPr>
        <w:numPr>
          <w:numId w:val="21"/>
        </w:numPr>
        <w:bidi w:val="0"/>
        <w:spacing w:after="0" w:line="240" w:lineRule="auto"/>
        <w:jc w:val="both"/>
        <w:rPr>
          <w:rFonts w:ascii="Times New Roman" w:hAnsi="Times New Roman" w:cs="Times New Roman"/>
          <w:color w:val="000000"/>
          <w:sz w:val="24"/>
          <w:szCs w:val="24"/>
          <w:lang w:val="cs-CZ"/>
        </w:rPr>
      </w:pPr>
      <w:r w:rsidRPr="00B8326A">
        <w:rPr>
          <w:rFonts w:ascii="Times New Roman" w:hAnsi="Times New Roman" w:cs="Times New Roman"/>
          <w:color w:val="000000"/>
          <w:sz w:val="24"/>
          <w:szCs w:val="24"/>
        </w:rPr>
        <w:t>rozhodnutie Súdneho dvora vo veci C - 294/99, Athinaïki Zythopoiia AE v. E</w:t>
      </w:r>
      <w:r w:rsidRPr="00B8326A">
        <w:rPr>
          <w:rFonts w:ascii="Times New Roman" w:hAnsi="Times New Roman" w:cs="Times New Roman"/>
          <w:color w:val="000000"/>
          <w:sz w:val="24"/>
          <w:szCs w:val="24"/>
        </w:rPr>
        <w:t>lliniko Dimosio, [2001]</w:t>
      </w:r>
      <w:r w:rsidRPr="00B8326A">
        <w:rPr>
          <w:rFonts w:ascii="Times New Roman" w:hAnsi="Times New Roman" w:cs="Times New Roman"/>
          <w:color w:val="000000"/>
          <w:sz w:val="24"/>
          <w:szCs w:val="24"/>
          <w:lang w:val="cs-CZ"/>
        </w:rPr>
        <w:t>,</w:t>
      </w:r>
    </w:p>
    <w:p w:rsidR="00B8326A" w:rsidRPr="00B8326A" w:rsidP="00B8326A">
      <w:pPr>
        <w:numPr>
          <w:numId w:val="21"/>
        </w:numPr>
        <w:bidi w:val="0"/>
        <w:spacing w:after="0" w:line="240" w:lineRule="auto"/>
        <w:jc w:val="both"/>
        <w:rPr>
          <w:rFonts w:ascii="Times New Roman" w:hAnsi="Times New Roman" w:cs="Times New Roman"/>
          <w:sz w:val="24"/>
          <w:szCs w:val="24"/>
          <w:lang w:eastAsia="cs-CZ"/>
        </w:rPr>
      </w:pPr>
      <w:r w:rsidRPr="00B8326A">
        <w:rPr>
          <w:rFonts w:ascii="Times New Roman" w:hAnsi="Times New Roman" w:cs="Times New Roman"/>
          <w:sz w:val="24"/>
          <w:szCs w:val="24"/>
        </w:rPr>
        <w:t>rozhodnutie Súdneho dvora v s</w:t>
      </w:r>
      <w:r w:rsidRPr="00B8326A">
        <w:rPr>
          <w:rFonts w:ascii="Times New Roman" w:hAnsi="Times New Roman" w:cs="Times New Roman"/>
          <w:bCs/>
          <w:sz w:val="24"/>
          <w:szCs w:val="24"/>
        </w:rPr>
        <w:t>pojených veciach C-53/13 a C-80/13</w:t>
      </w:r>
      <w:r w:rsidRPr="00B8326A">
        <w:rPr>
          <w:rFonts w:ascii="Times New Roman" w:hAnsi="Times New Roman" w:cs="Times New Roman"/>
          <w:sz w:val="24"/>
          <w:szCs w:val="24"/>
        </w:rPr>
        <w:t xml:space="preserve">, </w:t>
      </w:r>
      <w:r w:rsidRPr="00B8326A">
        <w:rPr>
          <w:rFonts w:ascii="Times New Roman" w:hAnsi="Times New Roman" w:cs="Times New Roman"/>
          <w:bCs/>
          <w:sz w:val="24"/>
          <w:szCs w:val="24"/>
        </w:rPr>
        <w:t>Strojírny Prostějov a.s., ACO Industries Tábor proti Odvolacímu finančnímu ředitelství, [2014].</w:t>
      </w:r>
    </w:p>
    <w:p w:rsidR="00B8326A" w:rsidRPr="00B8326A" w:rsidP="00B8326A">
      <w:pPr>
        <w:bidi w:val="0"/>
        <w:spacing w:after="0" w:line="240" w:lineRule="auto"/>
        <w:ind w:left="870"/>
        <w:jc w:val="both"/>
        <w:rPr>
          <w:rFonts w:ascii="Times New Roman" w:hAnsi="Times New Roman" w:cs="Times New Roman"/>
          <w:sz w:val="24"/>
          <w:szCs w:val="24"/>
          <w:lang w:eastAsia="cs-CZ"/>
        </w:rPr>
      </w:pPr>
    </w:p>
    <w:p w:rsidR="00B8326A" w:rsidRPr="00B8326A" w:rsidP="00B8326A">
      <w:pPr>
        <w:numPr>
          <w:numId w:val="14"/>
        </w:numPr>
        <w:bidi w:val="0"/>
        <w:spacing w:after="0" w:line="240" w:lineRule="auto"/>
        <w:jc w:val="both"/>
        <w:rPr>
          <w:rFonts w:ascii="Times New Roman" w:hAnsi="Times New Roman" w:cs="Times New Roman"/>
          <w:b/>
          <w:bCs/>
          <w:sz w:val="24"/>
          <w:szCs w:val="24"/>
        </w:rPr>
      </w:pPr>
      <w:r w:rsidRPr="00B8326A">
        <w:rPr>
          <w:rFonts w:ascii="Times New Roman" w:hAnsi="Times New Roman" w:cs="Times New Roman"/>
          <w:b/>
          <w:bCs/>
          <w:sz w:val="24"/>
          <w:szCs w:val="24"/>
        </w:rPr>
        <w:t>Záväzky Slovenskej republiky vo vzťahu k Európskej únii:</w:t>
      </w:r>
    </w:p>
    <w:p w:rsidR="00B8326A" w:rsidRPr="00B8326A" w:rsidP="00B8326A">
      <w:pPr>
        <w:numPr>
          <w:numId w:val="22"/>
        </w:numPr>
        <w:tabs>
          <w:tab w:val="left" w:pos="425"/>
          <w:tab w:val="clear" w:pos="720"/>
        </w:tabs>
        <w:bidi w:val="0"/>
        <w:spacing w:after="0" w:line="240" w:lineRule="auto"/>
        <w:ind w:left="425" w:hanging="425"/>
        <w:jc w:val="both"/>
        <w:rPr>
          <w:rFonts w:ascii="Times New Roman" w:hAnsi="Times New Roman" w:cs="Times New Roman"/>
          <w:sz w:val="24"/>
          <w:szCs w:val="24"/>
          <w:lang w:eastAsia="cs-CZ"/>
        </w:rPr>
      </w:pPr>
      <w:r w:rsidRPr="00B8326A">
        <w:rPr>
          <w:rFonts w:ascii="Times New Roman" w:hAnsi="Times New Roman" w:cs="Times New Roman"/>
          <w:sz w:val="24"/>
          <w:szCs w:val="24"/>
          <w:lang w:eastAsia="cs-CZ"/>
        </w:rPr>
        <w:t>Lehota na prebratie smernice Rady (EÚ) 2015/2060 nebola stanovená.</w:t>
      </w:r>
    </w:p>
    <w:p w:rsidR="00B8326A" w:rsidRPr="00B8326A" w:rsidP="00B8326A">
      <w:pPr>
        <w:numPr>
          <w:numId w:val="22"/>
        </w:numPr>
        <w:tabs>
          <w:tab w:val="left" w:pos="425"/>
          <w:tab w:val="clear" w:pos="720"/>
        </w:tabs>
        <w:bidi w:val="0"/>
        <w:spacing w:after="0" w:line="240" w:lineRule="auto"/>
        <w:ind w:left="425" w:hanging="425"/>
        <w:jc w:val="both"/>
        <w:rPr>
          <w:rFonts w:ascii="Times New Roman" w:hAnsi="Times New Roman" w:cs="Times New Roman"/>
          <w:sz w:val="24"/>
          <w:szCs w:val="24"/>
          <w:lang w:eastAsia="cs-CZ"/>
        </w:rPr>
      </w:pPr>
      <w:r w:rsidRPr="00B8326A">
        <w:rPr>
          <w:rFonts w:ascii="Times New Roman" w:hAnsi="Times New Roman" w:cs="Times New Roman"/>
          <w:sz w:val="24"/>
          <w:szCs w:val="24"/>
          <w:lang w:eastAsia="cs-CZ"/>
        </w:rPr>
        <w:t>Lehota na predloženie návrhu právneho predpisu na rokovanie vlády podľa určenia gestorských ústredných orgánov štátnej správy zodpovedných za transpozíciu smerníc a vypracovanie tabuliek zhody k návrhom všeobecne záväzných právnych predpisov pre smernicu Rady (EÚ) 2015/2060 bola stanovená do 30.6. 2016.</w:t>
      </w:r>
    </w:p>
    <w:p w:rsidR="00B8326A" w:rsidRPr="00B8326A" w:rsidP="00B8326A">
      <w:pPr>
        <w:numPr>
          <w:numId w:val="22"/>
        </w:numPr>
        <w:tabs>
          <w:tab w:val="left" w:pos="425"/>
          <w:tab w:val="clear" w:pos="720"/>
        </w:tabs>
        <w:bidi w:val="0"/>
        <w:spacing w:after="0" w:line="240" w:lineRule="auto"/>
        <w:ind w:left="425" w:hanging="425"/>
        <w:jc w:val="both"/>
        <w:rPr>
          <w:rFonts w:ascii="Times New Roman" w:hAnsi="Times New Roman" w:cs="Times New Roman"/>
          <w:sz w:val="24"/>
          <w:szCs w:val="24"/>
          <w:lang w:eastAsia="cs-CZ"/>
        </w:rPr>
      </w:pPr>
      <w:r w:rsidRPr="00B8326A">
        <w:rPr>
          <w:rFonts w:ascii="Times New Roman" w:hAnsi="Times New Roman" w:cs="Times New Roman"/>
          <w:sz w:val="24"/>
          <w:szCs w:val="24"/>
          <w:lang w:eastAsia="cs-CZ"/>
        </w:rPr>
        <w:t>Proti SR nebolo začaté konanie o porušení Zmluvy o fungovaní Európskej únie podľa čl. 258 až 260.</w:t>
      </w:r>
    </w:p>
    <w:p w:rsidR="00B8326A" w:rsidRPr="00B8326A" w:rsidP="00B8326A">
      <w:pPr>
        <w:numPr>
          <w:numId w:val="22"/>
        </w:numPr>
        <w:tabs>
          <w:tab w:val="left" w:pos="425"/>
          <w:tab w:val="clear" w:pos="720"/>
        </w:tabs>
        <w:bidi w:val="0"/>
        <w:spacing w:after="0" w:line="240" w:lineRule="auto"/>
        <w:ind w:left="425" w:hanging="425"/>
        <w:jc w:val="both"/>
        <w:rPr>
          <w:rFonts w:ascii="Times New Roman" w:hAnsi="Times New Roman" w:cs="Times New Roman"/>
          <w:sz w:val="24"/>
          <w:szCs w:val="24"/>
          <w:lang w:eastAsia="cs-CZ"/>
        </w:rPr>
      </w:pPr>
      <w:r w:rsidRPr="00B8326A">
        <w:rPr>
          <w:rFonts w:ascii="Times New Roman" w:hAnsi="Times New Roman" w:cs="Times New Roman"/>
          <w:sz w:val="24"/>
          <w:szCs w:val="24"/>
          <w:lang w:eastAsia="cs-CZ"/>
        </w:rPr>
        <w:t xml:space="preserve">Smernica Rady (EÚ) 2015/2060 bola prebratá do zákona č. </w:t>
      </w:r>
      <w:r w:rsidRPr="00B8326A">
        <w:rPr>
          <w:rFonts w:ascii="Times New Roman" w:hAnsi="Times New Roman" w:cs="Times New Roman"/>
          <w:sz w:val="24"/>
          <w:szCs w:val="24"/>
        </w:rPr>
        <w:t>595/2003 Z. z. o dani z príjmov v znení neskorších predpisov a do zákona č. 359/2015 Z. z. o automatickej výmene informácií o finančných účtoch</w:t>
      </w:r>
      <w:r w:rsidRPr="00B8326A">
        <w:rPr>
          <w:rFonts w:ascii="Times New Roman" w:hAnsi="Times New Roman" w:cs="Times New Roman"/>
          <w:sz w:val="24"/>
          <w:szCs w:val="24"/>
          <w:lang w:eastAsia="cs-CZ"/>
        </w:rPr>
        <w:t>.</w:t>
      </w:r>
    </w:p>
    <w:p w:rsidR="00B8326A" w:rsidRPr="00B8326A" w:rsidP="00B8326A">
      <w:pPr>
        <w:tabs>
          <w:tab w:val="left" w:pos="425"/>
        </w:tabs>
        <w:bidi w:val="0"/>
        <w:spacing w:after="0" w:line="240" w:lineRule="auto"/>
        <w:jc w:val="both"/>
        <w:rPr>
          <w:rFonts w:ascii="Times New Roman" w:hAnsi="Times New Roman" w:cs="Times New Roman"/>
          <w:sz w:val="24"/>
          <w:szCs w:val="24"/>
          <w:lang w:eastAsia="cs-CZ"/>
        </w:rPr>
      </w:pPr>
    </w:p>
    <w:p w:rsidR="00B8326A" w:rsidRPr="00B8326A" w:rsidP="00B8326A">
      <w:pPr>
        <w:numPr>
          <w:numId w:val="14"/>
        </w:numPr>
        <w:bidi w:val="0"/>
        <w:spacing w:after="0" w:line="240" w:lineRule="auto"/>
        <w:jc w:val="both"/>
        <w:rPr>
          <w:rFonts w:ascii="Times New Roman" w:hAnsi="Times New Roman" w:cs="Times New Roman"/>
          <w:b/>
          <w:bCs/>
          <w:sz w:val="24"/>
          <w:szCs w:val="24"/>
        </w:rPr>
      </w:pPr>
      <w:r w:rsidRPr="00B8326A">
        <w:rPr>
          <w:rFonts w:ascii="Times New Roman" w:hAnsi="Times New Roman" w:cs="Times New Roman"/>
          <w:b/>
          <w:bCs/>
          <w:sz w:val="24"/>
          <w:szCs w:val="24"/>
        </w:rPr>
        <w:t>Stupeň zlučiteľnosti návrhu zákona s právom Európskej únie:</w:t>
      </w:r>
    </w:p>
    <w:p w:rsidR="00B8326A" w:rsidRPr="00B8326A" w:rsidP="00B8326A">
      <w:pPr>
        <w:bidi w:val="0"/>
        <w:spacing w:after="0" w:line="240" w:lineRule="auto"/>
        <w:ind w:left="425"/>
        <w:jc w:val="both"/>
        <w:rPr>
          <w:rFonts w:ascii="Times New Roman" w:hAnsi="Times New Roman" w:cs="Times New Roman"/>
          <w:sz w:val="24"/>
          <w:szCs w:val="24"/>
        </w:rPr>
      </w:pPr>
      <w:r w:rsidRPr="00B8326A">
        <w:rPr>
          <w:rFonts w:ascii="Times New Roman" w:hAnsi="Times New Roman" w:cs="Times New Roman"/>
          <w:sz w:val="24"/>
          <w:szCs w:val="24"/>
        </w:rPr>
        <w:t>Úplný.</w:t>
      </w:r>
    </w:p>
    <w:p w:rsidR="00B8326A" w:rsidRPr="00B8326A" w:rsidP="00B8326A">
      <w:pPr>
        <w:numPr>
          <w:numId w:val="14"/>
        </w:numPr>
        <w:bidi w:val="0"/>
        <w:spacing w:after="0" w:line="240" w:lineRule="auto"/>
        <w:jc w:val="both"/>
        <w:rPr>
          <w:rFonts w:ascii="Times New Roman" w:hAnsi="Times New Roman" w:cs="Times New Roman"/>
          <w:b/>
          <w:bCs/>
          <w:sz w:val="24"/>
          <w:szCs w:val="24"/>
        </w:rPr>
      </w:pPr>
      <w:r w:rsidRPr="00B8326A">
        <w:rPr>
          <w:rFonts w:ascii="Times New Roman" w:hAnsi="Times New Roman" w:cs="Times New Roman"/>
          <w:b/>
          <w:bCs/>
          <w:sz w:val="24"/>
          <w:szCs w:val="24"/>
        </w:rPr>
        <w:t xml:space="preserve">Gestor a spolupracujúce rezorty: </w:t>
      </w:r>
    </w:p>
    <w:p w:rsidR="00B8326A" w:rsidRPr="00B8326A" w:rsidP="00B8326A">
      <w:pPr>
        <w:bidi w:val="0"/>
        <w:spacing w:after="0" w:line="240" w:lineRule="auto"/>
        <w:ind w:left="360"/>
        <w:jc w:val="both"/>
        <w:rPr>
          <w:rFonts w:ascii="Times New Roman" w:hAnsi="Times New Roman" w:cs="Times New Roman"/>
          <w:sz w:val="24"/>
          <w:szCs w:val="24"/>
        </w:rPr>
      </w:pPr>
      <w:r w:rsidRPr="00B8326A">
        <w:rPr>
          <w:rFonts w:ascii="Times New Roman" w:hAnsi="Times New Roman" w:cs="Times New Roman"/>
          <w:sz w:val="24"/>
          <w:szCs w:val="24"/>
        </w:rPr>
        <w:t xml:space="preserve"> Ministerstvo financií Slovenskej republiky.</w:t>
      </w:r>
    </w:p>
    <w:p w:rsidR="00B8326A" w:rsidRPr="00B8326A" w:rsidP="00B8326A">
      <w:pPr>
        <w:bidi w:val="0"/>
        <w:spacing w:after="0" w:line="240" w:lineRule="auto"/>
        <w:jc w:val="both"/>
        <w:rPr>
          <w:rFonts w:ascii="Times New Roman" w:hAnsi="Times New Roman" w:cs="Times New Roman"/>
          <w:b/>
          <w:sz w:val="24"/>
          <w:szCs w:val="24"/>
        </w:rPr>
      </w:pPr>
    </w:p>
    <w:p w:rsidR="00922DAF" w:rsidRPr="00B8326A" w:rsidP="00B8326A">
      <w:pPr>
        <w:bidi w:val="0"/>
        <w:spacing w:after="0" w:line="240" w:lineRule="auto"/>
        <w:ind w:left="360"/>
        <w:jc w:val="both"/>
        <w:rPr>
          <w:rFonts w:ascii="Times New Roman" w:hAnsi="Times New Roman" w:cs="Times New Roman"/>
          <w:b/>
          <w:sz w:val="24"/>
          <w:szCs w:val="24"/>
        </w:rPr>
      </w:pPr>
    </w:p>
    <w:p w:rsidR="00922DAF" w:rsidRPr="00B8326A" w:rsidP="00B8326A">
      <w:pPr>
        <w:bidi w:val="0"/>
        <w:spacing w:after="0" w:line="240" w:lineRule="auto"/>
        <w:ind w:left="360"/>
        <w:jc w:val="both"/>
        <w:rPr>
          <w:rFonts w:ascii="Times New Roman" w:hAnsi="Times New Roman" w:cs="Times New Roman"/>
          <w:b/>
          <w:sz w:val="24"/>
          <w:szCs w:val="24"/>
        </w:rPr>
      </w:pPr>
    </w:p>
    <w:p w:rsidR="00922DAF"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514" w:rsidRPr="00760F48" w:rsidP="00B83514">
      <w:pPr>
        <w:bidi w:val="0"/>
        <w:spacing w:after="0" w:line="240" w:lineRule="auto"/>
        <w:rPr>
          <w:rFonts w:ascii="Times New Roman" w:hAnsi="Times New Roman" w:cs="Times New Roman"/>
          <w:b/>
          <w:sz w:val="24"/>
          <w:szCs w:val="24"/>
          <w:u w:val="single"/>
        </w:rPr>
      </w:pPr>
      <w:r w:rsidRPr="00760F48">
        <w:rPr>
          <w:rFonts w:ascii="Times New Roman" w:hAnsi="Times New Roman" w:cs="Times New Roman"/>
          <w:b/>
          <w:sz w:val="24"/>
          <w:szCs w:val="24"/>
          <w:u w:val="single"/>
        </w:rPr>
        <w:t>Osobitná časť</w:t>
      </w:r>
    </w:p>
    <w:p w:rsidR="00B83514" w:rsidRPr="00760F48" w:rsidP="00B83514">
      <w:pPr>
        <w:bidi w:val="0"/>
        <w:spacing w:after="0" w:line="240" w:lineRule="auto"/>
        <w:rPr>
          <w:rFonts w:ascii="Times New Roman" w:hAnsi="Times New Roman" w:cs="Times New Roman"/>
          <w:b/>
          <w:sz w:val="24"/>
          <w:szCs w:val="24"/>
          <w:u w:val="single"/>
        </w:rPr>
      </w:pPr>
    </w:p>
    <w:p w:rsidR="00B83514" w:rsidRPr="00760F48" w:rsidP="00B83514">
      <w:pPr>
        <w:bidi w:val="0"/>
        <w:spacing w:after="0" w:line="240" w:lineRule="auto"/>
        <w:rPr>
          <w:rFonts w:ascii="Times New Roman" w:hAnsi="Times New Roman" w:cs="Times New Roman"/>
          <w:b/>
          <w:sz w:val="24"/>
          <w:szCs w:val="24"/>
        </w:rPr>
      </w:pPr>
      <w:r w:rsidRPr="00760F48">
        <w:rPr>
          <w:rFonts w:ascii="Times New Roman" w:hAnsi="Times New Roman" w:cs="Times New Roman"/>
          <w:b/>
          <w:sz w:val="24"/>
          <w:szCs w:val="24"/>
        </w:rPr>
        <w:t>K Čl. I</w:t>
      </w:r>
    </w:p>
    <w:p w:rsidR="00B83514" w:rsidRPr="00760F48" w:rsidP="00B83514">
      <w:pPr>
        <w:bidi w:val="0"/>
        <w:spacing w:after="0" w:line="240" w:lineRule="auto"/>
        <w:rPr>
          <w:rFonts w:ascii="Times New Roman" w:hAnsi="Times New Roman" w:cs="Times New Roman"/>
          <w:b/>
          <w:sz w:val="24"/>
          <w:szCs w:val="24"/>
        </w:rPr>
      </w:pPr>
    </w:p>
    <w:p w:rsidR="00B83514" w:rsidRPr="00760F48" w:rsidP="00B83514">
      <w:pPr>
        <w:bidi w:val="0"/>
        <w:spacing w:after="0" w:line="240" w:lineRule="auto"/>
        <w:rPr>
          <w:rFonts w:ascii="Times New Roman" w:hAnsi="Times New Roman" w:cs="Times New Roman"/>
          <w:b/>
          <w:sz w:val="24"/>
          <w:szCs w:val="24"/>
        </w:rPr>
      </w:pPr>
      <w:r w:rsidRPr="00760F48">
        <w:rPr>
          <w:rFonts w:ascii="Times New Roman" w:hAnsi="Times New Roman" w:cs="Times New Roman"/>
          <w:b/>
          <w:sz w:val="24"/>
          <w:szCs w:val="24"/>
        </w:rPr>
        <w:t>K bodom 1 a 2 - § 2 písm. o)</w:t>
      </w:r>
    </w:p>
    <w:p w:rsidR="00B83514" w:rsidRPr="00760F48" w:rsidP="00B83514">
      <w:pPr>
        <w:bidi w:val="0"/>
        <w:spacing w:after="0" w:line="240" w:lineRule="auto"/>
        <w:jc w:val="both"/>
        <w:rPr>
          <w:rFonts w:ascii="Times New Roman" w:hAnsi="Times New Roman" w:cs="Times New Roman"/>
          <w:sz w:val="24"/>
          <w:szCs w:val="24"/>
        </w:rPr>
      </w:pPr>
      <w:r w:rsidRPr="00760F48">
        <w:rPr>
          <w:rFonts w:ascii="Times New Roman" w:hAnsi="Times New Roman" w:cs="Times New Roman"/>
          <w:sz w:val="24"/>
          <w:szCs w:val="24"/>
        </w:rPr>
        <w:t>Ide o  spresnenie pojmu ekonomické a personálne prepojenie v nadväznosti na jeho zosúladenie s požadovaným obsahom, keďže v praxi vznikali situácie, kedy aj zjavné ekonomické a personálne prepojenie dvoch osôb nespadalo pod príslušnú definíciu.</w:t>
      </w:r>
    </w:p>
    <w:p w:rsidR="00B83514" w:rsidRPr="00760F48" w:rsidP="00B83514">
      <w:pPr>
        <w:bidi w:val="0"/>
        <w:spacing w:after="0" w:line="240" w:lineRule="auto"/>
        <w:jc w:val="both"/>
        <w:rPr>
          <w:rFonts w:ascii="Times New Roman" w:hAnsi="Times New Roman" w:cs="Times New Roman"/>
          <w:sz w:val="24"/>
          <w:szCs w:val="24"/>
        </w:rPr>
      </w:pPr>
      <w:r w:rsidRPr="00760F48">
        <w:rPr>
          <w:rFonts w:ascii="Times New Roman" w:hAnsi="Times New Roman" w:cs="Times New Roman"/>
          <w:sz w:val="24"/>
          <w:szCs w:val="24"/>
        </w:rPr>
        <w:t>Upravuje sa pojem „vedenie“, kde sa nahrádza obchodná spoločnosť a družstvo všeobecným pojmom právnická osoba z dôvodu, že existujú v obchodnej sfére aj iné subjekty, ktorých cieľom je aj dosahovanie zisku, napr. pozemkové spoločenstvá a v predmetnej definícii absentovali.</w:t>
      </w:r>
    </w:p>
    <w:p w:rsidR="00B83514" w:rsidRPr="00760F48" w:rsidP="00B83514">
      <w:pPr>
        <w:bidi w:val="0"/>
        <w:spacing w:after="0" w:line="240" w:lineRule="auto"/>
        <w:jc w:val="both"/>
        <w:rPr>
          <w:rFonts w:ascii="Times New Roman" w:hAnsi="Times New Roman" w:cs="Times New Roman"/>
          <w:sz w:val="24"/>
          <w:szCs w:val="24"/>
        </w:rPr>
      </w:pPr>
      <w:r w:rsidRPr="00760F48">
        <w:rPr>
          <w:rFonts w:ascii="Times New Roman" w:hAnsi="Times New Roman" w:cs="Times New Roman"/>
          <w:sz w:val="24"/>
          <w:szCs w:val="24"/>
        </w:rPr>
        <w:t xml:space="preserve">  </w:t>
      </w:r>
    </w:p>
    <w:p w:rsidR="00B83514" w:rsidRPr="00760F48" w:rsidP="00B83514">
      <w:pPr>
        <w:bidi w:val="0"/>
        <w:spacing w:after="0" w:line="240" w:lineRule="auto"/>
        <w:jc w:val="both"/>
        <w:rPr>
          <w:rFonts w:ascii="Times New Roman" w:hAnsi="Times New Roman" w:cs="Times New Roman"/>
          <w:b/>
          <w:sz w:val="24"/>
          <w:szCs w:val="24"/>
        </w:rPr>
      </w:pPr>
      <w:r w:rsidRPr="00760F48">
        <w:rPr>
          <w:rFonts w:ascii="Times New Roman" w:hAnsi="Times New Roman" w:cs="Times New Roman"/>
          <w:b/>
          <w:sz w:val="24"/>
          <w:szCs w:val="24"/>
        </w:rPr>
        <w:t>K bodu 3 - § 2 písm. p)</w:t>
      </w:r>
    </w:p>
    <w:p w:rsidR="00B83514" w:rsidRPr="00760F48" w:rsidP="00B83514">
      <w:pPr>
        <w:bidi w:val="0"/>
        <w:spacing w:after="0" w:line="240" w:lineRule="auto"/>
        <w:jc w:val="both"/>
        <w:rPr>
          <w:rFonts w:ascii="Times New Roman" w:hAnsi="Times New Roman" w:cs="Times New Roman"/>
          <w:sz w:val="24"/>
          <w:szCs w:val="24"/>
        </w:rPr>
      </w:pPr>
      <w:r w:rsidRPr="00760F48">
        <w:rPr>
          <w:rFonts w:ascii="Times New Roman" w:hAnsi="Times New Roman" w:cs="Times New Roman"/>
          <w:sz w:val="24"/>
          <w:szCs w:val="24"/>
        </w:rPr>
        <w:t>Ide o úpravu v súvislosti so zmenami v § 17 ods. 5 a novou definíciou v § 2 písm. ab).  Prepojenie medzi subjektami z dôvodu ich obchodných vzťahov je potrebné posudzovať ako prepojenie v rámci právnych vzťahov alebo transakcií medzi subjektami, ktoré vznikajú za účelom zníženia základu dane alebo zvýšenia daňovej straty.</w:t>
      </w:r>
    </w:p>
    <w:p w:rsidR="00B83514" w:rsidRPr="00760F48" w:rsidP="00B83514">
      <w:pPr>
        <w:bidi w:val="0"/>
        <w:spacing w:after="0" w:line="240" w:lineRule="auto"/>
        <w:jc w:val="both"/>
        <w:rPr>
          <w:rFonts w:ascii="Times New Roman" w:hAnsi="Times New Roman" w:cs="Times New Roman"/>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4 - § 2 písm. y)</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Návrhom zákona sa medzi držiteľov uvedených v § 2 písm. y) uvádza aj držiteľ povolenia na poskytovanie lekárenskej starostlivosti zadefinovaný v zákone č. 362/2011 Z. z. o liekoch. </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 xml:space="preserve">K bodu 5 - § 2 písm. ab)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Navrhovanou úpravou sa pridáva nový základný pojem do zákona, a to pojem kontrolovanej transakcie. Táto definícia je naviazaná na ustanovenie § 17 ods. 5, kde pojem „kontrolovaná transakcia“ nahrádza pojem „vzájomný obchodný vzťah“. Dôvodom zmeny je rôzny výklad pojmu vzájomný obchodný vzťah, ktorý nemá zákonnú definíciu a u odbornej verejnosti vznikali nejasnosti, čo sa presne pod týmto pojmom rozumie a rovnako nebola  opora pre tento pojem ani v medzinárodných dokumentoch. Na rozdiel od pojmu vzájomný obchodný vzťah, pojem kontrolovaná transakcia (controlled transaction) sa používa pri definovaní obdobných vzťahov medzi závislými osobami v Smernici OECD o transferovom oceňovaní pre nadnárodné spoločnosti a správu daní.</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Definícia stanovuje, čo je to kontrolovaná transakcia a medzi ktorými osobami sa transakcia pokladá za kontrolovanú. Posledná veta určuje pravidlo, že pri posudzovaní transakcie sa prihliada na jej skutočný obsah.</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bodom 6 až 9 a 29 - § 3 ods. 1 písm. e) až g), § 3 ods. 2 písm. c) a d), § 5 ods. 1 písm. a), § 5 ods. 7 písm. i) a § 32a ods. 1 písm. a) štvrtý bod</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Navrhovanou úpravou sa do predmetu dane u fyzických osôb zaraďujú podiely na zisku (dividendy) a iné príjmy a podiely člena pozemkového spoločenstva s právnou subjektivitou na zisku a na majetku určenom na rozdelenie medzi členov pozemkového spoločenstva s právnou subjektivitou. V nadväznosti na uvedenú úpravu už podiely na zisku nebudú od dane oslobodené ani u zamestnanca bez účasti na základnom imaní spoločnosti alebo družstva, pričom budú považované za príjem zo závislej činnosti zdaňovaný preddavkovým spôsobom podľa § 35. Za príjem zo závislej činnosti sa  u člena štatutárneho orgánu alebo člena dozorného orgánu tejto obchodnej spoločnosti alebo družstva bude naďalej považovať odmena vyplácaná za účasť na zasadnutia týchto orgánov alebo za prácu pre obchodnú spoločnosť alebo družstvo.  Podiel na zisku (dividenda) – tantiéma vyplatený členom štatutárneho orgánu alebo členom dozorného orgánu tejto obchodnej spoločnosti alebo družstva podľa Obchodného zákonníka bude príjmom podľa § 3 ods. 1 písm. e) zdaňovaným daňou vyberanou zrážkou vo výške 7 %.  </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 xml:space="preserve">K bodu 10 - § 6 ods. 10 </w:t>
      </w:r>
    </w:p>
    <w:p w:rsidR="00B83514"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Navrhovanou úpravou sa </w:t>
      </w:r>
      <w:r>
        <w:rPr>
          <w:rFonts w:ascii="Times New Roman" w:hAnsi="Times New Roman" w:cs="Times New Roman"/>
          <w:color w:val="000000" w:themeColor="tx1" w:themeShade="FF"/>
          <w:sz w:val="24"/>
          <w:szCs w:val="24"/>
        </w:rPr>
        <w:t xml:space="preserve">zvyšuje limit </w:t>
      </w:r>
      <w:r w:rsidRPr="00760F48">
        <w:rPr>
          <w:rFonts w:ascii="Times New Roman" w:hAnsi="Times New Roman" w:cs="Times New Roman"/>
          <w:color w:val="000000" w:themeColor="tx1" w:themeShade="FF"/>
          <w:sz w:val="24"/>
          <w:szCs w:val="24"/>
        </w:rPr>
        <w:t>paušálnych výdavkov</w:t>
      </w:r>
      <w:r>
        <w:rPr>
          <w:rFonts w:ascii="Times New Roman" w:hAnsi="Times New Roman" w:cs="Times New Roman"/>
          <w:color w:val="000000" w:themeColor="tx1" w:themeShade="FF"/>
          <w:sz w:val="24"/>
          <w:szCs w:val="24"/>
        </w:rPr>
        <w:t xml:space="preserve"> až na 60 % z dosiahnutých príjmov podľa odseku 1 a 2 najviac do maximálnej sumy 20 000 eur. Súčasne ostáva zachovaná možnosť okrem paušálnych výdavkov uplatniť v preukázateľnej výške zaplatené poistné a príspevky podľa osobitných predpisov. Obdobne sa zvyšuje výška limitu paušálnych výdavkov aj u daňovníka s príjmami podľa § 6 ods. 4.</w:t>
      </w:r>
    </w:p>
    <w:p w:rsidR="00B83514" w:rsidP="00B83514">
      <w:pPr>
        <w:bidi w:val="0"/>
        <w:spacing w:after="0" w:line="240" w:lineRule="auto"/>
        <w:jc w:val="both"/>
        <w:rPr>
          <w:rFonts w:ascii="Times New Roman" w:hAnsi="Times New Roman" w:cs="Times New Roman"/>
          <w:color w:val="000000" w:themeColor="tx1" w:themeShade="FF"/>
          <w:sz w:val="24"/>
          <w:szCs w:val="24"/>
        </w:rPr>
      </w:pPr>
      <w:r>
        <w:rPr>
          <w:rFonts w:ascii="Times New Roman" w:hAnsi="Times New Roman" w:cs="Times New Roman"/>
          <w:color w:val="000000" w:themeColor="tx1" w:themeShade="FF"/>
          <w:sz w:val="24"/>
          <w:szCs w:val="24"/>
        </w:rPr>
        <w:t xml:space="preserve">                                                                                                                                                                                          </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11 - § 9 ods. 1 písm. n)</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Navrhovanou úpravou sa od dane oslobodzuje podiel člena pozemkového spoločenstva s právnou subjektivitou do výšky 500 eur. Zdaniteľným príjmom bude podiel člena pozemkového spoločenstva len v prípade, ak bude vyšší ako 500 eur a to v sume prevyšujúcej túto čiastku.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12 - § 12 ods. 7 písm. c)</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U právnickej osoby budú podiely na zisku (dividendy) a iné príjmy predmetom dane u daňovníka s neobmedzenou daňovou povinnosťou len vtedy, ak budú plynúť od daňovníka z nezmluvného štátu </w:t>
      </w:r>
      <w:r w:rsidRPr="00760F48">
        <w:rPr>
          <w:rFonts w:ascii="Symbol" w:eastAsia="Times New Roman" w:hAnsi="Symbol" w:cs="Times New Roman"/>
          <w:color w:val="000000" w:themeColor="tx1" w:themeShade="FF"/>
          <w:sz w:val="24"/>
          <w:szCs w:val="24"/>
          <w:rtl w:val="0"/>
        </w:rPr>
        <w:sym w:font="Symbol" w:char="F05B"/>
      </w:r>
      <w:r w:rsidRPr="00760F48">
        <w:rPr>
          <w:rFonts w:ascii="Times New Roman" w:hAnsi="Times New Roman" w:cs="Times New Roman"/>
          <w:color w:val="000000" w:themeColor="tx1" w:themeShade="FF"/>
          <w:sz w:val="24"/>
          <w:szCs w:val="24"/>
        </w:rPr>
        <w:t>§ 2 písm. x)</w:t>
      </w:r>
      <w:r w:rsidRPr="00760F48">
        <w:rPr>
          <w:rFonts w:ascii="Symbol" w:eastAsia="Times New Roman" w:hAnsi="Symbol" w:cs="Times New Roman"/>
          <w:color w:val="000000" w:themeColor="tx1" w:themeShade="FF"/>
          <w:sz w:val="24"/>
          <w:szCs w:val="24"/>
          <w:rtl w:val="0"/>
        </w:rPr>
        <w:sym w:font="Symbol" w:char="F05D"/>
      </w:r>
      <w:r w:rsidRPr="00760F48">
        <w:rPr>
          <w:rFonts w:ascii="Times New Roman" w:hAnsi="Times New Roman" w:cs="Times New Roman"/>
          <w:color w:val="000000" w:themeColor="tx1" w:themeShade="FF"/>
          <w:sz w:val="24"/>
          <w:szCs w:val="24"/>
        </w:rPr>
        <w:t xml:space="preserve">. Predmetom dane budú rovnako podiely na zisku (dividendy) a iné príjmy vyplácané daňovníkovi z nezmluvného štátu </w:t>
      </w:r>
      <w:r w:rsidRPr="00760F48">
        <w:rPr>
          <w:rFonts w:ascii="Symbol" w:eastAsia="Times New Roman" w:hAnsi="Symbol" w:cs="Times New Roman"/>
          <w:color w:val="000000" w:themeColor="tx1" w:themeShade="FF"/>
          <w:sz w:val="24"/>
          <w:szCs w:val="24"/>
          <w:rtl w:val="0"/>
        </w:rPr>
        <w:sym w:font="Symbol" w:char="F05B"/>
      </w:r>
      <w:r w:rsidRPr="00760F48">
        <w:rPr>
          <w:rFonts w:ascii="Times New Roman" w:hAnsi="Times New Roman" w:cs="Times New Roman"/>
          <w:color w:val="000000" w:themeColor="tx1" w:themeShade="FF"/>
          <w:sz w:val="24"/>
          <w:szCs w:val="24"/>
        </w:rPr>
        <w:t>§ 2 písm. x)</w:t>
      </w:r>
      <w:r w:rsidRPr="00760F48">
        <w:rPr>
          <w:rFonts w:ascii="Symbol" w:eastAsia="Times New Roman" w:hAnsi="Symbol" w:cs="Times New Roman"/>
          <w:color w:val="000000" w:themeColor="tx1" w:themeShade="FF"/>
          <w:sz w:val="24"/>
          <w:szCs w:val="24"/>
          <w:rtl w:val="0"/>
        </w:rPr>
        <w:sym w:font="Symbol" w:char="F05D"/>
      </w:r>
      <w:r w:rsidRPr="00760F48">
        <w:rPr>
          <w:rFonts w:ascii="Times New Roman" w:hAnsi="Times New Roman" w:cs="Times New Roman"/>
          <w:color w:val="000000" w:themeColor="tx1" w:themeShade="FF"/>
          <w:sz w:val="24"/>
          <w:szCs w:val="24"/>
        </w:rPr>
        <w:t>, ak mu budú vyplatené tuzemskou právnickou osobou. Podiel na zisku spoločníka verejnej obchodnej spoločnosti a komplementára komanditnej spoločnosti, podiel spoločníka verejnej obchodnej spoločnosti a komplementára komanditnej spoločnosti na likvidačnom zostatku pri likvidácii spoločnosti a vyrovnací podiel pri zániku účasti spoločníka vo verejnej obchodnej spoločnosti alebo pri zániku účasti komplementára v komanditnej spoločnosti je predmetom dane u spoločníka - právnickej osoby ako súčasť základu dane podľa § 14. Zámerom zdaňovania podielov na zisku (dividend) a iných príjmov plynúcich z nezmluvných štátov a do nezmluvných štátov je zabrániť agresívnemu daňovému plánovaniu, presunu ziskov a investícií do krajín, ktoré uplatňujú nulové alebo nízke zdaňovanie daňou z príjmov právnickej osoby a zároveň s týmito krajinami nemá SR uzatvorenú zmluvu o zamedzení dvojitého zdanenia, prípadne medzinárodnú dohodu o výmene informácií týkajúcu sa daní.</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13 - § 13 ods. 1 písm. c)</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Rada pre riešenie krízových situácií zriadená osobitným zákonom vykonáva obdobné činnosti ako Fond na ochranu vkladov alebo Garančný fond investícií. Navrhovanou úpravou dochádza k zjednoteniu zdaňovania príjmov Rady pre riešenie krízových situácií s Fondom na ochranu vkladov a Garančným fondom investícií, t. j. príjmy Národného fondu podľa § 91 zákona             č. 371/2014 Z. z o riešení krízových situácií na finančnom trhu a o zmene a doplnení niektorých zákonov v znení neskorších predpisov  pre riešenie krízových situácií sa oslobodzujú od dane z príjmov.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14 - § 15</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Ustanovenie § 15 upravuje sadzbu dane u fyzických ako aj u právnických osôb, ak sa príjmy zdaňujú prostredníctvom daňového priznania. Podiely na zisku (dividendy) a iné príjmy podľa § 3 ods. 1 písm. e) a g) a príjmy, ktoré sú predmetom dane podľa § 12 ods. 7 písm. c) prvého bodu plynúce zo zdrojov v zahraničí sa u fyzickej ako aj právnickej osoby zahrnú do osobitného základu dane, pričom u fyzickej osoby sa zdania sadzbou dane vo výške 7 % alebo 35 %. U právnickej osoby sa zdania len v prípade, ak pôjde o príjmy plynúce od daňovníka z nezmluvného štátu </w:t>
      </w:r>
      <w:r w:rsidRPr="00760F48">
        <w:rPr>
          <w:rFonts w:ascii="Symbol" w:eastAsia="Times New Roman" w:hAnsi="Symbol" w:cs="Times New Roman"/>
          <w:color w:val="000000" w:themeColor="tx1" w:themeShade="FF"/>
          <w:sz w:val="24"/>
          <w:szCs w:val="24"/>
          <w:rtl w:val="0"/>
        </w:rPr>
        <w:sym w:font="Symbol" w:char="F05B"/>
      </w:r>
      <w:r w:rsidRPr="00760F48">
        <w:rPr>
          <w:rFonts w:ascii="Times New Roman" w:hAnsi="Times New Roman" w:cs="Times New Roman"/>
          <w:color w:val="000000" w:themeColor="tx1" w:themeShade="FF"/>
          <w:sz w:val="24"/>
          <w:szCs w:val="24"/>
        </w:rPr>
        <w:t>§ 2 písm. x)</w:t>
      </w:r>
      <w:r w:rsidRPr="00760F48">
        <w:rPr>
          <w:rFonts w:ascii="Symbol" w:eastAsia="Times New Roman" w:hAnsi="Symbol" w:cs="Times New Roman"/>
          <w:color w:val="000000" w:themeColor="tx1" w:themeShade="FF"/>
          <w:sz w:val="24"/>
          <w:szCs w:val="24"/>
          <w:rtl w:val="0"/>
        </w:rPr>
        <w:sym w:font="Symbol" w:char="F05D"/>
      </w:r>
      <w:r w:rsidRPr="00760F48">
        <w:rPr>
          <w:rFonts w:ascii="Times New Roman" w:hAnsi="Times New Roman" w:cs="Times New Roman"/>
          <w:color w:val="000000" w:themeColor="tx1" w:themeShade="FF"/>
          <w:sz w:val="24"/>
          <w:szCs w:val="24"/>
        </w:rPr>
        <w:t>, a to sadzbou dane vo výške 35 %.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Zároveň sa navrhuje zníženie sadzby dane z príjmov právnickej osoby z doterajších 22 % na 21 %.  Cieľom  úpravy je zlepšenie podnikateľského prostredia a zvýšenie motivácie platenia dane.</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15 - § 16 ods. 1 písm. e)</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V nadväznosti na zavedenie zdaňovania podielov na zisku (dividend) a iných príjmov podľa             § 3 ods. 1 písm. e) a g) a príjmov, ktoré sú predmetom dane podľa § 12 ods. 7 písm. c) prvého bodu vyplácaných daňovníkovi s obmedzenou daňovou povinnosťou, bolo potrebné zahrnúť tieto príjmy medzi príjmy plynúce zo zdroja na území Slovenskej republiky. Podiely na zisku u zamestnanca bez účasti na základnom imaní spoločnosti alebo družstva sú považované za príjem zo závislej činnosti, ktorý je zdrojom príjmov daňovníka s obmedzenou daňovou povinnosťou podľa § 16 ods. 1 písm. b).</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p>
    <w:p w:rsidR="00B83514" w:rsidRPr="00760F48" w:rsidP="00B83514">
      <w:pPr>
        <w:bidi w:val="0"/>
        <w:spacing w:after="0" w:line="240" w:lineRule="auto"/>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16 - § 17 ods. 5</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color w:val="000000" w:themeColor="tx1" w:themeShade="FF"/>
          <w:sz w:val="24"/>
          <w:szCs w:val="24"/>
        </w:rPr>
        <w:t>Dôvodom zmeny je rôzny výklad pojmu vzájomný obchodný vzťah, ktorý nemá zákonnú definíciu a u odbornej verejnosti vznikali nejasnosti, čo sa presne pod týmto pojmom rozumie a rovnako nebola  opora pre tento pojem ani v medzinárodných dokumentoch. Na rozdiel od toho pojem kontrolovaná transakcia (controlled transaction) je používaný pri definovaní obdobných vzťahov medzi závislými osobami v Smernici OECD o transferovom oceňovaní pre nadnárodné spoločnosti a správu daní.</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Doplnenie slova „podmienky“ je odôvodnené situáciou, kedy na základ dane má vplyv nielen cena, ale aj podmienky pri kontrolovaných transakciách, ktoré by sa použili v transakciách medzi nezávislými osobami.</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V prvej vete sa tiež upravuje podmieňovací spôsob z dôvodu, že reálne podmienky sa neporovnávajú s reálnymi podmienkami, ale s fiktívnymi podmienkami, ktoré zodpovedajú princípu nezávislého vzťahu.</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Zmena  v poslednej vete § 17 ods. 5 súvisí s posudzovaním toho, čo je pri určovaní základu dane závislej osoby možné zahrnúť do výdavkov a okrem služieb existujú aj iné transakcie, ktoré preukázateľne súvisia s činnosťou závislej osoby a rovnako by sa na takéto transakcie uplatňovalo pravidlo stanovené v tomto odseku aj s obmedzeniami upravenými v písmenách a) až d).</w:t>
      </w:r>
    </w:p>
    <w:p w:rsidR="00B83514" w:rsidRPr="00760F48" w:rsidP="00B83514">
      <w:pPr>
        <w:bidi w:val="0"/>
        <w:spacing w:after="0" w:line="240" w:lineRule="auto"/>
        <w:rPr>
          <w:rFonts w:ascii="Times New Roman" w:hAnsi="Times New Roman" w:cs="Times New Roman"/>
          <w:b/>
          <w:color w:val="000000" w:themeColor="tx1" w:themeShade="FF"/>
          <w:sz w:val="24"/>
          <w:szCs w:val="24"/>
        </w:rPr>
      </w:pPr>
    </w:p>
    <w:p w:rsidR="00B83514" w:rsidRPr="00760F48" w:rsidP="00B83514">
      <w:pPr>
        <w:bidi w:val="0"/>
        <w:spacing w:after="0" w:line="240" w:lineRule="auto"/>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17 - § 17 ods. 6</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Pokiaľ si daňovník sám upraví základ dane podľa § 17 ods. 5, iná závislá osoba (rezident SR) môže vykonať korešpondujúcu úpravu základu dane (zníženie) bez povinnosti podania žiadosti správcovi dane o povolenie tejto úpravy. Ak daňovník uplatňujúci úľavu na dani podľa § 30a alebo § 30b zníži základ dane podaním dodatočného daňového priznania podľa § 30a ods. 8 alebo § 30b ods. 8, je iná závislá osoba (rezident SR) povinná vykonať úpravu zvyšujúcu základ dane podľa § 17 ods. 5. Rovnako, ak iná závislá osoba primárne vykoná úpravu základu dane podľa § 17 ods. 5, je daňovník uplatňujúci úľavu na dani podľa § 30a alebo § 30b povinný znížiť základ dane pre kontrolované transakcie. Zároveň sa ukladá povinnosť oznámiť správcovi dane vykonanie úpravy základu dane medzi závislými osobami, ktorá má za následok zníženie základu dane.</w:t>
      </w:r>
    </w:p>
    <w:p w:rsidR="00B83514" w:rsidRPr="00760F48" w:rsidP="00B83514">
      <w:pPr>
        <w:bidi w:val="0"/>
        <w:spacing w:after="0" w:line="240" w:lineRule="auto"/>
        <w:rPr>
          <w:rFonts w:ascii="Times New Roman" w:hAnsi="Times New Roman" w:cs="Times New Roman"/>
          <w:b/>
          <w:color w:val="000000" w:themeColor="tx1" w:themeShade="FF"/>
          <w:sz w:val="24"/>
          <w:szCs w:val="24"/>
        </w:rPr>
      </w:pPr>
    </w:p>
    <w:p w:rsidR="00B83514" w:rsidRPr="00760F48" w:rsidP="00B83514">
      <w:pPr>
        <w:bidi w:val="0"/>
        <w:spacing w:after="0" w:line="240" w:lineRule="auto"/>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18 - § 17 ods. 7</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Ide o úpravu v súvislosti s odsúhlasovaním použitia konkrétnej metódy určenia základu dane pre stále prevádzkarne a úplné zjednotenie tohto postupu s § 18 ods. 4 a ods. 5.</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19 - § 17 ods. 19 písm. b)</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Navrhovaná úprava je vykonaná na základe podnetov z aplikačnej praxe s cieľom zvýšiť právnu istotu daňovníka. Zmenou dochádza k jednoznačnému vymedzeniu a spresneniu, že podmienka uznania výdavkov po zaplatení sa aplikuje aj na </w:t>
      </w:r>
      <w:r w:rsidRPr="00760F48">
        <w:rPr>
          <w:rFonts w:ascii="Times New Roman" w:hAnsi="Times New Roman" w:cs="Times New Roman"/>
          <w:color w:val="000000" w:themeColor="tx1" w:themeShade="FF"/>
          <w:sz w:val="24"/>
          <w:szCs w:val="24"/>
          <w:lang w:eastAsia="sk-SK"/>
        </w:rPr>
        <w:t>odplaty za poskytnutie práva na použitie alebo za použitie predmetu priemyselného vlastníctva, počítačových programov (softvér), návrhov alebo modelov, plánov, výrobno-technických a iných hospodársky využiteľných poznatkov (know how) a odplaty za poskytnutie práva na použitie alebo za použitie autorského práva alebo práva príbuzného autorskému právu. Uvedeným spôsobom sa posudzovalo uplatnenie týchto odplát aj do účinnosti tohto zákona.</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pStyle w:val="ListParagraph"/>
        <w:bidi w:val="0"/>
        <w:ind w:left="0"/>
        <w:jc w:val="both"/>
        <w:rPr>
          <w:rFonts w:ascii="Times New Roman" w:hAnsi="Times New Roman"/>
          <w:b/>
          <w:color w:val="000000" w:themeColor="tx1" w:themeShade="FF"/>
        </w:rPr>
      </w:pPr>
      <w:r w:rsidRPr="00760F48">
        <w:rPr>
          <w:rFonts w:ascii="Times New Roman" w:hAnsi="Times New Roman"/>
          <w:b/>
          <w:color w:val="000000" w:themeColor="tx1" w:themeShade="FF"/>
        </w:rPr>
        <w:t>K bodu 20 - § 17 ods. 39</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Navrhovaná úprava nadväzuje na zmenu zákona o správnych poplatkoch, podľa ktorého  zápis držiteľa úplne nového vozidla, ktoré ešte nikdy nebolo evidované v evidencii vozidiel bude podliehať správnemu poplatku vo výške 33 eur, pričom za držiteľa motorového vozidla sa považuje výrobca vozidiel, zástupca výrobcu alebo autorizovaný predajca vozidiel, ktorý má na účely predaja vozidiel konečným zákazníkom uzatvorenú zmluvu s výrobcom alebo zástupcom výrobcu vozidiel. Predpokladá sa, že výrobca alebo predajca vozidiel si takto zaevidované vozidlo ponechá len na predvádzacie alebo skúšobné účely do času, kým ho nepredá zákazníkovi. V prípade, že držiteľ motorového vozidla neprevedie držbu tohto motorového vozidla na inú osobu do jedného roka vrátane od zápisu tohto motorového vozidla do evidencie vozidiel a zároveň do 15 dní po tomto termíne neuhradí plnú hodnotu registračného poplatku [položka 65 písm. a) VI. časti sadzobníka správnych poplatkov k zákonu o správnych poplatkov], akú by výrobca alebo predajca v pozícií držiteľa motorového vozidla zaplatil v čase, keď došlo k prvej evidencii vozidla, je povinný zvýšiť základ dane o výšku daňových odpisov, nákladov na prevádzku (napr. PHL), prípadné technické zhodnotenie alebo opravy tohto motorového vozidla. Ak dôjde k úhrade plnej hodnoty registračného poplatku v zdaňovacom období, v ktorom uplynula lehota 15 dní po uplynutí jedného roka od zápisu motorového vozidla do evidencie vozidiel ale zároveň došlo k úhrade tohto registračného poplatku po tejto lehote 15 dní, je držiteľ povinný zvýšiť základ dane o daňové výdavky súvisiace s obstaraním, prevádzkou, technickým zhodnotením</w:t>
      </w:r>
      <w:r>
        <w:rPr>
          <w:rFonts w:ascii="Times New Roman" w:hAnsi="Times New Roman" w:cs="Times New Roman"/>
          <w:color w:val="000000" w:themeColor="tx1" w:themeShade="FF"/>
          <w:sz w:val="24"/>
          <w:szCs w:val="24"/>
        </w:rPr>
        <w:t>,</w:t>
      </w:r>
      <w:r w:rsidRPr="00760F48">
        <w:rPr>
          <w:rFonts w:ascii="Times New Roman" w:hAnsi="Times New Roman" w:cs="Times New Roman"/>
          <w:color w:val="000000" w:themeColor="tx1" w:themeShade="FF"/>
          <w:sz w:val="24"/>
          <w:szCs w:val="24"/>
        </w:rPr>
        <w:t xml:space="preserve"> opravou</w:t>
      </w:r>
      <w:r>
        <w:rPr>
          <w:rFonts w:ascii="Times New Roman" w:hAnsi="Times New Roman" w:cs="Times New Roman"/>
          <w:color w:val="000000" w:themeColor="tx1" w:themeShade="FF"/>
          <w:sz w:val="24"/>
          <w:szCs w:val="24"/>
        </w:rPr>
        <w:t xml:space="preserve"> údržbou</w:t>
      </w:r>
      <w:r w:rsidRPr="00760F48">
        <w:rPr>
          <w:rFonts w:ascii="Times New Roman" w:hAnsi="Times New Roman" w:cs="Times New Roman"/>
          <w:color w:val="000000" w:themeColor="tx1" w:themeShade="FF"/>
          <w:sz w:val="24"/>
          <w:szCs w:val="24"/>
        </w:rPr>
        <w:t xml:space="preserve"> tohto motorového vozidla, uplatnené do základu dane v zdaňovacom období, v ktorom došlo k zápisu vozidla do evidencie vozidiel. Ak nedôjde k úhrade plnej hodnoty registračného poplatku v zdaňovacom období, v ktorom uplynie lehota na úhradu tohto registračného poplatku, je držiteľ vozidla povinný zvyšovať si základ dane v jednotlivých zdaňovacích obdobiach a to až do zdaňovacieho obdobia, ktoré predchádza zdaňovaciemu obdobiu, v ktorom dôjde k úhrade registračného poplatku v plnej hodnote. Zákon neumožňuje prerušiť daňové odpisovanie u motorového vozidla držiteľa, a to až do zdaňovacieho obdobia, ktoré predchádza zdaňovaciemu obdobiu, v ktorom dôjde k úhrade registračného poplatku v plnej hodnote. </w:t>
      </w:r>
    </w:p>
    <w:p w:rsidR="00B83514" w:rsidRPr="00760F48" w:rsidP="00B83514">
      <w:pPr>
        <w:pStyle w:val="ListParagraph"/>
        <w:bidi w:val="0"/>
        <w:ind w:left="0"/>
        <w:jc w:val="both"/>
        <w:rPr>
          <w:rFonts w:ascii="Times New Roman" w:hAnsi="Times New Roman"/>
          <w:b/>
          <w:color w:val="000000" w:themeColor="tx1" w:themeShade="FF"/>
        </w:rPr>
      </w:pPr>
    </w:p>
    <w:p w:rsidR="00B83514" w:rsidRPr="00760F48" w:rsidP="00B83514">
      <w:pPr>
        <w:pStyle w:val="ListParagraph"/>
        <w:bidi w:val="0"/>
        <w:ind w:left="0"/>
        <w:jc w:val="both"/>
        <w:rPr>
          <w:rFonts w:ascii="Times New Roman" w:hAnsi="Times New Roman"/>
          <w:b/>
          <w:color w:val="000000" w:themeColor="tx1" w:themeShade="FF"/>
        </w:rPr>
      </w:pPr>
      <w:r w:rsidRPr="00760F48">
        <w:rPr>
          <w:rFonts w:ascii="Times New Roman" w:hAnsi="Times New Roman"/>
          <w:b/>
          <w:color w:val="000000" w:themeColor="tx1" w:themeShade="FF"/>
        </w:rPr>
        <w:t>K bodu 21 - § 18 ods. 1</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Spresnenie v súvislosti s úpravou § 17 ods. 5. Doplnenie slova „podmienky“ je odôvodnené situáciou, kedy na základ dane má vplyv nielen cena, ale aj podmienky pri kontrolovaných transakciách, ktoré by sa použili v transakciách medzi nezávislými osobami.</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V prvej vete sa tiež upravuje podmieňovací spôsob z dôvodu, že reálne podmienky sa neporovnávajú s reálnymi podmienkami, ale s fiktívnymi podmienkami, ktoré zodpovedajú princípu nezávislého vzťahu.</w:t>
      </w:r>
    </w:p>
    <w:p w:rsidR="00B83514" w:rsidRPr="00760F48" w:rsidP="00B83514">
      <w:pPr>
        <w:pStyle w:val="ListParagraph"/>
        <w:bidi w:val="0"/>
        <w:ind w:left="0"/>
        <w:jc w:val="both"/>
        <w:rPr>
          <w:rFonts w:ascii="Times New Roman" w:hAnsi="Times New Roman"/>
          <w:color w:val="000000" w:themeColor="tx1" w:themeShade="FF"/>
        </w:rPr>
      </w:pPr>
    </w:p>
    <w:p w:rsidR="00B83514" w:rsidRPr="00760F48" w:rsidP="00B83514">
      <w:pPr>
        <w:pStyle w:val="ListParagraph"/>
        <w:bidi w:val="0"/>
        <w:ind w:left="0"/>
        <w:jc w:val="both"/>
        <w:rPr>
          <w:rFonts w:ascii="Times New Roman" w:hAnsi="Times New Roman"/>
          <w:b/>
          <w:color w:val="000000" w:themeColor="tx1" w:themeShade="FF"/>
        </w:rPr>
      </w:pPr>
      <w:r w:rsidRPr="00760F48">
        <w:rPr>
          <w:rFonts w:ascii="Times New Roman" w:hAnsi="Times New Roman"/>
          <w:b/>
          <w:color w:val="000000" w:themeColor="tx1" w:themeShade="FF"/>
        </w:rPr>
        <w:t>K bodu 22 - § 18 ods. 4</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Doterajšie znenie  § 18 ods. 4 sa rozdeľuje z dôvodu prehľadnosti tohto ustanovenia na ods. 4 až 9.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V novom odseku 4 sa stanovuje právo daňového subjektu, o čo môže požiadať správcu dane. Už v súčasnosti odsúhlasenie použitia konkrétnej metódy ocenenia neznamená len odsúhlasenie metódy, ale aj jej použitia, t. j. aj odsúhlasenie spôsobu určenia ceny transakcií. Toto však vyvolávalo rozpory vo výklade § 18 ods. 4, preto sa slovné spojenie „a spôsob určenia ceny“ priamo zakomponovalo do zákona.</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pStyle w:val="ListParagraph"/>
        <w:bidi w:val="0"/>
        <w:ind w:left="0"/>
        <w:jc w:val="both"/>
        <w:rPr>
          <w:rFonts w:ascii="Times New Roman" w:hAnsi="Times New Roman"/>
          <w:b/>
          <w:color w:val="000000" w:themeColor="tx1" w:themeShade="FF"/>
        </w:rPr>
      </w:pPr>
      <w:r w:rsidRPr="00760F48">
        <w:rPr>
          <w:rFonts w:ascii="Times New Roman" w:hAnsi="Times New Roman"/>
          <w:b/>
          <w:color w:val="000000" w:themeColor="tx1" w:themeShade="FF"/>
        </w:rPr>
        <w:t>K bodu 23 - § 18 ods. 5 až 9</w:t>
      </w:r>
    </w:p>
    <w:p w:rsidR="00B83514" w:rsidRPr="00C817D0" w:rsidP="00B83514">
      <w:pPr>
        <w:bidi w:val="0"/>
        <w:spacing w:after="0" w:line="240" w:lineRule="auto"/>
        <w:jc w:val="both"/>
        <w:rPr>
          <w:rFonts w:ascii="Times New Roman" w:hAnsi="Times New Roman"/>
          <w:sz w:val="24"/>
          <w:szCs w:val="24"/>
        </w:rPr>
      </w:pPr>
      <w:r w:rsidRPr="00C817D0">
        <w:rPr>
          <w:rFonts w:ascii="Times New Roman" w:hAnsi="Times New Roman"/>
          <w:sz w:val="24"/>
          <w:szCs w:val="24"/>
        </w:rPr>
        <w:t xml:space="preserve">Nový odsek 5 ustanovuje možnosť podania unilaterálnej alebo bilaterálnej žiadosti o odsúhlasenie metódy ocenenia. V odseku 5 sa dopĺňa úvod,  ktorý ustanovuje na základe čoho môže daňovník žiadať o odsúhlasenie metódy ocenenia, a to buď na základe zákona alebo zmluvy o zamedzení dvojitého zdanenia. </w:t>
      </w:r>
    </w:p>
    <w:p w:rsidR="00B83514" w:rsidRPr="00C817D0" w:rsidP="00B83514">
      <w:pPr>
        <w:bidi w:val="0"/>
        <w:spacing w:after="0" w:line="240" w:lineRule="auto"/>
        <w:jc w:val="both"/>
        <w:rPr>
          <w:rFonts w:ascii="Times New Roman" w:hAnsi="Times New Roman"/>
          <w:sz w:val="24"/>
          <w:szCs w:val="24"/>
        </w:rPr>
      </w:pPr>
      <w:r w:rsidRPr="00C817D0">
        <w:rPr>
          <w:rFonts w:ascii="Times New Roman" w:hAnsi="Times New Roman"/>
          <w:sz w:val="24"/>
          <w:szCs w:val="24"/>
        </w:rPr>
        <w:t>Doterajší obsah odseku 5 sa z dôvodu prehľadnosti rozdelil do samostatných nových odsekov 5 až 9.</w:t>
      </w:r>
    </w:p>
    <w:p w:rsidR="00B83514" w:rsidRPr="00C817D0" w:rsidP="00B83514">
      <w:pPr>
        <w:pStyle w:val="CommentText"/>
        <w:bidi w:val="0"/>
        <w:spacing w:after="0"/>
        <w:jc w:val="both"/>
        <w:rPr>
          <w:rFonts w:ascii="Times New Roman" w:hAnsi="Times New Roman"/>
          <w:sz w:val="24"/>
          <w:szCs w:val="24"/>
        </w:rPr>
      </w:pPr>
      <w:r w:rsidRPr="00C817D0">
        <w:rPr>
          <w:rFonts w:ascii="Times New Roman" w:hAnsi="Times New Roman"/>
          <w:sz w:val="24"/>
          <w:szCs w:val="24"/>
        </w:rPr>
        <w:t>Odsek 6 ustanovuje povinné náležitosti žiadosti.</w:t>
      </w:r>
    </w:p>
    <w:p w:rsidR="00B83514" w:rsidRPr="00C817D0" w:rsidP="00B83514">
      <w:pPr>
        <w:pStyle w:val="CommentText"/>
        <w:bidi w:val="0"/>
        <w:spacing w:after="0"/>
        <w:jc w:val="both"/>
        <w:rPr>
          <w:rFonts w:ascii="Times New Roman" w:hAnsi="Times New Roman"/>
          <w:sz w:val="24"/>
          <w:szCs w:val="24"/>
        </w:rPr>
      </w:pPr>
      <w:r w:rsidRPr="00C817D0">
        <w:rPr>
          <w:rFonts w:ascii="Times New Roman" w:hAnsi="Times New Roman"/>
          <w:sz w:val="24"/>
          <w:szCs w:val="24"/>
        </w:rPr>
        <w:t xml:space="preserve">Odsek 7 upravuje výšku poplatku za žiadosť o odsúhlasenie metódy ocenenia. Výška poplatku sa po novom nebude odvíjať od hodnoty obchodného prípadu, ale bude pevne stanovená. Uvedená úprava bola vykonaná z dôvodu problémov pri stanovení výšky hodnoty obchodného prípadu. </w:t>
      </w:r>
    </w:p>
    <w:p w:rsidR="00B83514" w:rsidP="00B83514">
      <w:pPr>
        <w:bidi w:val="0"/>
        <w:spacing w:after="0" w:line="240" w:lineRule="auto"/>
        <w:rPr>
          <w:rFonts w:ascii="Calibri" w:hAnsi="Calibri"/>
          <w:color w:val="1F497D"/>
        </w:rPr>
      </w:pPr>
    </w:p>
    <w:p w:rsidR="00B83514" w:rsidRPr="00760F48" w:rsidP="00B83514">
      <w:pPr>
        <w:pStyle w:val="CommentText"/>
        <w:bidi w:val="0"/>
        <w:spacing w:after="0"/>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24 - § 18 ods. 10</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Podstatné podmienky sú neoddeliteľnou súčasťou rozhodnutia o odsúhlasení metódy ocenenia (APA – advance pricing agreement) a stanovujú predpoklady,  ktoré musia byť  dodržiavané v rámci transferového oceňovania, aby APA bola platná. Podstatné podmienky sú podkladom pre stanovenie metódy transferového oceňovania v žiadostiach o APA, či už ide o daňovníka, tretiu stranu, priemyselné odvetvie, alebo obchodné a ekonomické podmienky. Následkom porušenia podstatnej podmienky je zrušenie alebo zmena APA bez ohľadu na to, či zmena podstatných podmienok bola spôsobená daňovníkom alebo treťou stranou.</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Podstatné podmienky, ktoré ovplyvňuje daňovník môžu byť napríklad spôsob vykonávania obchodnej činnosti, firemné či obchodné štruktúry, obchodné stratégie, zmena funkcií a rizík a iné. Podstatné podmienky, ktoré nie sú ovplyvnené daňovníkom zahŕňajú napríklad rozsah očakávaného objemu transakcií, zmenu daňového systému, zmenu podmienok na trhu a iné.</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p>
    <w:p w:rsidR="00B83514" w:rsidRPr="00760F48" w:rsidP="00B83514">
      <w:pPr>
        <w:pStyle w:val="CommentText"/>
        <w:bidi w:val="0"/>
        <w:spacing w:after="0"/>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25 - § 18a</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Nové ustanovenie § 18a bolo zavedené z dôvodu sankcionovať vo vyššej miere úmyselné vyhýbanie sa plateniu daní, a to najmä v prípade transferového oceňovania, pri ktorom často dochádza k agresívnemu daňovému plánovaniu. K doteraz platným ustanoveniam týkajúcich sa sankcií v daňovom poriadku sa týmto ustanovením zavádza zvýšenie sankcií pre daňovníkov, ktorí prostredníctvom transferového oceňovania úmyselne znižujú základ dane alebo zvyšujú daňovú stratu.</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 Pre daňovníkov, ktorí sa dopúšťajú deliktov už teraz obsiahnutých v daňovom poriadku, ostáva výška sankcií v doteraz platnom znení.</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18a ods. 1 zdvojnásobuje výšku sankcie pre subjekty, ktoré sa dopustia správneho deliktu podľa daňového poriadku a zároveň správca dane musí uplatniť postup podľa druhej vety § 3 ods. 6 daňového poriadku. To znamená, že konanie daňovníka nemá ekonomické opodstatnenie a jeho výsledkom je účelové obchádzanie daňovej povinnosti alebo získanie takého daňového zvýhodnenia, na ktoré by inak nebol daňový subjekt oprávnený, alebo ktorého výsledkom je účelové zníženie daňovej povinnosti. Jedná sa napríklad o situácie, kde dochádza k úmyselnému zneužívaniu schránkových firiem, ktoré nemajú ekonomickú podstatu (nemajú zamestnancov, nevykonávajú funkcie, riziká znášajú len formálne, ale ich neriadia), ale do týchto spoločností sú presúvané zisky, ktoré sú výsledkom ekonomických aktivít na Slovensku.</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V prípade, že je správca dane nútený pre účely správy dane uplatniť druhú vetu § 3 ods. 6 daňového poriadku a preklasifikovať formálne-právne transakcie s ohľadom na ekonomickú podstatu v dôsledku úmyselného vyhýbania sa daňovej povinnosti, uplatní sa na tieto situácie sankcia v dvojnásobnej výške. </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Táto sankcia sa v prípade uplatnenia opravných prostriedkov uplatní až po právoplatnom rozhodnutí odvolacieho orgánu, resp. súdu. Daňovník má teda možnosť využitia všetkých opravných prostriedkov, tak aby mohol preukázať, že sa nejednalo o úmyselné vyhýbanie sa daňovej povinnosti. Pokiaľ odvolací orgán, prípadne súd nepotvrdí, že došlo k úmyselnému vyhýbaniu sa daňovej povinnosti, uplatní sa na daňový dorub prípadne len štandardná sankcia podľa daňového poriadku.</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Rovnako správca dane podľa odseku 2 umožní neuplatnenie sankcie v dvojnásobnej výške, ak daňovník uzná pochybenie a zaplatí rozdiel vyrubenej dane v stanovenej lehote.</w:t>
      </w:r>
    </w:p>
    <w:p w:rsidR="00B83514" w:rsidRPr="00760F48" w:rsidP="00B83514">
      <w:pPr>
        <w:pStyle w:val="CommentText"/>
        <w:bidi w:val="0"/>
        <w:spacing w:after="0"/>
        <w:jc w:val="both"/>
        <w:rPr>
          <w:rFonts w:ascii="Times New Roman" w:hAnsi="Times New Roman" w:cs="Times New Roman"/>
          <w:color w:val="000000" w:themeColor="tx1" w:themeShade="FF"/>
          <w:sz w:val="24"/>
          <w:szCs w:val="24"/>
          <w:lang w:eastAsia="sk-SK"/>
        </w:rPr>
      </w:pPr>
      <w:r w:rsidRPr="00760F48">
        <w:rPr>
          <w:rFonts w:ascii="Times New Roman" w:hAnsi="Times New Roman" w:cs="Times New Roman"/>
          <w:color w:val="000000" w:themeColor="tx1" w:themeShade="FF"/>
          <w:sz w:val="24"/>
          <w:szCs w:val="24"/>
        </w:rPr>
        <w:t xml:space="preserve">§ 18 ods. 3 upravuje špecifickú situáciu, keď daňovník požiada o odsúhlasenie použitia metódy ocenenia. Po podaní žiadosti nasleduje overovanie skutočností správcom dane. Ak správca dane nesúhlasí s názorom daňového subjektu na metódu ocenenia alebo so spôsobom určenia ceny, zamietne žiadosť a môže začať daňovú kontrolu. V takom prípade správca dane prihliadne na zámer daňovníka stanoviť správne transferové ceny v kontrolovanej transakcii a tým znížiť výšku sankcie v prípade dorubu, ktorá je zhodná s výškou sankcie podľa </w:t>
      </w:r>
      <w:r w:rsidRPr="00760F48">
        <w:rPr>
          <w:rFonts w:ascii="Times New Roman" w:hAnsi="Times New Roman" w:cs="Times New Roman"/>
          <w:bCs/>
          <w:color w:val="000000" w:themeColor="tx1" w:themeShade="FF"/>
          <w:sz w:val="24"/>
          <w:szCs w:val="24"/>
          <w:lang w:eastAsia="sk-SK"/>
        </w:rPr>
        <w:t xml:space="preserve">§ 155 odseku 1 písmena g) </w:t>
      </w:r>
      <w:r w:rsidRPr="00760F48">
        <w:rPr>
          <w:rFonts w:ascii="Times New Roman" w:hAnsi="Times New Roman" w:cs="Times New Roman"/>
          <w:color w:val="000000" w:themeColor="tx1" w:themeShade="FF"/>
          <w:sz w:val="24"/>
          <w:szCs w:val="24"/>
          <w:lang w:eastAsia="sk-SK"/>
        </w:rPr>
        <w:t>daňového poriadku.</w:t>
      </w:r>
    </w:p>
    <w:p w:rsidR="00B83514" w:rsidRPr="00760F48" w:rsidP="00B83514">
      <w:pPr>
        <w:pStyle w:val="CommentText"/>
        <w:bidi w:val="0"/>
        <w:spacing w:after="0"/>
        <w:jc w:val="both"/>
        <w:rPr>
          <w:rFonts w:ascii="Times New Roman" w:hAnsi="Times New Roman" w:cs="Times New Roman"/>
          <w:color w:val="000000" w:themeColor="tx1" w:themeShade="FF"/>
          <w:sz w:val="24"/>
          <w:szCs w:val="24"/>
          <w:lang w:eastAsia="sk-SK"/>
        </w:rPr>
      </w:pPr>
    </w:p>
    <w:p w:rsidR="00B83514" w:rsidRPr="00760F48" w:rsidP="00B83514">
      <w:pPr>
        <w:pStyle w:val="CommentText"/>
        <w:bidi w:val="0"/>
        <w:spacing w:after="0"/>
        <w:jc w:val="both"/>
        <w:rPr>
          <w:rFonts w:ascii="Times New Roman" w:hAnsi="Times New Roman" w:cs="Times New Roman"/>
          <w:b/>
          <w:color w:val="000000" w:themeColor="tx1" w:themeShade="FF"/>
          <w:sz w:val="24"/>
          <w:szCs w:val="24"/>
          <w:lang w:eastAsia="sk-SK"/>
        </w:rPr>
      </w:pPr>
      <w:r w:rsidRPr="00760F48">
        <w:rPr>
          <w:rFonts w:ascii="Times New Roman" w:hAnsi="Times New Roman" w:cs="Times New Roman"/>
          <w:b/>
          <w:color w:val="000000" w:themeColor="tx1" w:themeShade="FF"/>
          <w:sz w:val="24"/>
          <w:szCs w:val="24"/>
          <w:lang w:eastAsia="sk-SK"/>
        </w:rPr>
        <w:t>K bodu 26 - § 19 ods. 2 písm. u)</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Daňovým výdavkom bude aj poskytnutie materiálnej humanitárnej pomoci do zahraničia, ktorú daňovník bezodplatne odovzdá Ministerstvu vnútra SR na základe darovacej zmluvy. Humanitárna pomoc sa bude realizovať na základe už platného mechanizmu poskytovania humanitárnej pomoci SR do zahraničia (uznesenie vlády SR č. 310 z 12. apríla 2006). Zámer daňovo podporiť poskytovateľov materiálnej humanitárnej pomoci vychádza z unesenia vlády SR č. 178 z 11.mája 2016, ktorým sa schválila smernica pre postup delegácie na Svetovom humanitárnom samite v Istanbule v dňoch 23. a 24. mája 2016, kde sa SR zaviazala  uskutočniť legislatívne zmeny za účelom zvýšenia motivácie daňovníkov o účasť na humanitárnej pomoci.</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Humanitárna pomoc je prejavom solidarity s ľuďmi v núdzi, ktorej podstatou je pomoc, podpora, záchrana životov, ľudskej dôstojnosti a zmierňovanie utrpenia ľudí v prípade prírodných katastrof, človekom spôsobených kríz, stavu hladu alebo v porovnateľných núdzových situáciách. Pod pojmom materiálna humanitárna pomoc sa má mysli najmä poskytnutie potrebného materiálu, techniky, potravín, resp. iných produktov, ktoré boli vyšpecifikované príjemcom pomoci, humanitárnymi organizáciami, alebo na základe vlastných analýz.</w:t>
      </w:r>
    </w:p>
    <w:p w:rsidR="00B83514" w:rsidRPr="00760F48" w:rsidP="00B83514">
      <w:pPr>
        <w:pStyle w:val="CommentText"/>
        <w:bidi w:val="0"/>
        <w:spacing w:after="0"/>
        <w:jc w:val="both"/>
        <w:rPr>
          <w:rFonts w:ascii="Times New Roman" w:hAnsi="Times New Roman" w:cs="Times New Roman"/>
          <w:color w:val="000000" w:themeColor="tx1" w:themeShade="FF"/>
          <w:sz w:val="24"/>
          <w:szCs w:val="24"/>
        </w:rPr>
      </w:pPr>
    </w:p>
    <w:p w:rsidR="00B83514" w:rsidRPr="00760F48" w:rsidP="00B83514">
      <w:pPr>
        <w:pStyle w:val="CommentText"/>
        <w:bidi w:val="0"/>
        <w:spacing w:after="0"/>
        <w:jc w:val="both"/>
        <w:rPr>
          <w:rFonts w:ascii="Times New Roman" w:hAnsi="Times New Roman" w:cs="Times New Roman"/>
          <w:b/>
          <w:color w:val="000000" w:themeColor="tx1" w:themeShade="FF"/>
          <w:sz w:val="24"/>
          <w:szCs w:val="24"/>
          <w:lang w:eastAsia="sk-SK"/>
        </w:rPr>
      </w:pPr>
      <w:r w:rsidRPr="00760F48">
        <w:rPr>
          <w:rFonts w:ascii="Times New Roman" w:hAnsi="Times New Roman" w:cs="Times New Roman"/>
          <w:b/>
          <w:color w:val="000000" w:themeColor="tx1" w:themeShade="FF"/>
          <w:sz w:val="24"/>
          <w:szCs w:val="24"/>
          <w:lang w:eastAsia="sk-SK"/>
        </w:rPr>
        <w:t>K bodu 27 - § 21 ods. 2 písm. o)</w:t>
      </w:r>
    </w:p>
    <w:p w:rsidR="00B83514" w:rsidRPr="00760F48" w:rsidP="00B83514">
      <w:pPr>
        <w:pStyle w:val="CommentText"/>
        <w:bidi w:val="0"/>
        <w:spacing w:after="0"/>
        <w:jc w:val="both"/>
        <w:rPr>
          <w:rFonts w:ascii="Times New Roman" w:hAnsi="Times New Roman" w:cs="Times New Roman"/>
          <w:color w:val="000000" w:themeColor="tx1" w:themeShade="FF"/>
          <w:sz w:val="24"/>
          <w:szCs w:val="24"/>
          <w:lang w:eastAsia="sk-SK"/>
        </w:rPr>
      </w:pPr>
      <w:r w:rsidRPr="00760F48">
        <w:rPr>
          <w:rFonts w:ascii="Times New Roman" w:hAnsi="Times New Roman" w:cs="Times New Roman"/>
          <w:color w:val="000000" w:themeColor="tx1" w:themeShade="FF"/>
          <w:sz w:val="24"/>
          <w:szCs w:val="24"/>
          <w:lang w:eastAsia="sk-SK"/>
        </w:rPr>
        <w:t xml:space="preserve">V súčasnosti sa príspevok na zabezpečenie účinného uplatňovania opatrení na riešenie krízových situácií považuje za nedaňový výdavok. Ide o príspevok, ktoré povinnosť platenia </w:t>
      </w:r>
      <w:r w:rsidRPr="00760F48">
        <w:rPr>
          <w:rFonts w:ascii="Times New Roman" w:hAnsi="Times New Roman" w:cs="Times New Roman"/>
          <w:color w:val="000000" w:themeColor="tx1" w:themeShade="FF"/>
          <w:sz w:val="24"/>
          <w:szCs w:val="24"/>
        </w:rPr>
        <w:t xml:space="preserve">vychádza z osobitného predpisu, t. j. zo zákona o riešení krízových situácií na finančnom trhu a použitie prostriedkov z tohto fondu je určené na riešenie krízových situácií vo všetkých členských štátoch EÚ. </w:t>
      </w:r>
      <w:r w:rsidRPr="00760F48">
        <w:rPr>
          <w:rFonts w:ascii="Times New Roman" w:hAnsi="Times New Roman" w:cs="Times New Roman"/>
          <w:color w:val="000000" w:themeColor="tx1" w:themeShade="FF"/>
          <w:sz w:val="24"/>
          <w:szCs w:val="24"/>
          <w:lang w:eastAsia="sk-SK"/>
        </w:rPr>
        <w:t xml:space="preserve">Uvedeným návrhom sa tento príspevok bude považovať za daňový výdavok. </w:t>
      </w:r>
    </w:p>
    <w:p w:rsidR="00B83514" w:rsidRPr="00760F48" w:rsidP="00B83514">
      <w:pPr>
        <w:pStyle w:val="CommentText"/>
        <w:bidi w:val="0"/>
        <w:spacing w:after="0"/>
        <w:jc w:val="both"/>
        <w:rPr>
          <w:rFonts w:ascii="Times New Roman" w:hAnsi="Times New Roman" w:cs="Times New Roman"/>
          <w:b/>
          <w:color w:val="000000" w:themeColor="tx1" w:themeShade="FF"/>
          <w:sz w:val="24"/>
          <w:szCs w:val="24"/>
          <w:lang w:eastAsia="sk-SK"/>
        </w:rPr>
      </w:pPr>
    </w:p>
    <w:p w:rsidR="00B83514" w:rsidRPr="00760F48" w:rsidP="00B83514">
      <w:pPr>
        <w:pStyle w:val="CommentText"/>
        <w:bidi w:val="0"/>
        <w:spacing w:after="0"/>
        <w:jc w:val="both"/>
        <w:rPr>
          <w:rFonts w:ascii="Times New Roman" w:hAnsi="Times New Roman" w:cs="Times New Roman"/>
          <w:b/>
          <w:color w:val="000000" w:themeColor="tx1" w:themeShade="FF"/>
          <w:sz w:val="24"/>
          <w:szCs w:val="24"/>
          <w:lang w:eastAsia="sk-SK"/>
        </w:rPr>
      </w:pPr>
      <w:r w:rsidRPr="00760F48">
        <w:rPr>
          <w:rFonts w:ascii="Times New Roman" w:hAnsi="Times New Roman" w:cs="Times New Roman"/>
          <w:b/>
          <w:color w:val="000000" w:themeColor="tx1" w:themeShade="FF"/>
          <w:sz w:val="24"/>
          <w:szCs w:val="24"/>
          <w:lang w:eastAsia="sk-SK"/>
        </w:rPr>
        <w:t>K bodu 28 - § 25 ods. 3</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Navrhovaná úprava nadväzuje na zmenu v § 17 ods. 39. V prípade vyradenia motorového vozidla, u ktorého nedošlo v lehote do jedného roka vrátane od zápisu motorového vozidla do evidencie vozidiel  k prevodu držby na inú osoby a zároveň v lehote 15 dní po uplynutí lehoty od zápisu motorového vozidla do evidencie nedošlo k úhrade plnej hodnoty registračného poplatku, sa pri výpočte zostatkovej ceny za výšku odpisu zahrnutého do daňových výdavkov považuje ročný odpis vypočítaný rovnomernou metódou odpisovania.  </w:t>
      </w:r>
    </w:p>
    <w:p w:rsidR="00B83514" w:rsidRPr="00760F48" w:rsidP="00B83514">
      <w:pPr>
        <w:pStyle w:val="ListParagraph"/>
        <w:tabs>
          <w:tab w:val="left" w:pos="7926"/>
        </w:tabs>
        <w:bidi w:val="0"/>
        <w:jc w:val="both"/>
        <w:rPr>
          <w:rFonts w:ascii="Times New Roman" w:hAnsi="Times New Roman"/>
          <w:color w:val="000000" w:themeColor="tx1" w:themeShade="FF"/>
        </w:rPr>
      </w:pPr>
    </w:p>
    <w:p w:rsidR="00B83514" w:rsidRPr="00760F48" w:rsidP="00B83514">
      <w:pPr>
        <w:pStyle w:val="ListParagraph"/>
        <w:bidi w:val="0"/>
        <w:ind w:left="0"/>
        <w:jc w:val="both"/>
        <w:rPr>
          <w:rFonts w:ascii="Times New Roman" w:hAnsi="Times New Roman"/>
          <w:b/>
          <w:color w:val="000000" w:themeColor="tx1" w:themeShade="FF"/>
        </w:rPr>
      </w:pPr>
      <w:r w:rsidRPr="00760F48">
        <w:rPr>
          <w:rFonts w:ascii="Times New Roman" w:hAnsi="Times New Roman"/>
          <w:b/>
          <w:color w:val="000000" w:themeColor="tx1" w:themeShade="FF"/>
        </w:rPr>
        <w:t>K bodom 30 až 34 - § 43 ods. 1, 2, 3 písm. r), ods. 5 písm. d) a ods. 9</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Príjmy podľa § 3 ods. 1 písm. e) a g) vyplatené tuzemskej fyzickej osobe ako aj fyzickej osobe nerezidentovi do zahraničia sa budú zdaňovať daňou vyberanou zrážkou vo výške 7 % alebo sadzbou dane podľa zmluvy o zamedzení dvojitého zdanenia. Výnimku tvoria fyzické osoby, ktoré sú daňovníkmi nezmluvných štátov podľa § 2 písm. x), ktorým sa tieto príjmy zdaňujú daňou vyberanou zrážkou vo výške 35 %. Navrhovanou úpravou zákona sa tiež určuje, že platiteľ dane, ktorý vypláca podiel člena pozemkového spoločenstva s právnou subjektivitou na zisku a na majetku určenom na rozdelenie medzi členov pozemkového spoločenstva s právnou subjektivitou alebo podiel na likvidačnom zostatku pozemkového spoločenstva s právnou subjektivitou a vyberá daň zrážkou, zrazí daň len zo sumy prevyšujúcej oslobodenú výšku podielu člena pozemkového spoločenstva, t. j. sumu prevyšujúcu 500 eur. Ak budú príjmy podľa § 3 ods. 1 písm. e) a g) vyplatené právnickej osobe – daňovníkovi z nezmluvného štátu, rovnako sa príjem zdaní daňou vyberanou zrážkou vo výške 35 %. Dani vyberanej zrážkou nepodliehajú príjmy, ktoré sú predmetom dane podľa § 12 ods. 7 písm. c) prvého bodu vyplatené podielovému fondu, dôchodkovému fondu, doplnkovému dôchodkovému fondu. Daň sa vyberá zrážkou z príjmu nezníženého o výdavky s výnimkou vyrovnacieho podielu a podielu na likvidačnom zostatku, kde základom pre daň vyberanú zrážkou je vyrovnací podiel alebo podiel na likvidačnom zostatku znížený o hodnotu splateného vkladu podľa § 25a (napr. hodnota peňažného vkladu, obstarávacia cena podielu obstaraného kúpou a pod.). Ak u daňovníka príde ku kombinácii príjmov z vyrovnacieho podielu a z podielu na likvidačnom zostatku, daňovník vyčísli základ dane za každý podiel jednotlivo, pričom na stratu sa neprihliada.</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35 - § 43 ods. 23</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Uvedený návrh spresňuje postup pri uplatnení metód na zamedzenie dvojitého zdanenia v  prípadoch uvedených v § 43 ods. 20 a 22. Daňovník – platiteľ dane vyberanej zrážkou,  zamedzí dvojitému zdaneniu prostredníctvom oznámenia vydaného podľa § 43 ods. 15 a 17 písm. a) zákona, pričom prostredníctvom tohto oznámenia požiada aj o vrátenie dane, vypočítanej na vrátenie po aplikácii metód na zamedzenie dvojitého zdanenia v súlade s ustanoveniami daňového poriadku. V prípade vybratia dane zrážkou z peňažných plnení podľa § 43 ods. 20 stálou prevádzkarňou alebo organizačnou zložkou zahraničnej osoby na území SR, táto je povinná vystaviť potvrdenie pre prijímateľa o výške peňažného plnenia a zrazenej dani v lehote do pätnásteho dňa po uplynutí kalendárneho roka, v ktorom bolo peňažné plnenie vyplatené, poukázané alebo pripísané v prospech prijímateľa.</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36 - § 45 ods. 4</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Zmena sa navrhuje z dôvodu nutnosti flexibilnejšej aktualizácie zoznamu štátov, ktoré budú zrážať daň až do ich prechodu na spoločný štandard oznamovania OECD (CRS – common reporting standards). Vo vzťahu k týmto štátom sa ponechá možnosť zápočtu zrazenej dane z vyplateného, poukázaného alebo pripísaného úroku. Táto úprava reaguje na potrebu ponechania možnosti zápočtu pre Rakúsko, ako aj pre tretie krajiny, ktoré majú podpísané Dohody s EÚ o uplatňovaní ekvivalentných opatrení ako boli dohodnuté v Smernici o zdaňovaní príjmu z úspor a postupne podpisujú pozmeňujúce protokoly k dohodám s EÚ o prechode na CRS.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37 - § 49a ods. 7</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V súčasnosti má vyplácajúci zástupca povinnosť oznámiť každoročne do 31. marca po uplynutí kalendárneho roka správcovi dane v zákone určené informácie o fyzickej osobe, ktorá je daňovníkom členského štátu EÚ, závislého územia alebo územia tretieho štátu a ktorá je konečným príjemcom vyplateného, poukázaného alebo pripísaného úroku. Z dôvodu zrušenia smernice o zdaňovaní príjmu z úspor už nie je potrebné upravovať túto povinnosť vyplácajúcich zástupcov a povinnosť sa vypúšťa zo zákona.</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38 - § 51e</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Súčasťou osobitného základu dane sú u fyzickej osoby iba príjmy podľa § 3 ods. 1 písm. e) a g) plynúce zo zdrojov v zahraničí. Tieto príjmy sa zdania sadzbou dane vo výške 7 % alebo 35 %, ak takéto príjmy plynú daňovníkovi zo zdrojov v nezmluvnom štáte. Navrhovanou úpravou sa od dane oslobodzuje aj podiel člena pozemkového spoločenstva s právnou subjektivitou plynúci zo zdrojov v zahraničí do výšky 500 eur. Zdaniteľným príjmom bude podiel člena pozemkového spoločenstva len v prípade, ak bude vyšší ako 500 eur a to v sume prevyšujúcej túto čiastku. Súčasťou osobitného základu dane u právnickej osoby sú iba príjmy podľa § 12 ods. 7 písm. c) prvého bodu, ktoré sú predmetom dane, plynúce od daňovníka z nezmluvného štátu </w:t>
      </w:r>
      <w:r w:rsidRPr="00760F48">
        <w:rPr>
          <w:rFonts w:ascii="Symbol" w:eastAsia="Times New Roman" w:hAnsi="Symbol" w:cs="Times New Roman"/>
          <w:color w:val="000000" w:themeColor="tx1" w:themeShade="FF"/>
          <w:sz w:val="24"/>
          <w:szCs w:val="24"/>
          <w:rtl w:val="0"/>
        </w:rPr>
        <w:sym w:font="Symbol" w:char="F05B"/>
      </w:r>
      <w:r w:rsidRPr="00760F48">
        <w:rPr>
          <w:rFonts w:ascii="Times New Roman" w:hAnsi="Times New Roman" w:cs="Times New Roman"/>
          <w:color w:val="000000" w:themeColor="tx1" w:themeShade="FF"/>
          <w:sz w:val="24"/>
          <w:szCs w:val="24"/>
        </w:rPr>
        <w:t>§ 2 písm. x)</w:t>
      </w:r>
      <w:r w:rsidRPr="00760F48">
        <w:rPr>
          <w:rFonts w:ascii="Symbol" w:eastAsia="Times New Roman" w:hAnsi="Symbol" w:cs="Times New Roman"/>
          <w:color w:val="000000" w:themeColor="tx1" w:themeShade="FF"/>
          <w:sz w:val="24"/>
          <w:szCs w:val="24"/>
          <w:rtl w:val="0"/>
        </w:rPr>
        <w:sym w:font="Symbol" w:char="F05D"/>
      </w:r>
      <w:r w:rsidRPr="00760F48">
        <w:rPr>
          <w:rFonts w:ascii="Times New Roman" w:hAnsi="Times New Roman" w:cs="Times New Roman"/>
          <w:color w:val="000000" w:themeColor="tx1" w:themeShade="FF"/>
          <w:sz w:val="24"/>
          <w:szCs w:val="24"/>
        </w:rPr>
        <w:t xml:space="preserve">. Tieto príjmy sa zdania sadzbou dane vo výške 35 %.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strike/>
          <w:color w:val="000000" w:themeColor="tx1" w:themeShade="FF"/>
          <w:sz w:val="24"/>
          <w:szCs w:val="24"/>
        </w:rPr>
      </w:pPr>
      <w:r w:rsidRPr="00760F48">
        <w:rPr>
          <w:rFonts w:ascii="Times New Roman" w:hAnsi="Times New Roman" w:cs="Times New Roman"/>
          <w:b/>
          <w:color w:val="000000" w:themeColor="tx1" w:themeShade="FF"/>
          <w:sz w:val="24"/>
          <w:szCs w:val="24"/>
        </w:rPr>
        <w:t>K bodu 39 - § 52zi a § 52zj</w:t>
      </w:r>
    </w:p>
    <w:p w:rsidR="00B83514" w:rsidRPr="00760F48" w:rsidP="00B83514">
      <w:pPr>
        <w:bidi w:val="0"/>
        <w:spacing w:after="0" w:line="240" w:lineRule="auto"/>
        <w:contextualSpacing/>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 52zi</w:t>
      </w:r>
    </w:p>
    <w:p w:rsidR="00B83514" w:rsidRPr="00760F48" w:rsidP="00B83514">
      <w:pPr>
        <w:bidi w:val="0"/>
        <w:spacing w:after="0" w:line="240" w:lineRule="auto"/>
        <w:contextualSpacing/>
        <w:jc w:val="both"/>
        <w:rPr>
          <w:rFonts w:ascii="Times New Roman" w:hAnsi="Times New Roman" w:cs="Times New Roman"/>
          <w:color w:val="000000" w:themeColor="tx1" w:themeShade="FF"/>
          <w:sz w:val="24"/>
          <w:szCs w:val="24"/>
        </w:rPr>
      </w:pPr>
      <w:r w:rsidRPr="00760F48">
        <w:rPr>
          <w:rFonts w:ascii="Times New Roman" w:hAnsi="Times New Roman" w:cs="Times New Roman"/>
          <w:b/>
          <w:color w:val="000000" w:themeColor="tx1" w:themeShade="FF"/>
          <w:sz w:val="24"/>
          <w:szCs w:val="24"/>
        </w:rPr>
        <w:t xml:space="preserve">K odseku 1 - </w:t>
      </w:r>
      <w:r w:rsidRPr="00760F48">
        <w:rPr>
          <w:rFonts w:ascii="Times New Roman" w:hAnsi="Times New Roman" w:cs="Times New Roman"/>
          <w:color w:val="000000" w:themeColor="tx1" w:themeShade="FF"/>
          <w:sz w:val="24"/>
          <w:szCs w:val="24"/>
        </w:rPr>
        <w:t xml:space="preserve">Sadzba dane z príjmov právnickej osoby vo výške 21 %  sa použije pri podaní daňového priznania za zdaňovacie obdobie, ktoré sa začína najskôr 1. januára 2017. Daňovník, ktorého zdaňovacím obdobím je hospodársky rok, použije túto sadzbu dane prvýkrát v zdaňovacom období, ktoré začne v priebehu kalendárneho roka 2017.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b/>
          <w:color w:val="000000" w:themeColor="tx1" w:themeShade="FF"/>
          <w:sz w:val="24"/>
          <w:szCs w:val="24"/>
        </w:rPr>
        <w:t xml:space="preserve">K odseku 2 – </w:t>
      </w:r>
      <w:r w:rsidRPr="00760F48">
        <w:rPr>
          <w:rFonts w:ascii="Times New Roman" w:hAnsi="Times New Roman" w:cs="Times New Roman"/>
          <w:color w:val="000000" w:themeColor="tx1" w:themeShade="FF"/>
          <w:sz w:val="24"/>
          <w:szCs w:val="24"/>
        </w:rPr>
        <w:t>Ustanovenie týkajúce sa úpravy základu dane závislej osoby, ako aj zahrnutia nájomného a odplaty za použitie alebo poskytnutie práva na použitie sa uplatní už pri podávaní daňového priznania počnúc 1. 1. 2017.</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b/>
          <w:color w:val="000000" w:themeColor="tx1" w:themeShade="FF"/>
          <w:sz w:val="24"/>
          <w:szCs w:val="24"/>
        </w:rPr>
        <w:t>K odseku 3</w:t>
      </w:r>
      <w:r w:rsidRPr="00760F48">
        <w:rPr>
          <w:rFonts w:ascii="Times New Roman" w:hAnsi="Times New Roman" w:cs="Times New Roman"/>
          <w:color w:val="000000" w:themeColor="tx1" w:themeShade="FF"/>
          <w:sz w:val="24"/>
          <w:szCs w:val="24"/>
        </w:rPr>
        <w:t xml:space="preserve"> - Ustanovenia § 18a ods. 1 a 2  týkajúce sa zvýšenia sankcie a možného zníženia sankcie sa použijú na doruby z daňovej kontroly začatej po 31. decembri 2016.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b/>
          <w:color w:val="000000" w:themeColor="tx1" w:themeShade="FF"/>
          <w:sz w:val="24"/>
          <w:szCs w:val="24"/>
        </w:rPr>
        <w:t>K odseku 4</w:t>
      </w:r>
      <w:r w:rsidRPr="00760F48">
        <w:rPr>
          <w:rFonts w:ascii="Times New Roman" w:hAnsi="Times New Roman" w:cs="Times New Roman"/>
          <w:color w:val="000000" w:themeColor="tx1" w:themeShade="FF"/>
          <w:sz w:val="24"/>
          <w:szCs w:val="24"/>
        </w:rPr>
        <w:t xml:space="preserve"> – Ustanovenie § 18a týkajúce sa zníženia sankcie na 3 percentá v prípade, ak daňovník požiada o odsúhlasenie metódy ocenenia sa uplatní na všetky prípady, kde ešte nebola pokuta právoplatne vyrubená.</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b/>
          <w:color w:val="000000" w:themeColor="tx1" w:themeShade="FF"/>
          <w:sz w:val="24"/>
          <w:szCs w:val="24"/>
        </w:rPr>
        <w:t>K odseku 5</w:t>
      </w:r>
      <w:r w:rsidRPr="00760F48">
        <w:rPr>
          <w:rFonts w:ascii="Times New Roman" w:hAnsi="Times New Roman" w:cs="Times New Roman"/>
          <w:color w:val="000000" w:themeColor="tx1" w:themeShade="FF"/>
          <w:sz w:val="24"/>
          <w:szCs w:val="24"/>
        </w:rPr>
        <w:t xml:space="preserve"> - Podiely na zisku (dividendy), podiely na výsledku podnikania vyplácané tichému spoločníkovi a podiel člena pozemkového spoločenstva s právnou subjektivitou na zisku a na majetku určenom na rozdelenie členom pozemkového spoločenstva vykázané za zdaňovacie obdobie začínajúce najskôr 1.1.2017 budú podliehať osobitnej sadzbe dane. Ak sa jedná o podiely na zisku (dividendy) vykázané za hospodársky rok so začiatkom v kalendárnom roku 2016, pri ich zdanení sa bude aj po 1.1.2017 postupovať podľa predpisu účinného do 31.12.2016 (t. j. naďalej nebudú predmetom dane). Podiely na zisku (dividendy) vykázané za zdaňovacie obdobia začínajúce od 1.1.2004 a najneskôr do nadobudnutia účinnosti tohto zákona nebudú ani počnúc 1.1.2017 predmetom dane. Podiely na zisku (dividendy) vyplatené obchodnou spoločnosťou alebo družstvom zamestnancovi bez účasti na základnom imaní sa budú považovať za príjem zo závislej činnosti podľa § 5, ak budú vyplatené zo zisku vykázaného za zdaňovacie obdobie začínajúce najskôr 1.1.2017 a  zo zisku vykázaného za zdaňovacie obdobia do 31.12.2003 vyplatené po 31.12.2016. Podiel na likvidačnom zostatku obchodnej spoločnosti alebo družstva bude počnúc 1.1.2017 predmetom dane len v tom prípade, ak spoločnosť vstúpila do likvidácie najskôr 1.1.2017 alebo ak súd rozhodol o zrušení spoločnosti podľa § 68 ods. 6 a 7 Obchodného zákonníka najskôr 1. januára 2017. Predmetom dane bude počnúc 1.1.2017 až vyrovnací podiel, ktorého výška sa určila na základe riadnej individuálnej účtovnej závierky za účtovné obdobie začínajúce najskôr 1. januára 2017.</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b/>
          <w:color w:val="000000" w:themeColor="tx1" w:themeShade="FF"/>
          <w:sz w:val="24"/>
          <w:szCs w:val="24"/>
        </w:rPr>
        <w:t>K odseku 6</w:t>
      </w:r>
      <w:r w:rsidRPr="00760F48">
        <w:rPr>
          <w:rFonts w:ascii="Times New Roman" w:hAnsi="Times New Roman" w:cs="Times New Roman"/>
          <w:color w:val="000000" w:themeColor="tx1" w:themeShade="FF"/>
          <w:sz w:val="24"/>
          <w:szCs w:val="24"/>
        </w:rPr>
        <w:t xml:space="preserve"> - Pri zdanení podielov na zisku (dividendách) zo zdroja na území Slovenskej republiky vykázaných za zdaňovacie obdobia do 31.12.2003 sa neuplatní u fyzickej osoby – daňovníka s neobmedzenou daňovou povinnosťou postup podľa § 52 ods. 24, ale tieto budú, ak k ich výplate príde v zdaňovacom období začínajúcom najskôr od 1. januára 2017, predmetom dane vyberanej zrážkou pri použití sadzby dane vo výške 7 %. U právnickej osoby – daňovníka s neobmedzenou daňovou povinnosťou budú tieto príjmy súčasťou základu dane v podanom daňovom priznaní.</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b/>
          <w:color w:val="000000" w:themeColor="tx1" w:themeShade="FF"/>
          <w:sz w:val="24"/>
          <w:szCs w:val="24"/>
        </w:rPr>
        <w:t>K odseku 7</w:t>
      </w:r>
      <w:r w:rsidRPr="00760F48">
        <w:rPr>
          <w:rFonts w:ascii="Times New Roman" w:hAnsi="Times New Roman" w:cs="Times New Roman"/>
          <w:color w:val="000000" w:themeColor="tx1" w:themeShade="FF"/>
          <w:sz w:val="24"/>
          <w:szCs w:val="24"/>
        </w:rPr>
        <w:t xml:space="preserve"> - Pri zdanení podielov na zisku (dividendách) zo zdroja na území Slovenskej republiky vykázaných za zdaňovacie obdobia do 31.12.2003 vyplácaných fyzickej osobe – daňovníkovi s obmedzenou daňovou povinnosťou sa uplatní daň vyberaná zrážkou vo výške       7 %, prípadne vo výške podľa príslušnej zmluvy o zamedzení dvojitého zdanenia.  Postup podľa § 52 ods. 24 sa v tomto prípade neuplatní. U právnickej osoby – daňovníka s obmedzenou daňovou povinnosťou sa v prvom rade skúma, či sú tieto príjmy predmetom dane podľa § 52 ods. 24 a ak sú predmetom dane vyberanej zrážkou, použije sa sadzba dane vo výške 19 %.</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b/>
          <w:color w:val="000000" w:themeColor="tx1" w:themeShade="FF"/>
          <w:sz w:val="24"/>
          <w:szCs w:val="24"/>
        </w:rPr>
        <w:t>K odseku 8</w:t>
      </w:r>
      <w:r w:rsidRPr="00760F48">
        <w:rPr>
          <w:rFonts w:ascii="Times New Roman" w:hAnsi="Times New Roman" w:cs="Times New Roman"/>
          <w:color w:val="000000" w:themeColor="tx1" w:themeShade="FF"/>
          <w:sz w:val="24"/>
          <w:szCs w:val="24"/>
        </w:rPr>
        <w:t xml:space="preserve"> - Pri zdanení podielov na zisku (dividendách) zo zdroja v zahraničí vykázaných za zdaňovacie obdobia do 31.12.2003 vyplácaných fyzickej osobe – daňovníkovi s neobmedzenou daňovou povinnosťou sa tento príjem zahrnie do osobitného základu dane podľa § 51e a uplatní sa sadzba dane vo výške 7 %. U právnickej osoby – daňovníka s neobmedzenou daňovou povinnosťou sa v prvom rade skúma, či sú tieto príjmy predmetom dane podľa § 52 ods. 24; ak sú tieto príjmy predmetom dane, sú súčasťou základu dane v podanom daňovom priznaní.</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b/>
          <w:color w:val="000000" w:themeColor="tx1" w:themeShade="FF"/>
          <w:sz w:val="24"/>
          <w:szCs w:val="24"/>
        </w:rPr>
        <w:t>K odseku 9</w:t>
      </w:r>
      <w:r w:rsidRPr="00760F48">
        <w:rPr>
          <w:rFonts w:ascii="Times New Roman" w:hAnsi="Times New Roman" w:cs="Times New Roman"/>
          <w:color w:val="000000" w:themeColor="tx1" w:themeShade="FF"/>
          <w:sz w:val="24"/>
          <w:szCs w:val="24"/>
        </w:rPr>
        <w:t xml:space="preserve"> - Pri zdaňovaní vyrovnacieho podielu alebo podielu na likvidačnom zostatku, ktoré sú predmetom dane počnúc 1.1.2017 si daňovník môže uplatniť ako daňový výdavok hodnotu splateného vkladu v ocenení podľa § 25a, pričom pri splatenom vklade obstaranom do 31.12.2015 si ako daňový výdavok uplatní hodnotu splateného vkladu v ocenení stanovenom podľa príslušných ustanovení zákona účinných do 31.12.2015.</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 52zj</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Zvýšenie základu dane držiteľa motorového vozidla podľa § 17 ods. 39 a stanovenie zostatkovej ceny pri takomto motorovom vozidle sa použije až pri motorovom vozidle zaevidovanom v evidencii vozidiel v Slovenskej republike od 1. februára 2017. </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p>
    <w:p w:rsidR="00B83514" w:rsidRPr="00760F48" w:rsidP="00B83514">
      <w:pPr>
        <w:bidi w:val="0"/>
        <w:spacing w:after="0" w:line="240" w:lineRule="auto"/>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40 – príloha č. 2</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 xml:space="preserve">Nadväzne na transpozíciu Smernice, ktorou sa zrušuje Smernica o zdaňovaní úspor (2003/48/ES), sa aktualizuje príloha č. 2, kde sa uvádza zoznam prebratých smerníc. </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bodu 41 – prílohy č. 3 až 5</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Z dôvodu zrušenia Smernice o zdaňovaní príjmu z úspor a vypustenia povinností vyplácajúcich zástupcov zo zákona o dani z príjmov sa vypúšťajú príslušné prílohy, ktoré mali nadväznosť na povinnosti vyplácajúcich zástupcov.</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Čl. II</w:t>
      </w: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bodom 1 až 3 – Poznámky pod čiarou a § 29b</w:t>
      </w:r>
    </w:p>
    <w:p w:rsidR="00B83514" w:rsidRPr="00760F48" w:rsidP="00B83514">
      <w:pPr>
        <w:bidi w:val="0"/>
        <w:spacing w:after="0" w:line="240" w:lineRule="auto"/>
        <w:jc w:val="both"/>
        <w:rPr>
          <w:rFonts w:ascii="Times New Roman" w:hAnsi="Times New Roman" w:cs="Times New Roman"/>
          <w:color w:val="000000" w:themeColor="tx1" w:themeShade="FF"/>
          <w:sz w:val="24"/>
          <w:szCs w:val="24"/>
        </w:rPr>
      </w:pPr>
      <w:r w:rsidRPr="00760F48">
        <w:rPr>
          <w:rFonts w:ascii="Times New Roman" w:hAnsi="Times New Roman" w:cs="Times New Roman"/>
          <w:color w:val="000000" w:themeColor="tx1" w:themeShade="FF"/>
          <w:sz w:val="24"/>
          <w:szCs w:val="24"/>
        </w:rPr>
        <w:t>Z dôvodu zavedenia zdaňovania podielov na zisku (dividend) u fyzických osôb osobitnou sadzbou dane vo výške 7 % alebo 35 % nebudú podiely na zisku (dividendy) považované za zárobkovú činnosť podľa zákona o zdravotnom poistení, t. j. nebudú predmetom zdravotného poistenia. Zároveň sa vypúšťajú všetky ustanovenia týkajúce sa povinností platenia zdravotných odvodov z dividend. Predmetom zdravotného poistenia nebudú podľa prechodného ustanovenia až podiely na zisku (dividendy) vyplácané zo zisku dosiahnutého v účtovnom období, ktoré sa začalo počnúc 1.1.2017.</w:t>
      </w:r>
    </w:p>
    <w:p w:rsidR="00B83514" w:rsidP="00B83514">
      <w:pPr>
        <w:bidi w:val="0"/>
        <w:spacing w:after="0" w:line="240" w:lineRule="auto"/>
        <w:jc w:val="both"/>
        <w:rPr>
          <w:rFonts w:ascii="Times New Roman" w:hAnsi="Times New Roman" w:cs="Times New Roman"/>
          <w:color w:val="000000" w:themeColor="tx1" w:themeShade="FF"/>
          <w:sz w:val="24"/>
          <w:szCs w:val="24"/>
          <w:lang w:eastAsia="sk-SK"/>
        </w:rPr>
      </w:pPr>
    </w:p>
    <w:p w:rsidR="00AC2A0D" w:rsidP="00B83514">
      <w:pPr>
        <w:bidi w:val="0"/>
        <w:spacing w:after="0" w:line="240" w:lineRule="auto"/>
        <w:jc w:val="both"/>
        <w:rPr>
          <w:rFonts w:ascii="Times New Roman" w:hAnsi="Times New Roman" w:cs="Times New Roman"/>
          <w:color w:val="000000" w:themeColor="tx1" w:themeShade="FF"/>
          <w:sz w:val="24"/>
          <w:szCs w:val="24"/>
          <w:lang w:eastAsia="sk-SK"/>
        </w:rPr>
      </w:pPr>
    </w:p>
    <w:p w:rsidR="00AC2A0D" w:rsidP="00B83514">
      <w:pPr>
        <w:bidi w:val="0"/>
        <w:spacing w:after="0" w:line="240" w:lineRule="auto"/>
        <w:jc w:val="both"/>
        <w:rPr>
          <w:rFonts w:ascii="Times New Roman" w:hAnsi="Times New Roman" w:cs="Times New Roman"/>
          <w:color w:val="000000" w:themeColor="tx1" w:themeShade="FF"/>
          <w:sz w:val="24"/>
          <w:szCs w:val="24"/>
          <w:lang w:eastAsia="sk-SK"/>
        </w:rPr>
      </w:pPr>
    </w:p>
    <w:p w:rsidR="00AC2A0D" w:rsidRPr="00760F48" w:rsidP="00B83514">
      <w:pPr>
        <w:bidi w:val="0"/>
        <w:spacing w:after="0" w:line="240" w:lineRule="auto"/>
        <w:jc w:val="both"/>
        <w:rPr>
          <w:rFonts w:ascii="Times New Roman" w:hAnsi="Times New Roman" w:cs="Times New Roman"/>
          <w:color w:val="000000" w:themeColor="tx1" w:themeShade="FF"/>
          <w:sz w:val="24"/>
          <w:szCs w:val="24"/>
          <w:lang w:eastAsia="sk-SK"/>
        </w:rPr>
      </w:pPr>
    </w:p>
    <w:p w:rsidR="00B83514" w:rsidRPr="00760F48" w:rsidP="00B83514">
      <w:pPr>
        <w:bidi w:val="0"/>
        <w:spacing w:after="0" w:line="240" w:lineRule="auto"/>
        <w:jc w:val="both"/>
        <w:rPr>
          <w:rFonts w:ascii="Times New Roman" w:hAnsi="Times New Roman" w:cs="Times New Roman"/>
          <w:b/>
          <w:color w:val="000000" w:themeColor="tx1" w:themeShade="FF"/>
          <w:sz w:val="24"/>
          <w:szCs w:val="24"/>
        </w:rPr>
      </w:pPr>
      <w:r w:rsidRPr="00760F48">
        <w:rPr>
          <w:rFonts w:ascii="Times New Roman" w:hAnsi="Times New Roman" w:cs="Times New Roman"/>
          <w:b/>
          <w:color w:val="000000" w:themeColor="tx1" w:themeShade="FF"/>
          <w:sz w:val="24"/>
          <w:szCs w:val="24"/>
        </w:rPr>
        <w:t>K Čl. III</w:t>
      </w:r>
    </w:p>
    <w:p w:rsidR="00B83514" w:rsidRPr="00760F48" w:rsidP="00B83514">
      <w:pPr>
        <w:bidi w:val="0"/>
        <w:spacing w:after="0" w:line="240" w:lineRule="auto"/>
        <w:jc w:val="both"/>
        <w:rPr>
          <w:rFonts w:ascii="Times New Roman" w:hAnsi="Times New Roman" w:cs="Times New Roman"/>
          <w:bCs/>
          <w:color w:val="000000" w:themeColor="tx1" w:themeShade="FF"/>
          <w:sz w:val="24"/>
          <w:szCs w:val="24"/>
        </w:rPr>
      </w:pPr>
      <w:r w:rsidRPr="00760F48">
        <w:rPr>
          <w:rFonts w:ascii="Times New Roman" w:hAnsi="Times New Roman" w:cs="Times New Roman"/>
          <w:bCs/>
          <w:color w:val="000000" w:themeColor="tx1" w:themeShade="FF"/>
          <w:sz w:val="24"/>
          <w:szCs w:val="24"/>
        </w:rPr>
        <w:t>Tento zákon nadobúda účinnosť 1. januára 2017, okrem článku I bodov 20, 28 a bodu 39 § 52zj, ktoré nadobúdajú účinnosť 1. februára 2017.</w:t>
      </w:r>
    </w:p>
    <w:p w:rsidR="00B8326A" w:rsidP="00B8326A">
      <w:pPr>
        <w:bidi w:val="0"/>
        <w:spacing w:after="0" w:line="240" w:lineRule="auto"/>
        <w:ind w:left="360"/>
        <w:jc w:val="both"/>
        <w:rPr>
          <w:rFonts w:ascii="Times New Roman" w:hAnsi="Times New Roman" w:cs="Times New Roman"/>
          <w:b/>
          <w:sz w:val="24"/>
          <w:szCs w:val="24"/>
        </w:rPr>
      </w:pPr>
    </w:p>
    <w:p w:rsidR="00B83514" w:rsidRPr="00B83514" w:rsidP="00B83514">
      <w:pPr>
        <w:bidi w:val="0"/>
        <w:spacing w:after="0" w:line="240" w:lineRule="auto"/>
        <w:jc w:val="both"/>
        <w:rPr>
          <w:rFonts w:ascii="Times New Roman" w:hAnsi="Times New Roman" w:cs="Times New Roman"/>
          <w:sz w:val="24"/>
          <w:szCs w:val="24"/>
        </w:rPr>
      </w:pPr>
      <w:r w:rsidRPr="00B83514">
        <w:rPr>
          <w:rFonts w:ascii="Times New Roman" w:hAnsi="Times New Roman" w:cs="Times New Roman"/>
          <w:sz w:val="24"/>
          <w:szCs w:val="24"/>
        </w:rPr>
        <w:t>Schválené uznesením vlády Slovenskej republiky dňa 21. septembra 2016.</w:t>
      </w: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AC2A0D"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514"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B83514" w:rsidRPr="00B83514" w:rsidP="00B83514">
      <w:pPr>
        <w:pStyle w:val="Heading3"/>
        <w:bidi w:val="0"/>
        <w:spacing w:before="0" w:after="0"/>
        <w:jc w:val="center"/>
        <w:rPr>
          <w:rFonts w:ascii="Times New Roman" w:hAnsi="Times New Roman"/>
          <w:bCs w:val="0"/>
          <w:sz w:val="24"/>
          <w:szCs w:val="24"/>
        </w:rPr>
      </w:pPr>
      <w:r w:rsidRPr="00B83514">
        <w:rPr>
          <w:rFonts w:ascii="Times New Roman" w:hAnsi="Times New Roman"/>
          <w:bCs w:val="0"/>
          <w:sz w:val="24"/>
          <w:szCs w:val="24"/>
        </w:rPr>
        <w:t>Robert Fico</w:t>
      </w:r>
      <w:r w:rsidR="00546EEB">
        <w:rPr>
          <w:rFonts w:ascii="Times New Roman" w:hAnsi="Times New Roman"/>
          <w:bCs w:val="0"/>
          <w:sz w:val="24"/>
          <w:szCs w:val="24"/>
        </w:rPr>
        <w:t>, v.r.</w:t>
      </w:r>
      <w:r w:rsidRPr="00B83514">
        <w:rPr>
          <w:rFonts w:ascii="Times New Roman" w:hAnsi="Times New Roman"/>
          <w:bCs w:val="0"/>
          <w:sz w:val="24"/>
          <w:szCs w:val="24"/>
        </w:rPr>
        <w:t xml:space="preserve"> </w:t>
      </w:r>
    </w:p>
    <w:p w:rsidR="00B83514" w:rsidRPr="00B83514" w:rsidP="00B83514">
      <w:pPr>
        <w:bidi w:val="0"/>
        <w:rPr>
          <w:rFonts w:ascii="Times New Roman" w:hAnsi="Times New Roman" w:cs="Times New Roman"/>
          <w:sz w:val="24"/>
          <w:szCs w:val="24"/>
        </w:rPr>
      </w:pPr>
    </w:p>
    <w:p w:rsidR="00B83514" w:rsidRPr="00B83514" w:rsidP="00B83514">
      <w:pPr>
        <w:bidi w:val="0"/>
        <w:jc w:val="center"/>
        <w:rPr>
          <w:rFonts w:ascii="Times New Roman" w:hAnsi="Times New Roman" w:cs="Times New Roman"/>
          <w:sz w:val="24"/>
          <w:szCs w:val="24"/>
        </w:rPr>
      </w:pPr>
      <w:r w:rsidRPr="00B83514">
        <w:rPr>
          <w:rFonts w:ascii="Times New Roman" w:hAnsi="Times New Roman" w:cs="Times New Roman"/>
          <w:sz w:val="24"/>
          <w:szCs w:val="24"/>
        </w:rPr>
        <w:t>predseda vlády Slovenskej republiky</w:t>
      </w:r>
    </w:p>
    <w:p w:rsidR="00B83514" w:rsidRPr="00B83514" w:rsidP="00B83514">
      <w:pPr>
        <w:bidi w:val="0"/>
        <w:rPr>
          <w:rFonts w:ascii="Times New Roman" w:hAnsi="Times New Roman" w:cs="Times New Roman"/>
          <w:sz w:val="24"/>
          <w:szCs w:val="24"/>
        </w:rPr>
      </w:pPr>
    </w:p>
    <w:p w:rsidR="00B83514" w:rsidRPr="00B83514" w:rsidP="00B83514">
      <w:pPr>
        <w:bidi w:val="0"/>
        <w:rPr>
          <w:rFonts w:ascii="Times New Roman" w:hAnsi="Times New Roman" w:cs="Times New Roman"/>
          <w:sz w:val="24"/>
          <w:szCs w:val="24"/>
        </w:rPr>
      </w:pPr>
    </w:p>
    <w:p w:rsidR="00B83514" w:rsidRPr="00B83514" w:rsidP="00B83514">
      <w:pPr>
        <w:bidi w:val="0"/>
        <w:rPr>
          <w:rFonts w:ascii="Times New Roman" w:hAnsi="Times New Roman" w:cs="Times New Roman"/>
          <w:sz w:val="24"/>
          <w:szCs w:val="24"/>
        </w:rPr>
      </w:pPr>
    </w:p>
    <w:p w:rsidR="00B83514" w:rsidRPr="00B83514" w:rsidP="00B83514">
      <w:pPr>
        <w:bidi w:val="0"/>
        <w:rPr>
          <w:rFonts w:ascii="Times New Roman" w:hAnsi="Times New Roman" w:cs="Times New Roman"/>
          <w:sz w:val="24"/>
          <w:szCs w:val="24"/>
        </w:rPr>
      </w:pPr>
    </w:p>
    <w:p w:rsidR="00B83514" w:rsidRPr="00B83514" w:rsidP="00B83514">
      <w:pPr>
        <w:pStyle w:val="Heading1"/>
        <w:bidi w:val="0"/>
        <w:rPr>
          <w:rFonts w:ascii="Times New Roman" w:hAnsi="Times New Roman"/>
        </w:rPr>
      </w:pPr>
      <w:r w:rsidRPr="00B83514">
        <w:rPr>
          <w:rFonts w:ascii="Times New Roman" w:hAnsi="Times New Roman"/>
        </w:rPr>
        <w:t>Peter Kažimír</w:t>
      </w:r>
      <w:r w:rsidR="00546EEB">
        <w:rPr>
          <w:rFonts w:ascii="Times New Roman" w:hAnsi="Times New Roman"/>
        </w:rPr>
        <w:t>, v.r.</w:t>
      </w:r>
    </w:p>
    <w:p w:rsidR="00B83514" w:rsidRPr="00B83514" w:rsidP="00B83514">
      <w:pPr>
        <w:bidi w:val="0"/>
        <w:rPr>
          <w:rFonts w:ascii="Times New Roman" w:hAnsi="Times New Roman" w:cs="Times New Roman"/>
          <w:sz w:val="24"/>
          <w:szCs w:val="24"/>
        </w:rPr>
      </w:pPr>
    </w:p>
    <w:p w:rsidR="00B83514" w:rsidRPr="00B83514" w:rsidP="00B83514">
      <w:pPr>
        <w:bidi w:val="0"/>
        <w:jc w:val="center"/>
        <w:rPr>
          <w:rFonts w:ascii="Times New Roman" w:hAnsi="Times New Roman" w:cs="Times New Roman"/>
          <w:sz w:val="24"/>
          <w:szCs w:val="24"/>
        </w:rPr>
      </w:pPr>
      <w:r w:rsidRPr="00B83514">
        <w:rPr>
          <w:rFonts w:ascii="Times New Roman" w:hAnsi="Times New Roman" w:cs="Times New Roman"/>
          <w:sz w:val="24"/>
          <w:szCs w:val="24"/>
        </w:rPr>
        <w:t>minister financií Slovenskej republiky</w:t>
      </w:r>
    </w:p>
    <w:p w:rsidR="00B8326A" w:rsidRPr="00B83514" w:rsidP="00B8326A">
      <w:pPr>
        <w:bidi w:val="0"/>
        <w:spacing w:after="0" w:line="240" w:lineRule="auto"/>
        <w:ind w:left="360"/>
        <w:jc w:val="both"/>
        <w:rPr>
          <w:rFonts w:ascii="Times New Roman" w:hAnsi="Times New Roman" w:cs="Times New Roman"/>
          <w:b/>
          <w:sz w:val="24"/>
          <w:szCs w:val="24"/>
        </w:rPr>
      </w:pPr>
    </w:p>
    <w:p w:rsidR="00B8326A" w:rsidP="00B8326A">
      <w:pPr>
        <w:bidi w:val="0"/>
        <w:spacing w:after="0" w:line="240" w:lineRule="auto"/>
        <w:ind w:left="360"/>
        <w:jc w:val="both"/>
        <w:rPr>
          <w:rFonts w:ascii="Times New Roman" w:hAnsi="Times New Roman" w:cs="Times New Roman"/>
          <w:b/>
          <w:sz w:val="24"/>
          <w:szCs w:val="24"/>
        </w:rPr>
      </w:pPr>
    </w:p>
    <w:p w:rsidR="00AC2A0D" w:rsidP="00B83514">
      <w:pPr>
        <w:bidi w:val="0"/>
        <w:spacing w:after="0" w:line="240" w:lineRule="auto"/>
        <w:jc w:val="both"/>
        <w:rPr>
          <w:rFonts w:ascii="Times New Roman" w:hAnsi="Times New Roman" w:cs="Times New Roman"/>
          <w:b/>
          <w:sz w:val="24"/>
          <w:szCs w:val="24"/>
        </w:rPr>
        <w:sectPr w:rsidSect="002701F5">
          <w:pgSz w:w="11906" w:h="16838"/>
          <w:pgMar w:top="1417" w:right="1417" w:bottom="1417" w:left="1417" w:header="708" w:footer="708" w:gutter="0"/>
          <w:lnNumType w:distance="0"/>
          <w:cols w:space="708"/>
          <w:noEndnote w:val="0"/>
          <w:bidi w:val="0"/>
          <w:docGrid w:linePitch="360"/>
        </w:sectPr>
      </w:pPr>
    </w:p>
    <w:p w:rsidR="00B8326A" w:rsidP="00B83514">
      <w:pPr>
        <w:bidi w:val="0"/>
        <w:spacing w:after="0" w:line="240" w:lineRule="auto"/>
        <w:jc w:val="both"/>
        <w:rPr>
          <w:rFonts w:ascii="Times New Roman" w:hAnsi="Times New Roman" w:cs="Times New Roman"/>
          <w:b/>
          <w:sz w:val="24"/>
          <w:szCs w:val="24"/>
        </w:rPr>
        <w:sectPr w:rsidSect="002701F5">
          <w:pgSz w:w="11906" w:h="16838"/>
          <w:pgMar w:top="1417" w:right="1417" w:bottom="1417" w:left="1417" w:header="708" w:footer="708" w:gutter="0"/>
          <w:lnNumType w:distance="0"/>
          <w:cols w:space="708"/>
          <w:noEndnote w:val="0"/>
          <w:bidi w:val="0"/>
          <w:docGrid w:linePitch="360"/>
        </w:sectPr>
      </w:pPr>
    </w:p>
    <w:p w:rsidR="005A3535" w:rsidRPr="00B8326A" w:rsidP="00B83514">
      <w:pPr>
        <w:bidi w:val="0"/>
        <w:spacing w:after="0" w:line="240" w:lineRule="auto"/>
        <w:jc w:val="both"/>
        <w:rPr>
          <w:rFonts w:ascii="Times New Roman" w:hAnsi="Times New Roman" w:cs="Times New Roman"/>
          <w:b/>
          <w:sz w:val="24"/>
          <w:szCs w:val="24"/>
        </w:rPr>
      </w:pPr>
    </w:p>
    <w:sectPr w:rsidSect="00B83514">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ymbol">
    <w:panose1 w:val="00000000000000000000"/>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libri Light">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F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4432F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A0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C4D7A">
      <w:rPr>
        <w:rFonts w:ascii="Times New Roman" w:hAnsi="Times New Roman"/>
        <w:noProof/>
      </w:rPr>
      <w:t>1</w:t>
    </w:r>
    <w:r>
      <w:rPr>
        <w:rFonts w:ascii="Times New Roman" w:hAnsi="Times New Roman"/>
      </w:rPr>
      <w:fldChar w:fldCharType="end"/>
    </w:r>
  </w:p>
  <w:p w:rsidR="004432F5">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F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C4D7A">
      <w:rPr>
        <w:rFonts w:ascii="Times New Roman" w:hAnsi="Times New Roman"/>
        <w:noProof/>
      </w:rPr>
      <w:t>21</w:t>
    </w:r>
    <w:r>
      <w:rPr>
        <w:rFonts w:ascii="Times New Roman" w:hAnsi="Times New Roman"/>
      </w:rPr>
      <w:fldChar w:fldCharType="end"/>
    </w:r>
  </w:p>
  <w:p w:rsidR="004432F5">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F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C4D7A">
      <w:rPr>
        <w:rFonts w:ascii="Times New Roman" w:hAnsi="Times New Roman"/>
        <w:noProof/>
      </w:rPr>
      <w:t>36</w:t>
    </w:r>
    <w:r>
      <w:rPr>
        <w:rFonts w:ascii="Times New Roman" w:hAnsi="Times New Roman"/>
      </w:rPr>
      <w:fldChar w:fldCharType="end"/>
    </w:r>
  </w:p>
  <w:p w:rsidR="004432F5" w:rsidRPr="00B83514" w:rsidP="00B83514">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F5" w:rsidP="00E91028">
    <w:pPr>
      <w:pStyle w:val="Header"/>
      <w:bidi w:val="0"/>
      <w:jc w:val="right"/>
      <w:rPr>
        <w:rFonts w:ascii="Times New Roman" w:hAnsi="Times New Roman"/>
        <w:sz w:val="24"/>
        <w:szCs w:val="24"/>
      </w:rPr>
    </w:pPr>
    <w:r>
      <w:rPr>
        <w:rFonts w:ascii="Times New Roman" w:hAnsi="Times New Roman"/>
        <w:sz w:val="24"/>
        <w:szCs w:val="24"/>
      </w:rPr>
      <w:t>Príloha č. 2</w:t>
    </w:r>
  </w:p>
  <w:p w:rsidR="004432F5" w:rsidRPr="00EB59C8" w:rsidP="00E91028">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F5" w:rsidRPr="000A15AE" w:rsidP="00E91028">
    <w:pPr>
      <w:pStyle w:val="Header"/>
      <w:bidi w:val="0"/>
      <w:jc w:val="right"/>
      <w:rPr>
        <w:rFonts w:ascii="Times New Roman" w:hAnsi="Times New Roman"/>
        <w:sz w:val="24"/>
        <w:szCs w:val="24"/>
      </w:rPr>
    </w:pPr>
    <w:r>
      <w:rPr>
        <w:rFonts w:ascii="Times New Roman" w:hAnsi="Times New Roman"/>
        <w:sz w:val="24"/>
        <w:szCs w:val="24"/>
      </w:rPr>
      <w:t>Príloha č.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F5">
    <w:pPr>
      <w:pStyle w:val="Header"/>
      <w:bidi w:val="0"/>
      <w:rPr>
        <w:rFonts w:ascii="Times New Roman" w:hAnsi="Times New Roman"/>
      </w:rPr>
    </w:pPr>
  </w:p>
  <w:p w:rsidR="004432F5">
    <w:pPr>
      <w:pStyle w:val="Header"/>
      <w:bidi w:val="0"/>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F5" w:rsidRPr="00CD4982" w:rsidP="00B83514">
    <w:pPr>
      <w:tabs>
        <w:tab w:val="center" w:pos="4536"/>
        <w:tab w:val="right" w:pos="9072"/>
      </w:tabs>
      <w:bidi w:val="0"/>
      <w:spacing w:after="0" w:line="240" w:lineRule="auto"/>
      <w:jc w:val="right"/>
      <w:rPr>
        <w:rFonts w:ascii="Times New Roman" w:hAnsi="Times New Roman"/>
        <w:sz w:val="24"/>
        <w:szCs w:val="24"/>
        <w:lang w:eastAsia="sk-SK"/>
      </w:rPr>
    </w:pPr>
    <w:r w:rsidRPr="001D6749">
      <w:rPr>
        <w:rFonts w:ascii="Times New Roman" w:hAnsi="Times New Roman"/>
        <w:sz w:val="24"/>
        <w:szCs w:val="24"/>
        <w:lang w:eastAsia="sk-SK"/>
      </w:rPr>
      <w:t xml:space="preserve">Príloha č. </w:t>
    </w:r>
    <w:r>
      <w:rPr>
        <w:rFonts w:ascii="Times New Roman" w:hAnsi="Times New Roman"/>
        <w:sz w:val="24"/>
        <w:szCs w:val="24"/>
        <w:lang w:eastAsia="sk-SK"/>
      </w:rPr>
      <w:t>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F5" w:rsidRPr="00AB2245" w:rsidP="00AB2245">
    <w:pPr>
      <w:pStyle w:val="Header"/>
      <w:bidi w:val="0"/>
      <w:rPr>
        <w:rFonts w:ascii="Times New Roman" w:hAnsi="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F5" w:rsidRPr="00AB2245" w:rsidP="00AB224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v:imagedata r:id="rId1" o:title=""/>
      </v:shape>
    </w:pict>
  </w:numPicBullet>
  <w:numPicBullet w:numPicBulletId="1">
    <w:pict>
      <v:shape id="_x0000_i1026" type="#_x0000_t75" style="width:3in;height:3in" o:preferrelative="t" o:bullet="t" stroked="f">
        <v:imagedata r:id="rId2" o:title=""/>
      </v:shape>
    </w:pict>
  </w:numPicBullet>
  <w:abstractNum w:abstractNumId="0">
    <w:nsid w:val="00950BC2"/>
    <w:multiLevelType w:val="hybridMultilevel"/>
    <w:tmpl w:val="C5ACFE6A"/>
    <w:lvl w:ilvl="0">
      <w:start w:val="1"/>
      <w:numFmt w:val="bullet"/>
      <w:lvlText w:val="-"/>
      <w:lvlJc w:val="left"/>
      <w:pPr>
        <w:ind w:left="644" w:hanging="360"/>
      </w:pPr>
      <w:rPr>
        <w:rFonts w:ascii="Times New Roman" w:eastAsia="Times New Roman" w:hAnsi="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
    <w:nsid w:val="01A40FCF"/>
    <w:multiLevelType w:val="hybridMultilevel"/>
    <w:tmpl w:val="78608D7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01EB546E"/>
    <w:multiLevelType w:val="hybridMultilevel"/>
    <w:tmpl w:val="AF2EF426"/>
    <w:lvl w:ilvl="0">
      <w:start w:val="1"/>
      <w:numFmt w:val="bullet"/>
      <w:lvlText w:val=""/>
      <w:lvlJc w:val="left"/>
      <w:pPr>
        <w:ind w:left="780" w:hanging="360"/>
      </w:pPr>
      <w:rPr>
        <w:rFonts w:ascii="Symbol" w:hAnsi="Symbol" w:hint="default"/>
        <w:b/>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3">
    <w:nsid w:val="0B417B99"/>
    <w:multiLevelType w:val="hybridMultilevel"/>
    <w:tmpl w:val="024C8FA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751291"/>
    <w:multiLevelType w:val="hybridMultilevel"/>
    <w:tmpl w:val="455AE83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E724A57"/>
    <w:multiLevelType w:val="hybridMultilevel"/>
    <w:tmpl w:val="31AACA2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
    <w:nsid w:val="3F850B32"/>
    <w:multiLevelType w:val="hybridMultilevel"/>
    <w:tmpl w:val="586A431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59D87971"/>
    <w:multiLevelType w:val="hybridMultilevel"/>
    <w:tmpl w:val="F35E1442"/>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nsid w:val="5C9B77D4"/>
    <w:multiLevelType w:val="multilevel"/>
    <w:tmpl w:val="B9268C54"/>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ascii="Arial Narrow" w:eastAsia="Times New Roman" w:hAnsi="Arial Narrow" w:cs="Times New Roman" w:hint="default"/>
        <w:b w:val="0"/>
        <w:sz w:val="24"/>
        <w:szCs w:val="24"/>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4">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8085009"/>
    <w:multiLevelType w:val="hybridMultilevel"/>
    <w:tmpl w:val="67DE287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A226C93"/>
    <w:multiLevelType w:val="hybridMultilevel"/>
    <w:tmpl w:val="788AA182"/>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6D331BA2"/>
    <w:multiLevelType w:val="hybridMultilevel"/>
    <w:tmpl w:val="96583B9C"/>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nsid w:val="77140905"/>
    <w:multiLevelType w:val="hybridMultilevel"/>
    <w:tmpl w:val="FBB282D4"/>
    <w:lvl w:ilvl="0">
      <w:start w:val="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4"/>
  </w:num>
  <w:num w:numId="2">
    <w:abstractNumId w:val="2"/>
  </w:num>
  <w:num w:numId="3">
    <w:abstractNumId w:val="0"/>
  </w:num>
  <w:num w:numId="4">
    <w:abstractNumId w:val="2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9"/>
  </w:num>
  <w:num w:numId="9">
    <w:abstractNumId w:val="18"/>
  </w:num>
  <w:num w:numId="10">
    <w:abstractNumId w:val="11"/>
  </w:num>
  <w:num w:numId="11">
    <w:abstractNumId w:val="22"/>
  </w:num>
  <w:num w:numId="12">
    <w:abstractNumId w:val="10"/>
  </w:num>
  <w:num w:numId="13">
    <w:abstractNumId w:val="6"/>
  </w:num>
  <w:num w:numId="14">
    <w:abstractNumId w:val="13"/>
  </w:num>
  <w:num w:numId="15">
    <w:abstractNumId w:val="17"/>
  </w:num>
  <w:num w:numId="16">
    <w:abstractNumId w:val="12"/>
  </w:num>
  <w:num w:numId="17">
    <w:abstractNumId w:val="16"/>
  </w:num>
  <w:num w:numId="18">
    <w:abstractNumId w:val="1"/>
  </w:num>
  <w:num w:numId="19">
    <w:abstractNumId w:val="8"/>
  </w:num>
  <w:num w:numId="20">
    <w:abstractNumId w:val="9"/>
  </w:num>
  <w:num w:numId="21">
    <w:abstractNumId w:val="5"/>
  </w:num>
  <w:num w:numId="22">
    <w:abstractNumId w:val="14"/>
  </w:num>
  <w:num w:numId="23">
    <w:abstractNumId w:val="2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5169E"/>
    <w:rsid w:val="00070546"/>
    <w:rsid w:val="000A15AE"/>
    <w:rsid w:val="000E1143"/>
    <w:rsid w:val="000F4E4C"/>
    <w:rsid w:val="001639AC"/>
    <w:rsid w:val="001656F9"/>
    <w:rsid w:val="00167882"/>
    <w:rsid w:val="001B2DF4"/>
    <w:rsid w:val="001D6749"/>
    <w:rsid w:val="002114AC"/>
    <w:rsid w:val="00212894"/>
    <w:rsid w:val="002418DA"/>
    <w:rsid w:val="002562EF"/>
    <w:rsid w:val="002701F5"/>
    <w:rsid w:val="0035169E"/>
    <w:rsid w:val="00366F03"/>
    <w:rsid w:val="003A44F7"/>
    <w:rsid w:val="00404C5D"/>
    <w:rsid w:val="0040544D"/>
    <w:rsid w:val="00406CCE"/>
    <w:rsid w:val="00440704"/>
    <w:rsid w:val="004432F5"/>
    <w:rsid w:val="004D77EC"/>
    <w:rsid w:val="004F1881"/>
    <w:rsid w:val="00526826"/>
    <w:rsid w:val="00546EEB"/>
    <w:rsid w:val="005532B6"/>
    <w:rsid w:val="005A3535"/>
    <w:rsid w:val="005E2690"/>
    <w:rsid w:val="006307DF"/>
    <w:rsid w:val="00664377"/>
    <w:rsid w:val="00697122"/>
    <w:rsid w:val="006B3646"/>
    <w:rsid w:val="006B4351"/>
    <w:rsid w:val="006D65BC"/>
    <w:rsid w:val="006F12F2"/>
    <w:rsid w:val="00741492"/>
    <w:rsid w:val="0075093A"/>
    <w:rsid w:val="00760F48"/>
    <w:rsid w:val="00761C25"/>
    <w:rsid w:val="007B05F8"/>
    <w:rsid w:val="007D5748"/>
    <w:rsid w:val="007E7FBC"/>
    <w:rsid w:val="007F6B74"/>
    <w:rsid w:val="0083682E"/>
    <w:rsid w:val="00870719"/>
    <w:rsid w:val="008C6E25"/>
    <w:rsid w:val="008D339D"/>
    <w:rsid w:val="008D55BB"/>
    <w:rsid w:val="00922DAF"/>
    <w:rsid w:val="009C2789"/>
    <w:rsid w:val="009C2999"/>
    <w:rsid w:val="009F69EF"/>
    <w:rsid w:val="00A241DB"/>
    <w:rsid w:val="00A3178E"/>
    <w:rsid w:val="00A35611"/>
    <w:rsid w:val="00AB2245"/>
    <w:rsid w:val="00AC2A0D"/>
    <w:rsid w:val="00AD48B8"/>
    <w:rsid w:val="00B5458A"/>
    <w:rsid w:val="00B6544D"/>
    <w:rsid w:val="00B8326A"/>
    <w:rsid w:val="00B83514"/>
    <w:rsid w:val="00BD2F86"/>
    <w:rsid w:val="00C0323B"/>
    <w:rsid w:val="00C817D0"/>
    <w:rsid w:val="00C95E6F"/>
    <w:rsid w:val="00CA6BAF"/>
    <w:rsid w:val="00CB7B58"/>
    <w:rsid w:val="00CC217A"/>
    <w:rsid w:val="00CC4D7A"/>
    <w:rsid w:val="00CD4982"/>
    <w:rsid w:val="00CD5793"/>
    <w:rsid w:val="00CD63EF"/>
    <w:rsid w:val="00DA01F2"/>
    <w:rsid w:val="00E008FB"/>
    <w:rsid w:val="00E2121C"/>
    <w:rsid w:val="00E91028"/>
    <w:rsid w:val="00EB59C8"/>
    <w:rsid w:val="00EC0E3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Heading1Char"/>
    <w:uiPriority w:val="99"/>
    <w:qFormat/>
    <w:rsid w:val="00B83514"/>
    <w:pPr>
      <w:keepNext/>
      <w:autoSpaceDE w:val="0"/>
      <w:autoSpaceDN w:val="0"/>
      <w:spacing w:after="0" w:line="240" w:lineRule="auto"/>
      <w:jc w:val="center"/>
      <w:outlineLvl w:val="0"/>
    </w:pPr>
    <w:rPr>
      <w:rFonts w:ascii="Times New Roman" w:hAnsi="Times New Roman" w:cs="Times New Roman"/>
      <w:b/>
      <w:bCs/>
      <w:sz w:val="24"/>
      <w:szCs w:val="24"/>
      <w:lang w:eastAsia="sk-SK"/>
    </w:rPr>
  </w:style>
  <w:style w:type="paragraph" w:styleId="Heading3">
    <w:name w:val="heading 3"/>
    <w:basedOn w:val="Normal"/>
    <w:next w:val="Normal"/>
    <w:link w:val="Heading3Char"/>
    <w:uiPriority w:val="9"/>
    <w:semiHidden/>
    <w:unhideWhenUsed/>
    <w:qFormat/>
    <w:rsid w:val="00B83514"/>
    <w:pPr>
      <w:keepNext/>
      <w:spacing w:before="240" w:after="60" w:line="240" w:lineRule="auto"/>
      <w:jc w:val="left"/>
      <w:outlineLvl w:val="2"/>
    </w:pPr>
    <w:rPr>
      <w:rFonts w:ascii="Cambria" w:hAnsi="Cambria" w:cs="Times New Roman"/>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Odsek zoznamu1,Odsek zoznamu2,body"/>
    <w:basedOn w:val="Normal"/>
    <w:link w:val="ListParagraphChar"/>
    <w:uiPriority w:val="34"/>
    <w:qFormat/>
    <w:rsid w:val="0035169E"/>
    <w:pPr>
      <w:spacing w:after="0" w:line="240" w:lineRule="auto"/>
      <w:ind w:left="720"/>
      <w:contextualSpacing/>
      <w:jc w:val="left"/>
    </w:pPr>
    <w:rPr>
      <w:rFonts w:ascii="Times New Roman" w:hAnsi="Times New Roman" w:cs="Times New Roman"/>
      <w:sz w:val="24"/>
      <w:szCs w:val="24"/>
      <w:lang w:eastAsia="sk-SK"/>
    </w:rPr>
  </w:style>
  <w:style w:type="paragraph" w:styleId="BalloonText">
    <w:name w:val="Balloon Text"/>
    <w:basedOn w:val="Normal"/>
    <w:link w:val="BalloonTextChar"/>
    <w:uiPriority w:val="99"/>
    <w:semiHidden/>
    <w:unhideWhenUsed/>
    <w:rsid w:val="004F1881"/>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F1881"/>
    <w:rPr>
      <w:rFonts w:ascii="Segoe UI" w:hAnsi="Segoe UI" w:cs="Segoe UI"/>
      <w:sz w:val="18"/>
      <w:szCs w:val="18"/>
      <w:rtl w:val="0"/>
      <w:cs w:val="0"/>
    </w:rPr>
  </w:style>
  <w:style w:type="table" w:styleId="TableGrid">
    <w:name w:val="Table Grid"/>
    <w:basedOn w:val="TableNormal"/>
    <w:uiPriority w:val="59"/>
    <w:rsid w:val="006D65B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D65BC"/>
    <w:rPr>
      <w:rFonts w:cs="Times New Roman"/>
      <w:color w:val="0563C1" w:themeColor="hlink" w:themeShade="FF"/>
      <w:u w:val="single"/>
      <w:rtl w:val="0"/>
      <w:cs w:val="0"/>
    </w:rPr>
  </w:style>
  <w:style w:type="paragraph" w:styleId="Header">
    <w:name w:val="header"/>
    <w:basedOn w:val="Normal"/>
    <w:link w:val="HeaderChar"/>
    <w:uiPriority w:val="99"/>
    <w:unhideWhenUsed/>
    <w:rsid w:val="00E91028"/>
    <w:pPr>
      <w:tabs>
        <w:tab w:val="center" w:pos="4536"/>
        <w:tab w:val="right" w:pos="9072"/>
      </w:tabs>
      <w:spacing w:after="0" w:line="240" w:lineRule="auto"/>
      <w:jc w:val="left"/>
    </w:pPr>
    <w:rPr>
      <w:rFonts w:ascii="Times New Roman" w:hAnsi="Times New Roman" w:cs="Times New Roman"/>
      <w:sz w:val="20"/>
      <w:szCs w:val="20"/>
      <w:lang w:eastAsia="sk-SK"/>
    </w:rPr>
  </w:style>
  <w:style w:type="character" w:customStyle="1" w:styleId="HeaderChar">
    <w:name w:val="Header Char"/>
    <w:basedOn w:val="DefaultParagraphFont"/>
    <w:link w:val="Header"/>
    <w:uiPriority w:val="99"/>
    <w:locked/>
    <w:rsid w:val="00E91028"/>
    <w:rPr>
      <w:rFonts w:ascii="Times New Roman" w:hAnsi="Times New Roman" w:cs="Times New Roman"/>
      <w:sz w:val="20"/>
      <w:szCs w:val="20"/>
      <w:rtl w:val="0"/>
      <w:cs w:val="0"/>
      <w:lang w:val="x-none" w:eastAsia="sk-SK"/>
    </w:rPr>
  </w:style>
  <w:style w:type="paragraph" w:styleId="Footer">
    <w:name w:val="footer"/>
    <w:basedOn w:val="Normal"/>
    <w:link w:val="FooterChar"/>
    <w:uiPriority w:val="99"/>
    <w:unhideWhenUsed/>
    <w:rsid w:val="00E91028"/>
    <w:pPr>
      <w:tabs>
        <w:tab w:val="center" w:pos="4536"/>
        <w:tab w:val="right" w:pos="9072"/>
      </w:tabs>
      <w:spacing w:after="0" w:line="240" w:lineRule="auto"/>
      <w:jc w:val="left"/>
    </w:pPr>
    <w:rPr>
      <w:rFonts w:ascii="Times New Roman" w:hAnsi="Times New Roman" w:cs="Times New Roman"/>
      <w:sz w:val="20"/>
      <w:szCs w:val="20"/>
      <w:lang w:eastAsia="sk-SK"/>
    </w:rPr>
  </w:style>
  <w:style w:type="character" w:customStyle="1" w:styleId="FooterChar">
    <w:name w:val="Footer Char"/>
    <w:basedOn w:val="DefaultParagraphFont"/>
    <w:link w:val="Footer"/>
    <w:uiPriority w:val="99"/>
    <w:locked/>
    <w:rsid w:val="00E9102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E91028"/>
    <w:rPr>
      <w:rFonts w:cs="Times New Roman"/>
      <w:rtl w:val="0"/>
      <w:cs w:val="0"/>
    </w:rPr>
  </w:style>
  <w:style w:type="character" w:customStyle="1" w:styleId="ListParagraphChar">
    <w:name w:val="List Paragraph Char"/>
    <w:aliases w:val="Odsek Char,Odsek zoznamu1 Char,Odsek zoznamu2 Char,body Char"/>
    <w:basedOn w:val="DefaultParagraphFont"/>
    <w:link w:val="ListParagraph"/>
    <w:uiPriority w:val="34"/>
    <w:locked/>
    <w:rsid w:val="005A3535"/>
    <w:rPr>
      <w:rFonts w:ascii="Times New Roman" w:hAnsi="Times New Roman" w:cs="Times New Roman"/>
      <w:sz w:val="24"/>
      <w:szCs w:val="24"/>
      <w:rtl w:val="0"/>
      <w:cs w:val="0"/>
      <w:lang w:val="x-none" w:eastAsia="sk-SK"/>
    </w:rPr>
  </w:style>
  <w:style w:type="paragraph" w:styleId="BodyTextIndent">
    <w:name w:val="Body Text Indent"/>
    <w:basedOn w:val="Normal"/>
    <w:link w:val="BodyTextIndentChar"/>
    <w:uiPriority w:val="99"/>
    <w:rsid w:val="00B8326A"/>
    <w:pPr>
      <w:spacing w:after="120" w:line="240" w:lineRule="auto"/>
      <w:ind w:left="283"/>
      <w:jc w:val="left"/>
    </w:pPr>
    <w:rPr>
      <w:rFonts w:ascii="Times New Roman" w:hAnsi="Times New Roman" w:cs="Times New Roman"/>
      <w:sz w:val="24"/>
      <w:szCs w:val="24"/>
      <w:lang w:eastAsia="sk-SK"/>
    </w:rPr>
  </w:style>
  <w:style w:type="character" w:customStyle="1" w:styleId="BodyTextIndentChar">
    <w:name w:val="Body Text Indent Char"/>
    <w:basedOn w:val="DefaultParagraphFont"/>
    <w:link w:val="BodyTextIndent"/>
    <w:uiPriority w:val="99"/>
    <w:locked/>
    <w:rsid w:val="00B8326A"/>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B8326A"/>
    <w:rPr>
      <w:rFonts w:cs="Times New Roman"/>
      <w:i/>
      <w:rtl w:val="0"/>
      <w:cs w:val="0"/>
    </w:rPr>
  </w:style>
  <w:style w:type="character" w:styleId="Strong">
    <w:name w:val="Strong"/>
    <w:basedOn w:val="DefaultParagraphFont"/>
    <w:uiPriority w:val="22"/>
    <w:qFormat/>
    <w:rsid w:val="00B8326A"/>
    <w:rPr>
      <w:rFonts w:cs="Times New Roman"/>
      <w:b/>
      <w:bCs/>
      <w:rtl w:val="0"/>
      <w:cs w:val="0"/>
    </w:rPr>
  </w:style>
  <w:style w:type="paragraph" w:styleId="BodyText3">
    <w:name w:val="Body Text 3"/>
    <w:basedOn w:val="Normal"/>
    <w:link w:val="BodyText3Char"/>
    <w:uiPriority w:val="99"/>
    <w:semiHidden/>
    <w:unhideWhenUsed/>
    <w:rsid w:val="00B83514"/>
    <w:pPr>
      <w:spacing w:after="120"/>
      <w:jc w:val="left"/>
    </w:pPr>
    <w:rPr>
      <w:sz w:val="16"/>
      <w:szCs w:val="16"/>
    </w:rPr>
  </w:style>
  <w:style w:type="character" w:customStyle="1" w:styleId="BodyText3Char">
    <w:name w:val="Body Text 3 Char"/>
    <w:basedOn w:val="DefaultParagraphFont"/>
    <w:link w:val="BodyText3"/>
    <w:uiPriority w:val="99"/>
    <w:semiHidden/>
    <w:locked/>
    <w:rsid w:val="00B83514"/>
    <w:rPr>
      <w:rFonts w:cs="Times New Roman"/>
      <w:sz w:val="16"/>
      <w:szCs w:val="16"/>
      <w:rtl w:val="0"/>
      <w:cs w:val="0"/>
    </w:rPr>
  </w:style>
  <w:style w:type="paragraph" w:styleId="BodyText2">
    <w:name w:val="Body Text 2"/>
    <w:basedOn w:val="Normal"/>
    <w:link w:val="BodyText2Char"/>
    <w:uiPriority w:val="99"/>
    <w:semiHidden/>
    <w:unhideWhenUsed/>
    <w:rsid w:val="00B83514"/>
    <w:pPr>
      <w:spacing w:after="120" w:line="480" w:lineRule="auto"/>
      <w:jc w:val="left"/>
    </w:pPr>
  </w:style>
  <w:style w:type="character" w:customStyle="1" w:styleId="BodyText2Char">
    <w:name w:val="Body Text 2 Char"/>
    <w:basedOn w:val="DefaultParagraphFont"/>
    <w:link w:val="BodyText2"/>
    <w:uiPriority w:val="99"/>
    <w:semiHidden/>
    <w:locked/>
    <w:rsid w:val="00B83514"/>
    <w:rPr>
      <w:rFonts w:cs="Times New Roman"/>
      <w:rtl w:val="0"/>
      <w:cs w:val="0"/>
    </w:rPr>
  </w:style>
  <w:style w:type="paragraph" w:styleId="CommentText">
    <w:name w:val="annotation text"/>
    <w:basedOn w:val="Normal"/>
    <w:link w:val="CommentTextChar"/>
    <w:uiPriority w:val="99"/>
    <w:semiHidden/>
    <w:unhideWhenUsed/>
    <w:rsid w:val="00B83514"/>
    <w:pPr>
      <w:spacing w:line="240" w:lineRule="auto"/>
      <w:jc w:val="left"/>
    </w:pPr>
    <w:rPr>
      <w:sz w:val="20"/>
      <w:szCs w:val="20"/>
    </w:rPr>
  </w:style>
  <w:style w:type="character" w:customStyle="1" w:styleId="CommentTextChar">
    <w:name w:val="Comment Text Char"/>
    <w:basedOn w:val="DefaultParagraphFont"/>
    <w:link w:val="CommentText"/>
    <w:uiPriority w:val="99"/>
    <w:semiHidden/>
    <w:locked/>
    <w:rsid w:val="00B83514"/>
    <w:rPr>
      <w:rFonts w:cs="Times New Roman"/>
      <w:sz w:val="20"/>
      <w:szCs w:val="20"/>
      <w:rtl w:val="0"/>
      <w:cs w:val="0"/>
    </w:rPr>
  </w:style>
  <w:style w:type="character" w:customStyle="1" w:styleId="Heading1Char">
    <w:name w:val="Heading 1 Char"/>
    <w:basedOn w:val="DefaultParagraphFont"/>
    <w:link w:val="Heading1"/>
    <w:uiPriority w:val="99"/>
    <w:locked/>
    <w:rsid w:val="00B83514"/>
    <w:rPr>
      <w:rFonts w:ascii="Times New Roman" w:hAnsi="Times New Roman" w:cs="Times New Roman"/>
      <w:b/>
      <w:bCs/>
      <w:sz w:val="24"/>
      <w:szCs w:val="24"/>
      <w:rtl w:val="0"/>
      <w:cs w:val="0"/>
      <w:lang w:val="x-none" w:eastAsia="sk-SK"/>
    </w:rPr>
  </w:style>
  <w:style w:type="character" w:customStyle="1" w:styleId="Heading3Char">
    <w:name w:val="Heading 3 Char"/>
    <w:basedOn w:val="DefaultParagraphFont"/>
    <w:link w:val="Heading3"/>
    <w:uiPriority w:val="9"/>
    <w:semiHidden/>
    <w:locked/>
    <w:rsid w:val="00B83514"/>
    <w:rPr>
      <w:rFonts w:ascii="Cambria" w:hAnsi="Cambria" w:cs="Times New Roman"/>
      <w:b/>
      <w:bCs/>
      <w:sz w:val="26"/>
      <w:szCs w:val="2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ichaela.vidova@mfsr.sk"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CF29-5761-4783-BCC2-ADD87444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37</Pages>
  <Words>12650</Words>
  <Characters>72106</Characters>
  <Application>Microsoft Office Word</Application>
  <DocSecurity>0</DocSecurity>
  <Lines>0</Lines>
  <Paragraphs>0</Paragraphs>
  <ScaleCrop>false</ScaleCrop>
  <Company>Ministerstvo financií SR</Company>
  <LinksUpToDate>false</LinksUpToDate>
  <CharactersWithSpaces>84587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Gašparíková, Jarmila</cp:lastModifiedBy>
  <cp:revision>2</cp:revision>
  <cp:lastPrinted>2016-09-22T12:03:00Z</cp:lastPrinted>
  <dcterms:created xsi:type="dcterms:W3CDTF">2016-09-23T13:12:00Z</dcterms:created>
  <dcterms:modified xsi:type="dcterms:W3CDTF">2016-09-23T13:12:00Z</dcterms:modified>
</cp:coreProperties>
</file>