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DCA" w:rsidRPr="008921FD" w:rsidP="009F7DC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921FD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921FD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921FD">
        <w:rPr>
          <w:rFonts w:ascii="Book Antiqua" w:hAnsi="Book Antiqua"/>
          <w:spacing w:val="30"/>
          <w:sz w:val="22"/>
          <w:szCs w:val="22"/>
        </w:rPr>
        <w:t>Návrh</w:t>
      </w: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921FD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>z ... 2016,</w:t>
      </w:r>
    </w:p>
    <w:p w:rsidR="009F7DCA" w:rsidRPr="008921FD" w:rsidP="009F7DC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21FD">
        <w:rPr>
          <w:rFonts w:ascii="Book Antiqua" w:hAnsi="Book Antiqua"/>
          <w:b/>
          <w:sz w:val="22"/>
          <w:szCs w:val="22"/>
        </w:rPr>
        <w:t xml:space="preserve">ktorým sa mení a dopĺňa </w:t>
      </w:r>
      <w:r w:rsidRPr="008921FD">
        <w:rPr>
          <w:rFonts w:ascii="Book Antiqua" w:hAnsi="Book Antiqua"/>
          <w:b/>
          <w:bCs/>
          <w:sz w:val="22"/>
          <w:szCs w:val="22"/>
        </w:rPr>
        <w:t xml:space="preserve">zákon č. 461/2003 Z. z. o sociálnom poistení </w:t>
      </w:r>
      <w:r w:rsidRPr="008921FD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9F7DCA" w:rsidRPr="008921FD" w:rsidP="009F7DC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9F7DCA" w:rsidRPr="008921FD" w:rsidP="009F7DC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F7DCA" w:rsidRPr="008921FD" w:rsidP="009F7DC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921FD">
        <w:rPr>
          <w:rFonts w:ascii="Book Antiqua" w:hAnsi="Book Antiqua"/>
          <w:b/>
          <w:bCs/>
          <w:sz w:val="22"/>
          <w:szCs w:val="22"/>
        </w:rPr>
        <w:t>Čl. I</w:t>
      </w:r>
    </w:p>
    <w:p w:rsidR="009F7DCA" w:rsidRPr="008921FD" w:rsidP="009F7DC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 xml:space="preserve"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 195/2014 Z. z., zákona č. 204/2014 Z. z., zákona č. 240/2014 Z. z., zákona č. 298/2014 Z. z., zákona č. 25/2015 Z. z., zákona č. 61/2015 Z. z., zákona č. 87/2015 Z. z., zákona č. 140/2015 Z. z., zákona č. 176/2015 Z. z., zákona č. 336/2015 Z. z., zákona č. 77/2015 Z. z., zákona </w:t>
      </w:r>
      <w:r w:rsidR="006E2746">
        <w:rPr>
          <w:rFonts w:ascii="Book Antiqua" w:hAnsi="Book Antiqua"/>
          <w:sz w:val="22"/>
          <w:szCs w:val="22"/>
        </w:rPr>
        <w:t xml:space="preserve">        </w:t>
      </w:r>
      <w:r w:rsidRPr="008921FD">
        <w:rPr>
          <w:rFonts w:ascii="Book Antiqua" w:hAnsi="Book Antiqua"/>
          <w:sz w:val="22"/>
          <w:szCs w:val="22"/>
        </w:rPr>
        <w:t>č. 112/2015 Z. z., zákona č. 407/2015 Z. z., zákona č. 440/2015 Z. z., zákona č. 378/2015 Z. z., zákona č. 32/2015 Z. z. a zákona č. 125/2016 Z. z. sa mení a dopĺňa takto:</w:t>
      </w:r>
    </w:p>
    <w:p w:rsidR="008921FD" w:rsidP="009F7DCA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921FD">
        <w:rPr>
          <w:rFonts w:ascii="Book Antiqua" w:hAnsi="Book Antiqua"/>
          <w:bCs/>
          <w:sz w:val="22"/>
          <w:szCs w:val="22"/>
        </w:rPr>
        <w:t xml:space="preserve">V § 14 ods. 2 písm. c) </w:t>
      </w:r>
      <w:r w:rsidR="006E2746">
        <w:rPr>
          <w:rFonts w:ascii="Book Antiqua" w:hAnsi="Book Antiqua"/>
          <w:bCs/>
          <w:sz w:val="22"/>
          <w:szCs w:val="22"/>
        </w:rPr>
        <w:t xml:space="preserve">sa na konci pripájajú tieto </w:t>
      </w:r>
      <w:r w:rsidRPr="008921FD">
        <w:rPr>
          <w:rFonts w:ascii="Book Antiqua" w:hAnsi="Book Antiqua"/>
          <w:bCs/>
          <w:sz w:val="22"/>
          <w:szCs w:val="22"/>
        </w:rPr>
        <w:t>slová</w:t>
      </w:r>
      <w:r w:rsidR="006E2746">
        <w:rPr>
          <w:rFonts w:ascii="Book Antiqua" w:hAnsi="Book Antiqua"/>
          <w:bCs/>
          <w:sz w:val="22"/>
          <w:szCs w:val="22"/>
        </w:rPr>
        <w:t>:</w:t>
      </w:r>
      <w:r w:rsidRPr="008921FD">
        <w:rPr>
          <w:rFonts w:ascii="Book Antiqua" w:hAnsi="Book Antiqua"/>
          <w:bCs/>
          <w:sz w:val="22"/>
          <w:szCs w:val="22"/>
        </w:rPr>
        <w:t xml:space="preserve"> „alebo povinne dôchodkovo poistená</w:t>
      </w:r>
      <w:r w:rsidR="00336CCE">
        <w:rPr>
          <w:rFonts w:ascii="Book Antiqua" w:hAnsi="Book Antiqua"/>
          <w:bCs/>
          <w:sz w:val="22"/>
          <w:szCs w:val="22"/>
        </w:rPr>
        <w:t xml:space="preserve"> podľa § 15 ods. 1 písm. c) až e</w:t>
      </w:r>
      <w:r>
        <w:rPr>
          <w:rFonts w:ascii="Book Antiqua" w:hAnsi="Book Antiqua"/>
          <w:bCs/>
          <w:sz w:val="22"/>
          <w:szCs w:val="22"/>
        </w:rPr>
        <w:t>)</w:t>
      </w:r>
      <w:r w:rsidRPr="008921FD">
        <w:rPr>
          <w:rFonts w:ascii="Book Antiqua" w:hAnsi="Book Antiqua"/>
          <w:bCs/>
          <w:sz w:val="22"/>
          <w:szCs w:val="22"/>
        </w:rPr>
        <w:t>“.</w:t>
      </w:r>
    </w:p>
    <w:p w:rsidR="009F7DCA" w:rsidRPr="008921FD" w:rsidP="008921FD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921FD">
        <w:rPr>
          <w:rFonts w:ascii="Book Antiqua" w:hAnsi="Book Antiqua"/>
          <w:bCs/>
          <w:sz w:val="22"/>
          <w:szCs w:val="22"/>
        </w:rPr>
        <w:t xml:space="preserve">V § 15 ods. 1 písm. e) sa </w:t>
      </w:r>
      <w:r w:rsidR="008921FD">
        <w:rPr>
          <w:rFonts w:ascii="Book Antiqua" w:hAnsi="Book Antiqua"/>
          <w:bCs/>
          <w:sz w:val="22"/>
          <w:szCs w:val="22"/>
        </w:rPr>
        <w:t xml:space="preserve">v časti pred bodkočiarkou </w:t>
      </w:r>
      <w:r w:rsidRPr="008921FD">
        <w:rPr>
          <w:rFonts w:ascii="Book Antiqua" w:hAnsi="Book Antiqua"/>
          <w:bCs/>
          <w:sz w:val="22"/>
          <w:szCs w:val="22"/>
        </w:rPr>
        <w:t>vypúšťajú slová „v rozsahu najviac 12 rokov“</w:t>
      </w:r>
      <w:r w:rsidR="008921FD">
        <w:rPr>
          <w:rFonts w:ascii="Book Antiqua" w:hAnsi="Book Antiqua"/>
          <w:bCs/>
          <w:sz w:val="22"/>
          <w:szCs w:val="22"/>
        </w:rPr>
        <w:t xml:space="preserve">, bodkočiarka sa nahrádza čiarkou a v časti za bodkočiarkou sa vypúšťajú slová: </w:t>
      </w:r>
      <w:r w:rsidRPr="008921FD">
        <w:rPr>
          <w:rFonts w:ascii="Book Antiqua" w:hAnsi="Book Antiqua"/>
          <w:bCs/>
          <w:sz w:val="22"/>
          <w:szCs w:val="22"/>
        </w:rPr>
        <w:t>„</w:t>
      </w:r>
      <w:r w:rsidRPr="008921FD">
        <w:rPr>
          <w:rFonts w:ascii="Book Antiqua" w:hAnsi="Book Antiqua"/>
          <w:sz w:val="22"/>
          <w:szCs w:val="22"/>
        </w:rPr>
        <w:t>do obdobia 12 rokov dôchodkového poistenia sa započítava aj obdobie dôchodkového poistenia získané z dôvodu uvedeného v písmene d</w:t>
      </w:r>
      <w:r w:rsidRPr="008921FD">
        <w:rPr>
          <w:rFonts w:ascii="Book Antiqua" w:hAnsi="Book Antiqua"/>
          <w:bCs/>
          <w:sz w:val="22"/>
          <w:szCs w:val="22"/>
        </w:rPr>
        <w:t>)</w:t>
      </w:r>
      <w:r w:rsidR="008921FD">
        <w:rPr>
          <w:rFonts w:ascii="Book Antiqua" w:hAnsi="Book Antiqua"/>
          <w:bCs/>
          <w:sz w:val="22"/>
          <w:szCs w:val="22"/>
        </w:rPr>
        <w:t>,“.</w:t>
      </w:r>
      <w:r w:rsidRPr="008921FD">
        <w:rPr>
          <w:rFonts w:ascii="Book Antiqua" w:hAnsi="Book Antiqua"/>
          <w:bCs/>
          <w:sz w:val="22"/>
          <w:szCs w:val="22"/>
        </w:rPr>
        <w:t xml:space="preserve"> </w:t>
      </w:r>
    </w:p>
    <w:p w:rsidR="00DD530E" w:rsidRPr="008921FD" w:rsidP="009F7DCA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921FD">
        <w:rPr>
          <w:rFonts w:ascii="Book Antiqua" w:hAnsi="Book Antiqua"/>
          <w:bCs/>
          <w:sz w:val="22"/>
          <w:szCs w:val="22"/>
        </w:rPr>
        <w:t xml:space="preserve">V § 19 ods. 2 písmeno a) </w:t>
      </w:r>
      <w:r w:rsidR="006E2746">
        <w:rPr>
          <w:rFonts w:ascii="Book Antiqua" w:hAnsi="Book Antiqua"/>
          <w:bCs/>
          <w:sz w:val="22"/>
          <w:szCs w:val="22"/>
        </w:rPr>
        <w:t>sa na konci pripájajú tieto slová:</w:t>
      </w:r>
      <w:r w:rsidRPr="008921FD" w:rsidR="002124A4">
        <w:rPr>
          <w:rFonts w:ascii="Book Antiqua" w:hAnsi="Book Antiqua"/>
          <w:bCs/>
          <w:sz w:val="22"/>
          <w:szCs w:val="22"/>
        </w:rPr>
        <w:t xml:space="preserve"> „alebo </w:t>
      </w:r>
      <w:r w:rsidR="006E2746">
        <w:rPr>
          <w:rFonts w:ascii="Book Antiqua" w:hAnsi="Book Antiqua"/>
          <w:bCs/>
          <w:sz w:val="22"/>
          <w:szCs w:val="22"/>
        </w:rPr>
        <w:t xml:space="preserve">ktorá je </w:t>
      </w:r>
      <w:r w:rsidRPr="008921FD" w:rsidR="002124A4">
        <w:rPr>
          <w:rFonts w:ascii="Book Antiqua" w:hAnsi="Book Antiqua"/>
          <w:bCs/>
          <w:sz w:val="22"/>
          <w:szCs w:val="22"/>
        </w:rPr>
        <w:t>povinne dôchodkovo poistená</w:t>
      </w:r>
      <w:r w:rsidR="002124A4">
        <w:rPr>
          <w:rFonts w:ascii="Book Antiqua" w:hAnsi="Book Antiqua"/>
          <w:bCs/>
          <w:sz w:val="22"/>
          <w:szCs w:val="22"/>
        </w:rPr>
        <w:t xml:space="preserve"> podľa § 15 ods. 1 písm. c) až e)</w:t>
      </w:r>
      <w:r w:rsidRPr="008921FD" w:rsidR="002124A4">
        <w:rPr>
          <w:rFonts w:ascii="Book Antiqua" w:hAnsi="Book Antiqua"/>
          <w:bCs/>
          <w:sz w:val="22"/>
          <w:szCs w:val="22"/>
        </w:rPr>
        <w:t>“.</w:t>
      </w:r>
    </w:p>
    <w:p w:rsidR="009F7DCA" w:rsidRPr="008921FD" w:rsidP="009F7DCA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 xml:space="preserve">V § 22 ods. 1 </w:t>
      </w:r>
      <w:r w:rsidR="008921FD">
        <w:rPr>
          <w:rFonts w:ascii="Book Antiqua" w:hAnsi="Book Antiqua"/>
          <w:sz w:val="22"/>
          <w:szCs w:val="22"/>
        </w:rPr>
        <w:t xml:space="preserve">šiestej vete </w:t>
      </w:r>
      <w:bookmarkStart w:id="0" w:name="_GoBack"/>
      <w:bookmarkEnd w:id="0"/>
      <w:r w:rsidRPr="008921FD">
        <w:rPr>
          <w:rFonts w:ascii="Book Antiqua" w:hAnsi="Book Antiqua"/>
          <w:sz w:val="22"/>
          <w:szCs w:val="22"/>
        </w:rPr>
        <w:t xml:space="preserve">sa vypúšťajú slová „najneskôr dňom získania 12 rokov povinného dôchodkového poistenia podľa § 15 ods. 1 písm. e)“. </w:t>
      </w:r>
    </w:p>
    <w:p w:rsidR="009F7DCA" w:rsidRPr="008921FD" w:rsidP="009F7DCA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="002C55B5">
        <w:rPr>
          <w:rFonts w:ascii="Book Antiqua" w:hAnsi="Book Antiqua"/>
          <w:sz w:val="22"/>
          <w:szCs w:val="22"/>
        </w:rPr>
        <w:t xml:space="preserve">Za § 293dp sa vkladá </w:t>
      </w:r>
      <w:r w:rsidRPr="008921FD">
        <w:rPr>
          <w:rFonts w:ascii="Book Antiqua" w:hAnsi="Book Antiqua"/>
          <w:sz w:val="22"/>
          <w:szCs w:val="22"/>
        </w:rPr>
        <w:t>§ 293dr, ktorý vrátane nadpisu znie:</w:t>
      </w:r>
    </w:p>
    <w:p w:rsidR="009F7DCA" w:rsidRPr="008921FD" w:rsidP="009F7DCA">
      <w:pPr>
        <w:bidi w:val="0"/>
        <w:spacing w:before="120" w:line="276" w:lineRule="auto"/>
        <w:ind w:left="1068"/>
        <w:jc w:val="center"/>
        <w:rPr>
          <w:rFonts w:ascii="Book Antiqua" w:hAnsi="Book Antiqua"/>
          <w:b/>
          <w:sz w:val="22"/>
          <w:szCs w:val="22"/>
        </w:rPr>
      </w:pPr>
      <w:r w:rsidRPr="008921FD">
        <w:rPr>
          <w:rFonts w:ascii="Book Antiqua" w:hAnsi="Book Antiqua"/>
          <w:b/>
          <w:sz w:val="22"/>
          <w:szCs w:val="22"/>
        </w:rPr>
        <w:t>„§ 293dr</w:t>
      </w:r>
    </w:p>
    <w:p w:rsidR="009F7DCA" w:rsidRPr="008921FD" w:rsidP="009F7DCA">
      <w:pPr>
        <w:bidi w:val="0"/>
        <w:spacing w:before="120" w:line="276" w:lineRule="auto"/>
        <w:ind w:left="1068"/>
        <w:jc w:val="center"/>
        <w:rPr>
          <w:rFonts w:ascii="Book Antiqua" w:hAnsi="Book Antiqua"/>
          <w:b/>
          <w:bCs/>
          <w:sz w:val="22"/>
          <w:szCs w:val="22"/>
        </w:rPr>
      </w:pPr>
      <w:r w:rsidR="002850B4">
        <w:rPr>
          <w:rFonts w:ascii="Book Antiqua" w:hAnsi="Book Antiqua"/>
          <w:b/>
          <w:sz w:val="22"/>
          <w:szCs w:val="22"/>
        </w:rPr>
        <w:t>Prechodné ustanovenie</w:t>
      </w:r>
      <w:r w:rsidRPr="008921FD">
        <w:rPr>
          <w:rFonts w:ascii="Book Antiqua" w:hAnsi="Book Antiqua"/>
          <w:b/>
          <w:sz w:val="22"/>
          <w:szCs w:val="22"/>
        </w:rPr>
        <w:t xml:space="preserve"> k úpravám účinným od 1. januára 2017</w:t>
      </w:r>
    </w:p>
    <w:p w:rsidR="009F7DCA" w:rsidRPr="008921FD" w:rsidP="002850B4">
      <w:pPr>
        <w:bidi w:val="0"/>
        <w:spacing w:before="120" w:line="276" w:lineRule="auto"/>
        <w:ind w:left="1068"/>
        <w:jc w:val="both"/>
        <w:rPr>
          <w:rFonts w:ascii="Book Antiqua" w:hAnsi="Book Antiqua"/>
          <w:b/>
          <w:bCs/>
          <w:sz w:val="22"/>
          <w:szCs w:val="22"/>
        </w:rPr>
      </w:pPr>
      <w:r w:rsidR="002850B4">
        <w:rPr>
          <w:rFonts w:ascii="Book Antiqua" w:hAnsi="Book Antiqua"/>
          <w:sz w:val="22"/>
          <w:szCs w:val="22"/>
        </w:rPr>
        <w:t xml:space="preserve">Fyzickej osobe uvedenej v § 15 ods. 1 písm. c) až e), ktorej povinné dôchodkové poistenie zaniklo </w:t>
      </w:r>
      <w:r w:rsidRPr="008921FD" w:rsidR="002850B4">
        <w:rPr>
          <w:rFonts w:ascii="Book Antiqua" w:hAnsi="Book Antiqua"/>
          <w:sz w:val="22"/>
          <w:szCs w:val="22"/>
        </w:rPr>
        <w:t>podľa zákon</w:t>
      </w:r>
      <w:r w:rsidR="002850B4">
        <w:rPr>
          <w:rFonts w:ascii="Book Antiqua" w:hAnsi="Book Antiqua"/>
          <w:sz w:val="22"/>
          <w:szCs w:val="22"/>
        </w:rPr>
        <w:t xml:space="preserve">a účinného do 31. decembra 2016 </w:t>
      </w:r>
      <w:r w:rsidRPr="008921FD" w:rsidR="002850B4">
        <w:rPr>
          <w:rFonts w:ascii="Book Antiqua" w:hAnsi="Book Antiqua"/>
          <w:sz w:val="22"/>
          <w:szCs w:val="22"/>
        </w:rPr>
        <w:t>z dôvodu uplynutia 12 rokov povinného dôchodkového poistenia</w:t>
      </w:r>
      <w:r w:rsidR="002850B4">
        <w:rPr>
          <w:rFonts w:ascii="Book Antiqua" w:hAnsi="Book Antiqua"/>
          <w:sz w:val="22"/>
          <w:szCs w:val="22"/>
        </w:rPr>
        <w:t xml:space="preserve"> a ktorá podá prihlášku na dôchodkové poistenie do 31. januára 2017, vzniká povinné dôchodkové poistenie od 1. januára 2017, ak takouto fyzickou osobou je najneskôr od 1. januára 2017.</w:t>
      </w:r>
    </w:p>
    <w:p w:rsidR="009F7DCA" w:rsidRPr="008921FD" w:rsidP="009F7DC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F7DCA" w:rsidRPr="008921FD" w:rsidP="00FD3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21FD">
        <w:rPr>
          <w:rFonts w:ascii="Book Antiqua" w:hAnsi="Book Antiqua"/>
          <w:b/>
          <w:sz w:val="22"/>
          <w:szCs w:val="22"/>
        </w:rPr>
        <w:t>Čl. II</w:t>
      </w:r>
    </w:p>
    <w:p w:rsidR="009F7DCA" w:rsidRPr="008921FD" w:rsidP="009F7DCA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8921FD">
        <w:rPr>
          <w:rFonts w:ascii="Book Antiqua" w:hAnsi="Book Antiqua"/>
          <w:sz w:val="22"/>
          <w:szCs w:val="22"/>
        </w:rPr>
        <w:t>Tento zákon nadobúda účinnosť 1. januára 2017.</w:t>
      </w:r>
    </w:p>
    <w:p w:rsidR="001768DF" w:rsidRPr="008921FD">
      <w:pPr>
        <w:bidi w:val="0"/>
        <w:rPr>
          <w:rFonts w:ascii="Book Antiqua" w:hAnsi="Book Antiqua"/>
          <w:sz w:val="22"/>
          <w:szCs w:val="22"/>
        </w:rPr>
      </w:pP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30"/>
    <w:multiLevelType w:val="hybridMultilevel"/>
    <w:tmpl w:val="E7CC30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74280402"/>
    <w:multiLevelType w:val="hybridMultilevel"/>
    <w:tmpl w:val="B966365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7DCA"/>
    <w:rsid w:val="001768DF"/>
    <w:rsid w:val="001B0188"/>
    <w:rsid w:val="002124A4"/>
    <w:rsid w:val="002743F4"/>
    <w:rsid w:val="002850B4"/>
    <w:rsid w:val="0029563A"/>
    <w:rsid w:val="002C55B5"/>
    <w:rsid w:val="00336CCE"/>
    <w:rsid w:val="006E2746"/>
    <w:rsid w:val="008921FD"/>
    <w:rsid w:val="009F7DCA"/>
    <w:rsid w:val="00A11556"/>
    <w:rsid w:val="00AB120E"/>
    <w:rsid w:val="00DD530E"/>
    <w:rsid w:val="00F10C4D"/>
    <w:rsid w:val="00FD3D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9F7D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516</Words>
  <Characters>2946</Characters>
  <Application>Microsoft Office Word</Application>
  <DocSecurity>0</DocSecurity>
  <Lines>0</Lines>
  <Paragraphs>0</Paragraphs>
  <ScaleCrop>false</ScaleCrop>
  <Company>Kancelaria NR SR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2</cp:revision>
  <dcterms:created xsi:type="dcterms:W3CDTF">2016-08-19T08:11:00Z</dcterms:created>
  <dcterms:modified xsi:type="dcterms:W3CDTF">2016-08-19T08:11:00Z</dcterms:modified>
</cp:coreProperties>
</file>