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C94DCC" w:rsidP="00232B7A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4DCC">
        <w:rPr>
          <w:rFonts w:ascii="Times New Roman" w:hAnsi="Times New Roman"/>
          <w:b/>
          <w:sz w:val="24"/>
          <w:szCs w:val="24"/>
        </w:rPr>
        <w:t>z</w:t>
      </w:r>
      <w:r w:rsidRPr="008D09A3">
        <w:rPr>
          <w:rFonts w:ascii="Times New Roman" w:hAnsi="Times New Roman"/>
          <w:b/>
          <w:sz w:val="24"/>
          <w:szCs w:val="24"/>
        </w:rPr>
        <w:t xml:space="preserve"> 28. novembra </w:t>
      </w:r>
      <w:r w:rsidRPr="003D3898">
        <w:rPr>
          <w:rFonts w:ascii="Times New Roman" w:hAnsi="Times New Roman"/>
          <w:b/>
          <w:sz w:val="24"/>
          <w:szCs w:val="24"/>
        </w:rPr>
        <w:t>2014,</w:t>
      </w: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3898">
        <w:rPr>
          <w:rFonts w:ascii="Times New Roman" w:hAnsi="Times New Roman"/>
          <w:b/>
          <w:sz w:val="24"/>
          <w:szCs w:val="24"/>
        </w:rPr>
        <w:t xml:space="preserve">ktorým sa mení a dopĺňa zákon č. </w:t>
      </w:r>
      <w:r w:rsidRPr="003D3898">
        <w:rPr>
          <w:rFonts w:ascii="Times New Roman" w:hAnsi="Times New Roman"/>
          <w:b/>
          <w:bCs/>
          <w:sz w:val="24"/>
          <w:szCs w:val="24"/>
        </w:rPr>
        <w:t xml:space="preserve">580/2004 Z. z. </w:t>
      </w:r>
      <w:r w:rsidRPr="003D3898">
        <w:rPr>
          <w:rFonts w:ascii="Times New Roman" w:hAnsi="Times New Roman"/>
          <w:b/>
          <w:sz w:val="24"/>
          <w:szCs w:val="24"/>
        </w:rPr>
        <w:t>o zdravotnom poistení a o zmene a doplnení zákona č. 95/2002 Z. z. o poisťovníctve a o zmene a doplnení niektorých zákonov</w:t>
      </w:r>
      <w:r w:rsidRPr="003D3898">
        <w:rPr>
          <w:rFonts w:ascii="Times New Roman" w:hAnsi="Times New Roman"/>
          <w:b/>
          <w:bCs/>
          <w:sz w:val="24"/>
          <w:szCs w:val="24"/>
        </w:rPr>
        <w:t xml:space="preserve"> v znení neskorších predpisov</w:t>
      </w:r>
      <w:r w:rsidRPr="003D3898">
        <w:rPr>
          <w:rFonts w:ascii="Times New Roman" w:hAnsi="Times New Roman"/>
          <w:b/>
          <w:sz w:val="24"/>
          <w:szCs w:val="24"/>
        </w:rPr>
        <w:t xml:space="preserve"> a ktorým sa dopĺňa zákon č. 595/2003 Z. z. o dani z príjmov v znení neskorších predpisov</w:t>
      </w:r>
    </w:p>
    <w:p w:rsidR="00232B7A" w:rsidRPr="003D3898" w:rsidP="00232B7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32B7A" w:rsidRPr="003D3898" w:rsidP="00232B7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Čl. I</w:t>
      </w: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 a zákona č. 185/2014 Z. z. sa mení a dopĺňa takto:</w:t>
      </w: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V § 11 ods. 7 písm. m) druhom bode sa slovo „alebo“ nahrádza čiarkou, treťom bode sa čiarka nahrádza slovom „alebo“ a písmeno m) sa dopĺňa štvrtým bodom, ktorý znie:</w:t>
      </w: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„4. ktorej trvá dočasná pracovná neschopnosť podľa osobitného predpisu,</w:t>
      </w:r>
      <w:r w:rsidRPr="003D3898">
        <w:rPr>
          <w:rFonts w:ascii="Times New Roman" w:hAnsi="Times New Roman"/>
          <w:sz w:val="24"/>
          <w:szCs w:val="24"/>
          <w:vertAlign w:val="superscript"/>
        </w:rPr>
        <w:t>44a</w:t>
      </w:r>
      <w:r w:rsidRPr="003D3898">
        <w:rPr>
          <w:rFonts w:ascii="Times New Roman" w:hAnsi="Times New Roman"/>
          <w:sz w:val="24"/>
          <w:szCs w:val="24"/>
        </w:rPr>
        <w:t>) potreba ošetrovania alebo starostlivosti podľa osobitného predpisu,</w:t>
      </w:r>
      <w:r w:rsidRPr="003D3898">
        <w:rPr>
          <w:rFonts w:ascii="Times New Roman" w:hAnsi="Times New Roman"/>
          <w:sz w:val="24"/>
          <w:szCs w:val="24"/>
          <w:vertAlign w:val="superscript"/>
        </w:rPr>
        <w:t>41</w:t>
      </w:r>
      <w:r w:rsidRPr="003D3898">
        <w:rPr>
          <w:rFonts w:ascii="Times New Roman" w:hAnsi="Times New Roman"/>
          <w:sz w:val="24"/>
          <w:szCs w:val="24"/>
        </w:rPr>
        <w:t xml:space="preserve">) ktorá je tehotná alebo sa stará o narodené dieťa, </w:t>
      </w: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a ktorej nevznikol nárok na nemocenské, ošetrovné alebo materské podľa osobitného predpisu</w:t>
      </w:r>
      <w:r w:rsidRPr="003D3898">
        <w:rPr>
          <w:rFonts w:ascii="Times New Roman" w:hAnsi="Times New Roman"/>
          <w:sz w:val="24"/>
          <w:szCs w:val="24"/>
          <w:vertAlign w:val="superscript"/>
        </w:rPr>
        <w:t>41</w:t>
      </w:r>
      <w:r w:rsidRPr="003D3898">
        <w:rPr>
          <w:rFonts w:ascii="Times New Roman" w:hAnsi="Times New Roman"/>
          <w:sz w:val="24"/>
          <w:szCs w:val="24"/>
        </w:rPr>
        <w:t>) z dôvodu, že ku dňu vzniku skutočnosti rozhodujúcej pre vznik nároku na túto dávku bola zamestnancom, za ktorého je platiteľom poistného štát podľa písmena v)  alebo sa na ňu vzťahuje osobitný predpis.</w:t>
      </w:r>
      <w:r w:rsidRPr="003D3898">
        <w:rPr>
          <w:rFonts w:ascii="Times New Roman" w:hAnsi="Times New Roman"/>
          <w:sz w:val="24"/>
          <w:szCs w:val="24"/>
          <w:vertAlign w:val="superscript"/>
        </w:rPr>
        <w:t>44b</w:t>
      </w:r>
      <w:r w:rsidRPr="003D3898">
        <w:rPr>
          <w:rFonts w:ascii="Times New Roman" w:hAnsi="Times New Roman"/>
          <w:sz w:val="24"/>
          <w:szCs w:val="24"/>
        </w:rPr>
        <w:t>)“.</w:t>
      </w: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Poznámky pod čiarou k odkazom 44a a 44b znejú:</w:t>
      </w: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„</w:t>
      </w:r>
      <w:r w:rsidRPr="003D3898">
        <w:rPr>
          <w:rFonts w:ascii="Times New Roman" w:hAnsi="Times New Roman"/>
          <w:sz w:val="24"/>
          <w:szCs w:val="24"/>
          <w:vertAlign w:val="superscript"/>
        </w:rPr>
        <w:t>44a</w:t>
      </w:r>
      <w:r w:rsidRPr="003D3898">
        <w:rPr>
          <w:rFonts w:ascii="Times New Roman" w:hAnsi="Times New Roman"/>
          <w:sz w:val="24"/>
          <w:szCs w:val="24"/>
        </w:rPr>
        <w:t>) § 12a zákona č. 576/2004 Z. z. v znení zákona č. 185/2014 Z. z.</w:t>
      </w:r>
    </w:p>
    <w:p w:rsidR="00232B7A" w:rsidRPr="003D3898" w:rsidP="00232B7A">
      <w:pPr>
        <w:tabs>
          <w:tab w:val="left" w:pos="-269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  <w:vertAlign w:val="superscript"/>
        </w:rPr>
        <w:t xml:space="preserve">   44b</w:t>
      </w:r>
      <w:r w:rsidRPr="003D3898">
        <w:rPr>
          <w:rFonts w:ascii="Times New Roman" w:hAnsi="Times New Roman"/>
          <w:sz w:val="24"/>
          <w:szCs w:val="24"/>
        </w:rPr>
        <w:t>) § 4 ods. 1 písm. d) zákona č. 461/2003 Z. z. v znení neskorších predpisov.“.</w:t>
      </w: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V § 13 ods. 1 sa na konci pripája čiarka a tieto slová: „ak § 13a neustanovuje inak“.</w:t>
      </w:r>
    </w:p>
    <w:p w:rsidR="00232B7A" w:rsidRPr="003D3898" w:rsidP="00232B7A">
      <w:p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shd w:val="clear" w:color="auto" w:fill="FFFFFF"/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Za § 13 sa vkladá § 13a, ktorý vrátane nadpisu znie:</w:t>
      </w: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„§ 13a</w:t>
      </w: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 xml:space="preserve">Odpočítateľná položka </w:t>
      </w: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3"/>
        </w:numPr>
        <w:bidi w:val="0"/>
        <w:snapToGrid w:val="0"/>
        <w:spacing w:before="0" w:after="0"/>
        <w:ind w:left="0" w:firstLine="36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Vymeriavací základ zamestnanca podľa § 13 ods. 1, ktorý vykonáva zárobkovú činnosť v pracovnom pomere, štátnozamestnaneckom pomere, služobnom pomere alebo obdobnom pracovnom vzťahu,</w:t>
      </w:r>
      <w:r w:rsidRPr="003D3898">
        <w:rPr>
          <w:rFonts w:ascii="Times New Roman" w:hAnsi="Times New Roman"/>
          <w:caps w:val="0"/>
          <w:sz w:val="24"/>
          <w:szCs w:val="24"/>
          <w:vertAlign w:val="superscript"/>
        </w:rPr>
        <w:t>51</w:t>
      </w:r>
      <w:r w:rsidRPr="003D3898">
        <w:rPr>
          <w:rFonts w:ascii="Times New Roman" w:hAnsi="Times New Roman"/>
          <w:caps w:val="0"/>
          <w:sz w:val="24"/>
          <w:szCs w:val="24"/>
        </w:rPr>
        <w:t>) z ktorého má právo na príjem zo zárobkovej činnosti podľa § 10b ods. 1 písm. a) a ods. 2 až 4 (ďalej len „príjem pre uplatnenie odpočítateľnej položky“) sa znižuje o odpočítateľnú položku; to neplatí, ak ide o zamestnanca podľa § 11 ods. 7 písm. v).</w:t>
      </w:r>
    </w:p>
    <w:p w:rsidR="00232B7A" w:rsidRPr="003D3898" w:rsidP="00232B7A">
      <w:pPr>
        <w:pStyle w:val="odsek"/>
        <w:numPr>
          <w:ilvl w:val="0"/>
          <w:numId w:val="3"/>
        </w:numPr>
        <w:bidi w:val="0"/>
        <w:snapToGrid w:val="0"/>
        <w:spacing w:before="0" w:after="0"/>
        <w:ind w:left="0" w:firstLine="36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 xml:space="preserve">Odpočítateľná položka je 4 560 eur v rozhodujúcom období, ak v odsekoch 3 a 4 nie je ustanovené inak.  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left="360" w:firstLine="0"/>
        <w:rPr>
          <w:rFonts w:ascii="Times New Roman" w:hAnsi="Times New Roman"/>
          <w:caps w:val="0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3"/>
        </w:numPr>
        <w:bidi w:val="0"/>
        <w:snapToGrid w:val="0"/>
        <w:spacing w:before="0" w:after="0"/>
        <w:ind w:left="0" w:firstLine="36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 xml:space="preserve">Odpočítateľná položka sa s rastom vymeriavacieho základu podľa § 13 dosiahnutého v rozhodujúcom období znižuje o dvojnásobok časti tohto vymeriavacieho základu, ktorá prevyšuje 4 560 eur. Ak je vymeriavací základ podľa § 13 dosiahnutý v rozhodujúcom období vo výške najmenej 6 840 eur, odpočítateľná položka je 0 eur. 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left="360" w:firstLine="0"/>
        <w:rPr>
          <w:rFonts w:ascii="Times New Roman" w:hAnsi="Times New Roman"/>
          <w:caps w:val="0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3"/>
        </w:numPr>
        <w:bidi w:val="0"/>
        <w:snapToGrid w:val="0"/>
        <w:spacing w:before="0" w:after="0"/>
        <w:ind w:left="0" w:firstLine="36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Ak je príjem na uplatnenie odpočítateľnej položky dosiahnutý v rozhodujúcom období nižší ako 4 560 eur, odpočítateľná položka je vo výške tohto príjmu. Ak zamestnanec nemal príjem pre uplatnenie odpočítateľnej položky počas celého rozhodujúceho obdobia a nepovažoval sa za fyzickú osobu podľa § 11 ods. 7 písm. m) a s), odpočítateľná položka sa alikvotne znižuje v závislosti od počtu kalendárnych dní, kedy zamestnanec nemal príjem pre uplatnenie odpočítateľnej položky a nepovažoval sa za fyzickú osobu podľa § 11 ods. 7 písm. m) a s). Ak zamestnanec mal príjem pre uplatnenie odpočítateľnej položky u viacerých zamestnávateľov v rozhodujúcom období, odpočítateľná položka sa uplatní pomerne podľa výšky príjmu pre uplatnenie odpočítateľnej položky u každého zamestnávateľa.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left="360" w:firstLine="0"/>
        <w:rPr>
          <w:rFonts w:ascii="Times New Roman" w:hAnsi="Times New Roman"/>
          <w:caps w:val="0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3"/>
        </w:numPr>
        <w:bidi w:val="0"/>
        <w:snapToGrid w:val="0"/>
        <w:spacing w:before="0" w:after="0"/>
        <w:ind w:left="0" w:firstLine="36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Odpočítateľná položka sa zaokrúhľuje na dve desatinné miesta na najbližší eurocent nahor.“.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pacing w:before="0" w:after="0"/>
        <w:ind w:left="360" w:firstLine="0"/>
        <w:rPr>
          <w:rFonts w:ascii="Times New Roman" w:hAnsi="Times New Roman"/>
          <w:caps w:val="0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0"/>
        </w:numPr>
        <w:bidi w:val="0"/>
        <w:spacing w:before="0" w:after="0"/>
        <w:ind w:left="426" w:firstLine="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Poznámka pod čiarou k odkazu 51 znie: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„</w:t>
      </w:r>
      <w:r w:rsidRPr="003D3898">
        <w:rPr>
          <w:rFonts w:ascii="Times New Roman" w:hAnsi="Times New Roman"/>
          <w:caps w:val="0"/>
          <w:sz w:val="24"/>
          <w:szCs w:val="24"/>
          <w:vertAlign w:val="superscript"/>
        </w:rPr>
        <w:t>51</w:t>
      </w:r>
      <w:r w:rsidRPr="003D3898">
        <w:rPr>
          <w:rFonts w:ascii="Times New Roman" w:hAnsi="Times New Roman"/>
          <w:caps w:val="0"/>
          <w:sz w:val="24"/>
          <w:szCs w:val="24"/>
        </w:rPr>
        <w:t>) Napríklad zákon č. 73/1998 Z. z. o štátnej službe príslušníkov Policajného zboru, Slovenskej informačnej služby, Zboru väzenskej a justičnej stráže Slovenskej republiky a Železničnej polície v znení neskorších predpisov, zákon č. 200/1998 Z. z. o štátnej službe colníkov a o zmene a doplnení niektorých ďalších zákonov v znení neskorších predpisov, zákon č. 385/2000 Z. z. o sudcoch a prísediacich a o zmene a doplnení niektorých zákonov v znení neskorších predpisov, zákon č. 154/2001 Z. z. o prokurátoroch a právnych čakateľoch prokuratúry v znení neskorších predpisov, zákon č. 400/2009 Z. z. o štátnej službe a o zmene a doplnení niektorých zákonov v znení neskorších predpisov, zákon č. 315/2001 Z. z. o Hasičskom a záchrannom zbore v znení neskorších predpisov, zákon č. 346/2005 Z. z. v znení neskorších predpisov.“.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pacing w:before="0" w:after="0"/>
        <w:ind w:left="284" w:firstLine="0"/>
        <w:rPr>
          <w:rFonts w:ascii="Times New Roman" w:hAnsi="Times New Roman"/>
          <w:caps w:val="0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2"/>
        </w:numPr>
        <w:bidi w:val="0"/>
        <w:snapToGrid w:val="0"/>
        <w:spacing w:before="0" w:after="0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§ 16 sa dopĺňa odsekmi 16 až 18, ktoré znejú: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firstLine="284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„(16) Na účely výpočtu preddavku na poistné sa príjem u zamestnanca, ktorý vykonáva zárobkovú činnosť v pracovnom pomere, štátnozamestnaneckom pomere, služobnom pomere alebo obdobnom pracovnom vzťahu,</w:t>
      </w:r>
      <w:r w:rsidRPr="003D3898">
        <w:rPr>
          <w:rFonts w:ascii="Times New Roman" w:hAnsi="Times New Roman"/>
          <w:caps w:val="0"/>
          <w:sz w:val="24"/>
          <w:szCs w:val="24"/>
          <w:vertAlign w:val="superscript"/>
        </w:rPr>
        <w:t>51</w:t>
      </w:r>
      <w:r w:rsidRPr="003D3898">
        <w:rPr>
          <w:rFonts w:ascii="Times New Roman" w:hAnsi="Times New Roman"/>
          <w:caps w:val="0"/>
          <w:sz w:val="24"/>
          <w:szCs w:val="24"/>
        </w:rPr>
        <w:t>) znižuje o odpočítateľnú položku, ak si zamestnanec uplatnil nárok na odpočítateľnú položku podľa § 23 ods. 6. Odpočítateľná položka je 380 eur mesačne, ak v odsekoch 17 a 18 nie je ustanovené inak.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firstLine="284"/>
        <w:rPr>
          <w:rFonts w:ascii="Times New Roman" w:hAnsi="Times New Roman"/>
          <w:caps w:val="0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firstLine="284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(17) Odpočítateľná položka sa s rastom príjmu podľa § 13 ods. 1 dosiahnutého v príslušnom kalendárnom mesiaci znižuje o dvojnásobok časti tohto príjmu, ktorá prevyšuje 380 eur. Ak je príjem podľa § 13 ods. 1 vo výške najmenej 570 eur, odpočítateľná položka je 0 eur.</w:t>
      </w: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firstLine="426"/>
        <w:rPr>
          <w:rFonts w:ascii="Times New Roman" w:hAnsi="Times New Roman"/>
          <w:caps w:val="0"/>
          <w:sz w:val="24"/>
          <w:szCs w:val="24"/>
        </w:rPr>
      </w:pPr>
    </w:p>
    <w:p w:rsidR="00232B7A" w:rsidRPr="003D3898" w:rsidP="00232B7A">
      <w:pPr>
        <w:pStyle w:val="odsek"/>
        <w:numPr>
          <w:ilvl w:val="0"/>
          <w:numId w:val="0"/>
        </w:numPr>
        <w:bidi w:val="0"/>
        <w:snapToGrid w:val="0"/>
        <w:spacing w:before="0" w:after="0"/>
        <w:ind w:firstLine="284"/>
        <w:rPr>
          <w:rFonts w:ascii="Times New Roman" w:hAnsi="Times New Roman"/>
          <w:caps w:val="0"/>
          <w:sz w:val="24"/>
          <w:szCs w:val="24"/>
        </w:rPr>
      </w:pPr>
      <w:r w:rsidRPr="003D3898">
        <w:rPr>
          <w:rFonts w:ascii="Times New Roman" w:hAnsi="Times New Roman"/>
          <w:caps w:val="0"/>
          <w:sz w:val="24"/>
          <w:szCs w:val="24"/>
        </w:rPr>
        <w:t>(18) Ak je príjem u zamestnanca, ktorý vykonáva zárobkovú činnosť v pracovnom pomere, štátnozamestnaneckom pomere, služobnom pomere alebo obdobnom pracovnom vzťahu,</w:t>
      </w:r>
      <w:r w:rsidRPr="003D3898">
        <w:rPr>
          <w:rFonts w:ascii="Times New Roman" w:hAnsi="Times New Roman"/>
          <w:caps w:val="0"/>
          <w:sz w:val="24"/>
          <w:szCs w:val="24"/>
          <w:vertAlign w:val="superscript"/>
        </w:rPr>
        <w:t>51</w:t>
      </w:r>
      <w:r w:rsidRPr="003D3898">
        <w:rPr>
          <w:rFonts w:ascii="Times New Roman" w:hAnsi="Times New Roman"/>
          <w:caps w:val="0"/>
          <w:sz w:val="24"/>
          <w:szCs w:val="24"/>
        </w:rPr>
        <w:t>) nižší ako 380 eur, odpočítateľná položka je vo výške tohto príjmu. Ak poistenec nebol zamestnancom podľa prvej vety počas celého kalendárneho mesiaca, odpočítateľná položka sa alikvotne znižuje v závislosti od počtu kalendárnych dní mesiaca, kedy poistenec nebol zamestnancom podľa prvej vety. Ak zamestnanec podľa prvej vety mal v kalendárnom mesiaci súčasne viacerých zamestnávateľov alebo bol súčasne samostatne zárobkovo činnou osobou, odpočítateľná položka sa uplatní až v ročnom zúčtovaní poistného podľa § 19.“.</w:t>
      </w:r>
    </w:p>
    <w:p w:rsidR="00232B7A" w:rsidRPr="003D3898" w:rsidP="00232B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32B7A" w:rsidRPr="003D3898" w:rsidP="00232B7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 xml:space="preserve">V § 19 ods. 1 písm. a) úvodnej vete sa za slovo „dividend,“ vkladajú slová „nebol zamestnancom, ktorého príjem </w:t>
      </w:r>
      <w:r w:rsidRPr="003D3898">
        <w:rPr>
          <w:rFonts w:ascii="Times New Roman" w:hAnsi="Times New Roman"/>
          <w:sz w:val="24"/>
          <w:szCs w:val="24"/>
          <w:lang w:eastAsia="sk-SK"/>
        </w:rPr>
        <w:t>pre uplatnenie odpočítateľnej položky</w:t>
      </w:r>
      <w:r w:rsidRPr="003D3898">
        <w:rPr>
          <w:rFonts w:ascii="Times New Roman" w:hAnsi="Times New Roman"/>
          <w:sz w:val="24"/>
          <w:szCs w:val="24"/>
        </w:rPr>
        <w:t xml:space="preserve"> sa znížil alebo mal znížiť o odpočítateľnú položku,“.</w:t>
      </w:r>
    </w:p>
    <w:p w:rsidR="00232B7A" w:rsidRPr="003D3898" w:rsidP="00232B7A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V § 19 sa odsek 1 dopĺňa písmenom e), ktoré znie:</w:t>
      </w:r>
    </w:p>
    <w:p w:rsidR="00232B7A" w:rsidRPr="003D3898" w:rsidP="00232B7A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„e) ktorý počas celého predchádzajúceho kalendárneho roka bol súčasne zamestnancom len u jedného zamestnávateľa a </w:t>
      </w:r>
    </w:p>
    <w:p w:rsidR="00232B7A" w:rsidRPr="003D3898" w:rsidP="00232B7A">
      <w:pPr>
        <w:pStyle w:val="ListParagraph"/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1.</w:t>
        <w:tab/>
        <w:t xml:space="preserve">jeho príjem </w:t>
      </w:r>
      <w:r w:rsidRPr="003D3898">
        <w:rPr>
          <w:rFonts w:ascii="Times New Roman" w:hAnsi="Times New Roman"/>
          <w:sz w:val="24"/>
          <w:szCs w:val="24"/>
          <w:lang w:eastAsia="sk-SK"/>
        </w:rPr>
        <w:t>pre uplatnenie odpočítateľnej položky</w:t>
      </w:r>
      <w:r w:rsidRPr="003D3898">
        <w:rPr>
          <w:rFonts w:ascii="Times New Roman" w:hAnsi="Times New Roman"/>
          <w:sz w:val="24"/>
          <w:szCs w:val="24"/>
        </w:rPr>
        <w:t xml:space="preserve"> sa znižoval o odpočítateľnú položku (§ 16 ods. 16 až 18), </w:t>
      </w:r>
    </w:p>
    <w:p w:rsidR="00232B7A" w:rsidRPr="003D3898" w:rsidP="00232B7A">
      <w:pPr>
        <w:pStyle w:val="ListParagraph"/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2.</w:t>
        <w:tab/>
        <w:t xml:space="preserve">jeho príjem </w:t>
      </w:r>
      <w:r w:rsidRPr="003D3898">
        <w:rPr>
          <w:rFonts w:ascii="Times New Roman" w:hAnsi="Times New Roman"/>
          <w:sz w:val="24"/>
          <w:szCs w:val="24"/>
          <w:lang w:eastAsia="sk-SK"/>
        </w:rPr>
        <w:t>pre uplatnenie odpočítateľnej položky</w:t>
      </w:r>
      <w:r w:rsidRPr="003D3898">
        <w:rPr>
          <w:rFonts w:ascii="Times New Roman" w:hAnsi="Times New Roman"/>
          <w:sz w:val="24"/>
          <w:szCs w:val="24"/>
        </w:rPr>
        <w:t xml:space="preserve"> v každom kalendárnom mesiaci bol nižší ako 380 eur alebo nebol nižší ako 380 eur a súčasne nebol vyšší ako 570 eur a</w:t>
      </w:r>
    </w:p>
    <w:p w:rsidR="00232B7A" w:rsidRPr="003D3898" w:rsidP="00232B7A">
      <w:pPr>
        <w:pStyle w:val="ListParagraph"/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 xml:space="preserve">3. </w:t>
        <w:tab/>
        <w:t>nemal iný príjem zo zárobkovej činnosti podľa § 10b ods. 1.“.</w:t>
      </w:r>
    </w:p>
    <w:p w:rsidR="00232B7A" w:rsidRPr="003D3898" w:rsidP="00232B7A">
      <w:pPr>
        <w:pStyle w:val="ListParagraph"/>
        <w:bidi w:val="0"/>
        <w:spacing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 xml:space="preserve">V § 20 ods. 1 druhej vete sa za slovo „nárok,“ vkladajú slová „výšku príjmu </w:t>
      </w:r>
      <w:r w:rsidRPr="003D3898">
        <w:rPr>
          <w:rFonts w:ascii="Times New Roman" w:hAnsi="Times New Roman"/>
          <w:sz w:val="24"/>
          <w:szCs w:val="24"/>
          <w:lang w:eastAsia="sk-SK"/>
        </w:rPr>
        <w:t>pre uplatnenie odpočítateľnej položky, výšku uplatnenej odpočítateľnej položky</w:t>
      </w:r>
      <w:r w:rsidRPr="003D3898">
        <w:rPr>
          <w:rFonts w:ascii="Times New Roman" w:hAnsi="Times New Roman"/>
          <w:sz w:val="24"/>
          <w:szCs w:val="24"/>
        </w:rPr>
        <w:t>“.</w:t>
      </w:r>
    </w:p>
    <w:p w:rsidR="00232B7A" w:rsidRPr="003D3898" w:rsidP="00232B7A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V § 23 ods. 6 sa na konci pripájajú tieto vety: „Zamestnanec, ktorý má nárok na uplatnenie odpočítateľnej položky pri výpočte preddavkov na poistné podľa § 16 ods. 18, je povinný túto skutočnosť písomne oznámiť zamestnávateľovi do ôsmich dní odo dňa vzniku pracovného pomeru, štátnozamestnaneckého pomeru, služobného pomeru alebo obdobného pracovného vzťahu a zmenu tejto skutočnosti do ôsmich dní odo dňa jej zmeny. Vzor písomného oznámenia zamestnanca zverejňuje ministerstvo zdravotníctva na svojom webovom sídle.“.</w:t>
      </w:r>
    </w:p>
    <w:p w:rsidR="00232B7A" w:rsidRPr="003D3898" w:rsidP="00634FAF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 xml:space="preserve"> </w:t>
      </w:r>
    </w:p>
    <w:p w:rsidR="00232B7A" w:rsidRPr="003D3898" w:rsidP="00634FA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§ 24 sa dopĺňa písmenom m), ktoré znie:</w:t>
      </w:r>
    </w:p>
    <w:p w:rsidR="00232B7A" w:rsidRPr="003D3898" w:rsidP="00634FAF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DCC">
        <w:rPr>
          <w:rFonts w:ascii="Times New Roman" w:hAnsi="Times New Roman"/>
          <w:sz w:val="24"/>
          <w:szCs w:val="24"/>
        </w:rPr>
        <w:t>„m) písomne alebo elektronicky oznámiť príslušnej zdravotnej poisťovni do ôsmich pracovných dní odo dňa vzniku alebo zániku pracovného pomeru, štátnozamestnaneckého pomeru, služobného pomeru ale</w:t>
      </w:r>
      <w:r w:rsidRPr="008D09A3">
        <w:rPr>
          <w:rFonts w:ascii="Times New Roman" w:hAnsi="Times New Roman"/>
          <w:sz w:val="24"/>
          <w:szCs w:val="24"/>
        </w:rPr>
        <w:t>bo obdobného pracovného vzťahu</w:t>
      </w:r>
      <w:r w:rsidRPr="008D09A3">
        <w:rPr>
          <w:rFonts w:ascii="Times New Roman" w:hAnsi="Times New Roman"/>
          <w:sz w:val="24"/>
          <w:szCs w:val="24"/>
          <w:vertAlign w:val="superscript"/>
        </w:rPr>
        <w:t>51</w:t>
      </w:r>
      <w:r w:rsidRPr="008D09A3">
        <w:rPr>
          <w:rFonts w:ascii="Times New Roman" w:hAnsi="Times New Roman"/>
          <w:sz w:val="24"/>
          <w:szCs w:val="24"/>
        </w:rPr>
        <w:t>) zamestnanca, ktorý má nárok na odpočítateľnú položku podľa § 16 ods. 16 a ktorý sa pokladá za zamestnanca aj z iného dôvodu, vznik alebo zánik pracovného pomeru, štátnozamestnaneckého pomeru, služobného pomeru alebo obdobn</w:t>
      </w:r>
      <w:r w:rsidRPr="003D3898">
        <w:rPr>
          <w:rFonts w:ascii="Times New Roman" w:hAnsi="Times New Roman"/>
          <w:sz w:val="24"/>
          <w:szCs w:val="24"/>
        </w:rPr>
        <w:t>ého pracovného vzťahu</w:t>
      </w:r>
      <w:r w:rsidRPr="003D3898">
        <w:rPr>
          <w:rFonts w:ascii="Times New Roman" w:hAnsi="Times New Roman"/>
          <w:sz w:val="24"/>
          <w:szCs w:val="24"/>
          <w:vertAlign w:val="superscript"/>
        </w:rPr>
        <w:t>51</w:t>
      </w:r>
      <w:r w:rsidRPr="003D3898">
        <w:rPr>
          <w:rFonts w:ascii="Times New Roman" w:hAnsi="Times New Roman"/>
          <w:sz w:val="24"/>
          <w:szCs w:val="24"/>
        </w:rPr>
        <w:t>) tohto zamestnanca, spôsobom určeným úradom.“.</w:t>
      </w:r>
    </w:p>
    <w:p w:rsidR="00232B7A" w:rsidRPr="003D3898" w:rsidP="00232B7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V § 26 ods. 1 písm. b) sa za slová „§ 23“ vkladajú slová „okrem § 23 ods. 6 tretej vety“.</w:t>
      </w:r>
    </w:p>
    <w:p w:rsidR="00232B7A" w:rsidRPr="003D3898" w:rsidP="00232B7A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V § 29b ods. 13 sa za slová „a m)“ vkladajú slová „prvého až tretieho bodu“.</w:t>
      </w:r>
    </w:p>
    <w:p w:rsidR="00232B7A" w:rsidRPr="003D3898" w:rsidP="00232B7A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Za § 38ea sa vkladá § 38eb, ktorý vrátanie nadpisu znie:</w:t>
      </w:r>
    </w:p>
    <w:p w:rsidR="00232B7A" w:rsidRPr="003D3898" w:rsidP="00232B7A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„§ 38eb</w:t>
      </w:r>
    </w:p>
    <w:p w:rsidR="00232B7A" w:rsidRPr="003D3898" w:rsidP="00232B7A">
      <w:pPr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Prechodné ustanovenia k úpravám účinným od 1. januára 2015</w:t>
      </w:r>
    </w:p>
    <w:p w:rsidR="00232B7A" w:rsidRPr="003D3898" w:rsidP="00232B7A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Zamestnanec, ktorý má nárok na uplatnenie odpočítateľnej položky pri výpočte preddavkov na poistné podľa § 16 ods. 18, je povinný túto skutočnosť písomne oznámiť zamestnávateľovi prvýkrát do 25. januára 2015.</w:t>
      </w:r>
    </w:p>
    <w:p w:rsidR="00232B7A" w:rsidRPr="003D3898" w:rsidP="00232B7A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Od 1. januára 2015 do 31. decembra 2015 je sadzba poistného pre štát 4,16% z vymeriavacieho základu.“.</w:t>
      </w:r>
    </w:p>
    <w:p w:rsidR="00232B7A" w:rsidRPr="003D3898" w:rsidP="00232B7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898">
        <w:rPr>
          <w:rFonts w:ascii="Times New Roman" w:hAnsi="Times New Roman"/>
          <w:b/>
          <w:sz w:val="24"/>
          <w:szCs w:val="24"/>
        </w:rPr>
        <w:t>Čl. II</w:t>
      </w:r>
    </w:p>
    <w:p w:rsidR="00232B7A" w:rsidRPr="003D3898" w:rsidP="00232B7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Zákon č. 595/2003 Z. z. o dani z príjmov v znení zákona č. 43/2004 Z. z., zákona č. 177/2004 Z. z., zákona č. 191/2004 Z. z., zákona č. 391/2004 Z. z., zákona č.538/2004 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z., zákona č. 183/2014 Z. z., zákona č. ..../2014 Z. z.  a zákona č. .../2014 Z. z. sa dopĺňa takto:</w:t>
      </w:r>
    </w:p>
    <w:p w:rsidR="00232B7A" w:rsidRPr="003D3898" w:rsidP="00232B7A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V § 43 sa odsek 3 dopĺňa písmenom p), ktoré znie:</w:t>
      </w:r>
    </w:p>
    <w:p w:rsidR="00232B7A" w:rsidRPr="003D3898" w:rsidP="00232B7A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„p)  poistné zo zaplateného poistného na verejné zdravotné poistenie vrátené zdravotnou poisťovňou z ročného zúčtovania poistného z dôvodu uplatnenia odpočítateľnej položky podľa osobitného predpisu.</w:t>
      </w:r>
      <w:r w:rsidRPr="003D3898">
        <w:rPr>
          <w:rFonts w:ascii="Times New Roman" w:hAnsi="Times New Roman"/>
          <w:sz w:val="24"/>
          <w:szCs w:val="24"/>
          <w:vertAlign w:val="superscript"/>
        </w:rPr>
        <w:t>136aaa</w:t>
      </w:r>
      <w:r w:rsidRPr="003D3898">
        <w:rPr>
          <w:rFonts w:ascii="Times New Roman" w:hAnsi="Times New Roman"/>
          <w:sz w:val="24"/>
          <w:szCs w:val="24"/>
        </w:rPr>
        <w:t>)“.</w:t>
      </w:r>
    </w:p>
    <w:p w:rsidR="00232B7A" w:rsidRPr="003D3898" w:rsidP="00232B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Poznámka pod čiarou k odkazu 136aaa znie:</w:t>
      </w:r>
    </w:p>
    <w:p w:rsidR="00232B7A" w:rsidRPr="003D3898" w:rsidP="00232B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„</w:t>
      </w:r>
      <w:r w:rsidRPr="003D3898">
        <w:rPr>
          <w:rFonts w:ascii="Times New Roman" w:hAnsi="Times New Roman"/>
          <w:sz w:val="24"/>
          <w:szCs w:val="24"/>
          <w:vertAlign w:val="superscript"/>
        </w:rPr>
        <w:t>136aaa</w:t>
      </w:r>
      <w:r w:rsidRPr="003D3898">
        <w:rPr>
          <w:rFonts w:ascii="Times New Roman" w:hAnsi="Times New Roman"/>
          <w:sz w:val="24"/>
          <w:szCs w:val="24"/>
        </w:rPr>
        <w:t>) § 13a zákona č. 580/2004 Z. z. v znení zákona č. .../2014 Z. z.“.</w:t>
      </w:r>
    </w:p>
    <w:p w:rsidR="00232B7A" w:rsidRPr="003D3898" w:rsidP="00232B7A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898">
        <w:rPr>
          <w:rFonts w:ascii="Times New Roman" w:hAnsi="Times New Roman"/>
          <w:b/>
          <w:sz w:val="24"/>
          <w:szCs w:val="24"/>
        </w:rPr>
        <w:t>Čl. III</w:t>
      </w:r>
    </w:p>
    <w:p w:rsidR="00232B7A" w:rsidRPr="003D3898" w:rsidP="00232B7A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B7A" w:rsidRPr="003D3898" w:rsidP="00232B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3898">
        <w:rPr>
          <w:rFonts w:ascii="Times New Roman" w:hAnsi="Times New Roman"/>
          <w:sz w:val="24"/>
          <w:szCs w:val="24"/>
        </w:rPr>
        <w:t>Tento zákon nadobúda účinnosť 1. januára 2015.</w:t>
      </w:r>
    </w:p>
    <w:p w:rsidR="00232B7A" w:rsidRPr="003D3898" w:rsidP="00232B7A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B3C46" w:rsidRPr="00EB3C46" w:rsidP="00EB3C4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P="00EB3C4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P="00EB3C4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P="00EB3C4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P="00EB3C4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B3C46">
        <w:rPr>
          <w:rFonts w:ascii="Times New Roman" w:hAnsi="Times New Roman"/>
          <w:sz w:val="24"/>
          <w:szCs w:val="24"/>
          <w:lang w:eastAsia="sk-SK"/>
        </w:rPr>
        <w:t>prezident Slovenskej republiky</w:t>
      </w: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B3C46">
        <w:rPr>
          <w:rFonts w:ascii="Times New Roman" w:hAnsi="Times New Roman"/>
          <w:sz w:val="24"/>
          <w:szCs w:val="24"/>
          <w:lang w:eastAsia="sk-SK"/>
        </w:rPr>
        <w:t>predseda Národnej rady Slovenskej republiky</w:t>
      </w: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B3C46" w:rsidRPr="00EB3C46" w:rsidP="00EB3C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B3C46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EB3C46" w:rsidRPr="00EB3C46" w:rsidP="00EB3C46">
      <w:pPr>
        <w:bidi w:val="0"/>
        <w:spacing w:line="240" w:lineRule="auto"/>
        <w:rPr>
          <w:rFonts w:ascii="Calibri" w:hAnsi="Calibri" w:cs="Calibri"/>
        </w:rPr>
      </w:pPr>
    </w:p>
    <w:p w:rsidR="00811B87">
      <w:pPr>
        <w:bidi w:val="0"/>
      </w:pPr>
    </w:p>
    <w:sectPr w:rsidSect="00911D9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D9C">
    <w:pPr>
      <w:pStyle w:val="Footer"/>
      <w:bidi w:val="0"/>
      <w:jc w:val="center"/>
    </w:pPr>
    <w:r w:rsidRPr="00A20654">
      <w:rPr>
        <w:rFonts w:ascii="Times New Roman" w:hAnsi="Times New Roman"/>
      </w:rPr>
      <w:fldChar w:fldCharType="begin"/>
    </w:r>
    <w:r w:rsidRPr="00A20654">
      <w:rPr>
        <w:rFonts w:ascii="Times New Roman" w:hAnsi="Times New Roman"/>
      </w:rPr>
      <w:instrText>PAGE   \* MERGEFORMAT</w:instrText>
    </w:r>
    <w:r w:rsidRPr="00A20654">
      <w:rPr>
        <w:rFonts w:ascii="Times New Roman" w:hAnsi="Times New Roman"/>
      </w:rPr>
      <w:fldChar w:fldCharType="separate"/>
    </w:r>
    <w:r w:rsidR="00634FAF">
      <w:rPr>
        <w:rFonts w:ascii="Times New Roman" w:hAnsi="Times New Roman"/>
        <w:noProof/>
      </w:rPr>
      <w:t>5</w:t>
    </w:r>
    <w:r w:rsidRPr="00A20654">
      <w:rPr>
        <w:rFonts w:ascii="Times New Roman" w:hAnsi="Times New Roman"/>
      </w:rPr>
      <w:fldChar w:fldCharType="end"/>
    </w:r>
  </w:p>
  <w:p w:rsidR="00911D9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FB0"/>
    <w:multiLevelType w:val="hybridMultilevel"/>
    <w:tmpl w:val="6B30A0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F358BA"/>
    <w:multiLevelType w:val="hybridMultilevel"/>
    <w:tmpl w:val="D79E49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D61BC5"/>
    <w:multiLevelType w:val="hybridMultilevel"/>
    <w:tmpl w:val="AE0477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F604EFC"/>
    <w:multiLevelType w:val="multilevel"/>
    <w:tmpl w:val="097C130A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32B7A"/>
    <w:rsid w:val="00232B7A"/>
    <w:rsid w:val="003D3898"/>
    <w:rsid w:val="00634FAF"/>
    <w:rsid w:val="00811B87"/>
    <w:rsid w:val="008D09A3"/>
    <w:rsid w:val="00911D9C"/>
    <w:rsid w:val="00A20654"/>
    <w:rsid w:val="00C06F97"/>
    <w:rsid w:val="00C94DCC"/>
    <w:rsid w:val="00EB3C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7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99"/>
    <w:qFormat/>
    <w:rsid w:val="00232B7A"/>
    <w:pPr>
      <w:ind w:left="720"/>
      <w:contextualSpacing/>
      <w:jc w:val="left"/>
    </w:pPr>
  </w:style>
  <w:style w:type="paragraph" w:customStyle="1" w:styleId="odsek">
    <w:name w:val="odsek"/>
    <w:basedOn w:val="Normal"/>
    <w:uiPriority w:val="99"/>
    <w:rsid w:val="00232B7A"/>
    <w:pPr>
      <w:numPr>
        <w:ilvl w:val="1"/>
        <w:numId w:val="1"/>
      </w:numPr>
      <w:spacing w:before="120" w:after="120" w:line="240" w:lineRule="auto"/>
      <w:ind w:left="284"/>
      <w:jc w:val="both"/>
    </w:pPr>
    <w:rPr>
      <w:rFonts w:ascii="Times New Roman" w:hAnsi="Times New Roman"/>
      <w:caps/>
      <w:szCs w:val="20"/>
      <w:lang w:eastAsia="sk-SK"/>
    </w:rPr>
  </w:style>
  <w:style w:type="character" w:customStyle="1" w:styleId="OdsekzoznamuChar">
    <w:name w:val="Odsek zoznamu Char"/>
    <w:link w:val="ListParagraph"/>
    <w:uiPriority w:val="99"/>
    <w:locked/>
    <w:rsid w:val="00232B7A"/>
    <w:rPr>
      <w:rFonts w:eastAsia="Times New Roman"/>
    </w:rPr>
  </w:style>
  <w:style w:type="paragraph" w:styleId="Footer">
    <w:name w:val="footer"/>
    <w:basedOn w:val="Normal"/>
    <w:link w:val="PtaChar"/>
    <w:uiPriority w:val="99"/>
    <w:unhideWhenUsed/>
    <w:rsid w:val="00232B7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32B7A"/>
    <w:rPr>
      <w:rFonts w:eastAsia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1654</Words>
  <Characters>9431</Characters>
  <Application>Microsoft Office Word</Application>
  <DocSecurity>0</DocSecurity>
  <Lines>0</Lines>
  <Paragraphs>0</Paragraphs>
  <ScaleCrop>false</ScaleCrop>
  <Company/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3</cp:revision>
  <dcterms:created xsi:type="dcterms:W3CDTF">2014-11-28T08:01:00Z</dcterms:created>
  <dcterms:modified xsi:type="dcterms:W3CDTF">2014-11-28T08:14:00Z</dcterms:modified>
</cp:coreProperties>
</file>