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2A6E" w:rsidRPr="00DF16E6" w:rsidP="00D82A6E">
      <w:pPr>
        <w:pStyle w:val="NormlnsWWW"/>
        <w:pageBreakBefore/>
        <w:bidi w:val="0"/>
        <w:jc w:val="center"/>
        <w:rPr>
          <w:rFonts w:asciiTheme="majorHAnsi" w:hAnsiTheme="majorHAnsi" w:cs="Arial" w:hint="default"/>
          <w:b/>
          <w:sz w:val="24"/>
          <w:szCs w:val="24"/>
          <w:lang w:val="sk-SK"/>
        </w:rPr>
      </w:pP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NÁ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RODNÁ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 xml:space="preserve">  RADA  SLOVENSKEJ  REPUBLIKY</w:t>
      </w:r>
    </w:p>
    <w:p w:rsidR="00D82A6E" w:rsidRPr="00DF16E6" w:rsidP="00D82A6E">
      <w:pPr>
        <w:pStyle w:val="NormlnsWWW"/>
        <w:bidi w:val="0"/>
        <w:jc w:val="center"/>
        <w:rPr>
          <w:rFonts w:asciiTheme="majorHAnsi" w:hAnsiTheme="majorHAnsi" w:cs="Arial" w:hint="default"/>
          <w:b/>
          <w:sz w:val="24"/>
          <w:szCs w:val="24"/>
          <w:lang w:val="sk-SK"/>
        </w:rPr>
      </w:pPr>
      <w:r w:rsidRPr="00DF16E6">
        <w:rPr>
          <w:rFonts w:asciiTheme="majorHAnsi" w:hAnsiTheme="majorHAnsi" w:cs="Arial"/>
          <w:b/>
          <w:sz w:val="24"/>
          <w:szCs w:val="24"/>
          <w:lang w:val="sk-SK"/>
        </w:rPr>
        <w:t>V</w:t>
      </w:r>
      <w:r>
        <w:rPr>
          <w:rFonts w:asciiTheme="majorHAnsi" w:hAnsiTheme="majorHAnsi" w:cs="Arial"/>
          <w:b/>
          <w:sz w:val="24"/>
          <w:szCs w:val="24"/>
          <w:lang w:val="sk-SK"/>
        </w:rPr>
        <w:t>I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. volebné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 xml:space="preserve"> obdobie</w:t>
      </w:r>
    </w:p>
    <w:p w:rsidR="00D82A6E" w:rsidRPr="00DF16E6" w:rsidP="00D82A6E">
      <w:pPr>
        <w:pStyle w:val="NormlnsWWW"/>
        <w:bidi w:val="0"/>
        <w:jc w:val="center"/>
        <w:rPr>
          <w:rFonts w:asciiTheme="majorHAnsi" w:hAnsiTheme="majorHAnsi" w:cs="Arial" w:hint="default"/>
          <w:b/>
          <w:sz w:val="24"/>
          <w:szCs w:val="24"/>
          <w:lang w:val="sk-SK"/>
        </w:rPr>
      </w:pPr>
    </w:p>
    <w:p w:rsidR="00D82A6E" w:rsidRPr="00DF16E6" w:rsidP="00D82A6E">
      <w:pPr>
        <w:pStyle w:val="NormlnsWWW"/>
        <w:bidi w:val="0"/>
        <w:jc w:val="center"/>
        <w:rPr>
          <w:rFonts w:asciiTheme="majorHAnsi" w:hAnsiTheme="majorHAnsi" w:cs="Arial" w:hint="default"/>
          <w:b/>
          <w:sz w:val="24"/>
          <w:szCs w:val="24"/>
          <w:lang w:val="sk-SK"/>
        </w:rPr>
      </w:pP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Ná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vrh</w:t>
      </w:r>
    </w:p>
    <w:p w:rsidR="00D82A6E" w:rsidRPr="00DF16E6" w:rsidP="00D82A6E">
      <w:pPr>
        <w:pStyle w:val="NormlnsWWW"/>
        <w:bidi w:val="0"/>
        <w:jc w:val="center"/>
        <w:rPr>
          <w:rFonts w:asciiTheme="majorHAnsi" w:hAnsiTheme="majorHAnsi" w:cs="Arial" w:hint="default"/>
          <w:b/>
          <w:sz w:val="24"/>
          <w:szCs w:val="24"/>
          <w:lang w:val="sk-SK"/>
        </w:rPr>
      </w:pPr>
    </w:p>
    <w:p w:rsidR="00D82A6E" w:rsidRPr="00DF16E6" w:rsidP="00D82A6E">
      <w:pPr>
        <w:pStyle w:val="NormlnsWWW"/>
        <w:bidi w:val="0"/>
        <w:jc w:val="center"/>
        <w:rPr>
          <w:rFonts w:asciiTheme="majorHAnsi" w:hAnsiTheme="majorHAnsi" w:cs="Arial" w:hint="default"/>
          <w:b/>
          <w:sz w:val="24"/>
          <w:szCs w:val="24"/>
          <w:lang w:val="sk-SK"/>
        </w:rPr>
      </w:pP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Zá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kon</w:t>
      </w:r>
    </w:p>
    <w:p w:rsidR="00D82A6E" w:rsidRPr="00DF16E6" w:rsidP="00D82A6E">
      <w:pPr>
        <w:pStyle w:val="NormlnsWWW"/>
        <w:bidi w:val="0"/>
        <w:jc w:val="center"/>
        <w:rPr>
          <w:rFonts w:asciiTheme="majorHAnsi" w:hAnsiTheme="majorHAnsi" w:cs="Arial" w:hint="default"/>
          <w:b/>
          <w:sz w:val="24"/>
          <w:szCs w:val="24"/>
          <w:lang w:val="sk-SK"/>
        </w:rPr>
      </w:pP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 xml:space="preserve">z ................................... 2013, </w:t>
      </w:r>
    </w:p>
    <w:p w:rsidR="00D82A6E" w:rsidRPr="00D62FC0" w:rsidP="00D82A6E">
      <w:pPr>
        <w:pStyle w:val="NormlnsWWW"/>
        <w:bidi w:val="0"/>
        <w:jc w:val="center"/>
        <w:rPr>
          <w:rFonts w:asciiTheme="majorHAnsi" w:hAnsiTheme="majorHAnsi" w:cs="Arial"/>
          <w:b/>
          <w:sz w:val="24"/>
          <w:szCs w:val="24"/>
          <w:lang w:val="sk-SK"/>
        </w:rPr>
      </w:pP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ktorý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m sa mení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 xml:space="preserve"> zá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kon č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. 50/1976 Zb. o 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ú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zemnom plá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novaní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 xml:space="preserve"> a</w:t>
      </w:r>
      <w:r>
        <w:rPr>
          <w:rFonts w:asciiTheme="majorHAnsi" w:hAnsiTheme="majorHAnsi" w:cs="Arial"/>
          <w:b/>
          <w:sz w:val="24"/>
          <w:szCs w:val="24"/>
          <w:lang w:val="sk-SK"/>
        </w:rPr>
        <w:t> </w:t>
      </w:r>
      <w:r>
        <w:rPr>
          <w:rFonts w:asciiTheme="majorHAnsi" w:hAnsiTheme="majorHAnsi" w:cs="Arial"/>
          <w:b/>
          <w:sz w:val="24"/>
          <w:szCs w:val="24"/>
          <w:lang w:val="sk-SK"/>
        </w:rPr>
        <w:t>stavebnom poriadku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 xml:space="preserve"> (stavebný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 xml:space="preserve"> zá</w:t>
      </w:r>
      <w:r w:rsidRPr="00DF16E6">
        <w:rPr>
          <w:rFonts w:asciiTheme="majorHAnsi" w:hAnsiTheme="majorHAnsi" w:cs="Arial" w:hint="default"/>
          <w:b/>
          <w:sz w:val="24"/>
          <w:szCs w:val="24"/>
          <w:lang w:val="sk-SK"/>
        </w:rPr>
        <w:t>kon)</w:t>
      </w:r>
    </w:p>
    <w:p w:rsidR="00D82A6E" w:rsidRPr="00DF16E6" w:rsidP="00D82A6E">
      <w:pPr>
        <w:pStyle w:val="NormlnsWWW"/>
        <w:bidi w:val="0"/>
        <w:jc w:val="center"/>
        <w:rPr>
          <w:rFonts w:asciiTheme="majorHAnsi" w:hAnsiTheme="majorHAnsi" w:cs="Arial"/>
          <w:b/>
          <w:sz w:val="24"/>
          <w:szCs w:val="24"/>
          <w:lang w:val="sk-SK"/>
        </w:rPr>
      </w:pPr>
    </w:p>
    <w:p w:rsidR="00D82A6E" w:rsidRPr="00DF16E6" w:rsidP="00D82A6E">
      <w:pPr>
        <w:pStyle w:val="NormlnsWWW"/>
        <w:bidi w:val="0"/>
        <w:spacing w:before="120" w:after="0" w:line="360" w:lineRule="auto"/>
        <w:jc w:val="both"/>
        <w:rPr>
          <w:rFonts w:asciiTheme="majorHAnsi" w:hAnsiTheme="majorHAnsi" w:cs="Arial" w:hint="default"/>
          <w:sz w:val="24"/>
          <w:szCs w:val="24"/>
          <w:lang w:val="sk-SK"/>
        </w:rPr>
      </w:pPr>
      <w:r w:rsidRPr="00DF16E6">
        <w:rPr>
          <w:rFonts w:asciiTheme="majorHAnsi" w:hAnsiTheme="majorHAnsi" w:cs="Arial"/>
          <w:sz w:val="24"/>
          <w:szCs w:val="24"/>
          <w:lang w:val="sk-SK"/>
        </w:rPr>
        <w:tab/>
      </w:r>
      <w:r w:rsidRPr="00DF16E6">
        <w:rPr>
          <w:rFonts w:asciiTheme="majorHAnsi" w:hAnsiTheme="majorHAnsi" w:cs="Arial" w:hint="default"/>
          <w:sz w:val="24"/>
          <w:szCs w:val="24"/>
          <w:lang w:val="sk-SK"/>
        </w:rPr>
        <w:t>Ná</w:t>
      </w:r>
      <w:r w:rsidRPr="00DF16E6">
        <w:rPr>
          <w:rFonts w:asciiTheme="majorHAnsi" w:hAnsiTheme="majorHAnsi" w:cs="Arial" w:hint="default"/>
          <w:sz w:val="24"/>
          <w:szCs w:val="24"/>
          <w:lang w:val="sk-SK"/>
        </w:rPr>
        <w:t>rodná</w:t>
      </w:r>
      <w:r w:rsidRPr="00DF16E6">
        <w:rPr>
          <w:rFonts w:asciiTheme="majorHAnsi" w:hAnsiTheme="majorHAnsi" w:cs="Arial" w:hint="default"/>
          <w:sz w:val="24"/>
          <w:szCs w:val="24"/>
          <w:lang w:val="sk-SK"/>
        </w:rPr>
        <w:t xml:space="preserve"> rada Slovenskej republiky sa </w:t>
      </w:r>
      <w:r w:rsidRPr="00DF16E6">
        <w:rPr>
          <w:rFonts w:asciiTheme="majorHAnsi" w:hAnsiTheme="majorHAnsi" w:cs="Arial" w:hint="default"/>
          <w:sz w:val="24"/>
          <w:szCs w:val="24"/>
          <w:lang w:val="sk-SK"/>
        </w:rPr>
        <w:t>uzniesla na tomto zá</w:t>
      </w:r>
      <w:r w:rsidRPr="00DF16E6">
        <w:rPr>
          <w:rFonts w:asciiTheme="majorHAnsi" w:hAnsiTheme="majorHAnsi" w:cs="Arial" w:hint="default"/>
          <w:sz w:val="24"/>
          <w:szCs w:val="24"/>
          <w:lang w:val="sk-SK"/>
        </w:rPr>
        <w:t>kone: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  <w:b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  <w:b/>
        </w:rPr>
      </w:pPr>
      <w:r w:rsidRPr="00DF16E6">
        <w:rPr>
          <w:rFonts w:asciiTheme="majorHAnsi" w:hAnsiTheme="majorHAnsi" w:cs="Arial"/>
          <w:b/>
        </w:rPr>
        <w:t>Čl. I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  <w:b/>
        </w:rPr>
      </w:pPr>
    </w:p>
    <w:p w:rsidR="00D82A6E" w:rsidRPr="00DF16E6" w:rsidP="00D82A6E">
      <w:pPr>
        <w:bidi w:val="0"/>
        <w:ind w:firstLine="708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Zákon č. 50/1976 Zb. o územnom plánovaní a</w:t>
      </w:r>
      <w:r>
        <w:rPr>
          <w:rFonts w:asciiTheme="majorHAnsi" w:hAnsiTheme="majorHAnsi" w:cs="Arial"/>
        </w:rPr>
        <w:t xml:space="preserve"> stavebnom poriadku </w:t>
      </w:r>
      <w:r w:rsidRPr="00DF16E6">
        <w:rPr>
          <w:rFonts w:asciiTheme="majorHAnsi" w:hAnsiTheme="majorHAnsi" w:cs="Arial"/>
        </w:rPr>
        <w:t>(stavebný zákon) v znení zákona č.  139/1982 Zb., zákona č. 103/1990 Zb., zákona č. 262/1992 Zb., zákona Národnej rady Slovenskej republiky č. 136/1995 Z. z., zákona Národnej rady Slovenskej republiky č.  199/1995 Z. z., nálezu Ústavného súdu Slovenskej republiky č. 286/1996 Z. z., zákona  229/1997 Z. z., zákona č. 175/1999 Z. z., zákona č. 237/2000 Z. z., zákona č. 416/2001 Z. z., zákona č. 553/2001 Z. z., nálezu Ústavného súdu Slovenskej republiky č. 217/2002 Z. z., zákona č. 103/2003 Z. z., zákona č. 245/2003 Z. z., zákona č. 417/2003 Z. z. , zákona č. 608/2003 Z. z., zákona č. 541/2004 Z. z., zákona č. 290/2005 Z. z., zákona č. 479/2005 Z. z., zákona č. 24/2006 Z. z., zákona č. 218/2007 Z. z., zákona č. 540/2008 Z. z., zákona č. 66/2009 Z. z., zákona 513/2009 Z. z., zákona č. 118/2010 Z. z., zákona č. 145/2010 Z. z., zákona č. 547/2010 Z. z., zákona č. 408/2011 Z. z., zákona č. 300/2012 Z. z. a zákona č. 345/2012 Z. z. sa mení a dopĺňa takto:</w:t>
      </w:r>
    </w:p>
    <w:p w:rsidR="00D82A6E" w:rsidRPr="00DF16E6" w:rsidP="00D82A6E">
      <w:pPr>
        <w:bidi w:val="0"/>
        <w:jc w:val="both"/>
        <w:rPr>
          <w:rStyle w:val="Strong"/>
          <w:rFonts w:ascii="Times New Roman" w:hAnsi="Times New Roman" w:eastAsiaTheme="majorEastAsia" w:cs="Arial"/>
          <w:b w:val="0"/>
          <w:bCs/>
          <w:spacing w:val="0"/>
        </w:rPr>
      </w:pPr>
    </w:p>
    <w:p w:rsidR="00D82A6E" w:rsidRPr="00DF16E6" w:rsidP="00D82A6E">
      <w:pPr>
        <w:bidi w:val="0"/>
        <w:ind w:left="720"/>
        <w:outlineLvl w:val="4"/>
        <w:rPr>
          <w:rFonts w:asciiTheme="majorHAnsi" w:hAnsiTheme="majorHAnsi" w:cs="Arial"/>
        </w:rPr>
      </w:pPr>
    </w:p>
    <w:p w:rsidR="00D82A6E" w:rsidRPr="00DF16E6" w:rsidP="00D82A6E">
      <w:pPr>
        <w:numPr>
          <w:numId w:val="3"/>
        </w:numPr>
        <w:bidi w:val="0"/>
        <w:outlineLvl w:val="4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V 11 odsek 5 sa vkladajú za písmeno f) nové písmená g) a h), ktoré znejú:</w:t>
      </w:r>
    </w:p>
    <w:p w:rsidR="00D82A6E" w:rsidRPr="00DF16E6" w:rsidP="00D82A6E">
      <w:pPr>
        <w:bidi w:val="0"/>
        <w:ind w:left="720"/>
        <w:outlineLvl w:val="4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outlineLvl w:val="4"/>
        <w:rPr>
          <w:rFonts w:asciiTheme="majorHAnsi" w:hAnsiTheme="majorHAnsi" w:cs="Arial"/>
          <w:color w:val="000000" w:themeColor="tx1" w:themeShade="FF"/>
        </w:rPr>
      </w:pPr>
      <w:r w:rsidRPr="00DF16E6">
        <w:rPr>
          <w:rFonts w:asciiTheme="majorHAnsi" w:hAnsiTheme="majorHAnsi" w:cs="Arial"/>
          <w:color w:val="000000" w:themeColor="tx1" w:themeShade="FF"/>
        </w:rPr>
        <w:t>„g) zásady a regulatívy umiestňovania a usporiadania informačných, reklamných a propagačných zariadení,</w:t>
      </w:r>
    </w:p>
    <w:p w:rsidR="00D82A6E" w:rsidRPr="00DF16E6" w:rsidP="00D82A6E">
      <w:pPr>
        <w:bidi w:val="0"/>
        <w:jc w:val="both"/>
        <w:outlineLvl w:val="4"/>
        <w:rPr>
          <w:rFonts w:asciiTheme="majorHAnsi" w:hAnsiTheme="majorHAnsi" w:cs="Arial"/>
          <w:color w:val="000000" w:themeColor="tx1" w:themeShade="FF"/>
        </w:rPr>
      </w:pPr>
      <w:r w:rsidRPr="00DF16E6">
        <w:rPr>
          <w:rFonts w:asciiTheme="majorHAnsi" w:hAnsiTheme="majorHAnsi" w:cs="Arial"/>
          <w:color w:val="000000" w:themeColor="tx1" w:themeShade="FF"/>
        </w:rPr>
        <w:t>h) zásady a regulatívy využívania a ochrany územia vymedzeného ako vinohrady, resp. vinice,“</w:t>
      </w:r>
    </w:p>
    <w:p w:rsidR="00D82A6E" w:rsidRPr="00DF16E6" w:rsidP="00D82A6E">
      <w:pPr>
        <w:bidi w:val="0"/>
        <w:outlineLvl w:val="4"/>
        <w:rPr>
          <w:rFonts w:asciiTheme="majorHAnsi" w:hAnsiTheme="majorHAnsi" w:cs="Arial"/>
        </w:rPr>
      </w:pPr>
    </w:p>
    <w:p w:rsidR="00D82A6E" w:rsidRPr="00DF16E6" w:rsidP="00D82A6E">
      <w:pPr>
        <w:bidi w:val="0"/>
        <w:outlineLvl w:val="4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Pôvodné písmeno g) sa označuje ako i).</w:t>
      </w:r>
    </w:p>
    <w:p w:rsidR="00D82A6E" w:rsidRPr="00DF16E6" w:rsidP="00D82A6E">
      <w:pPr>
        <w:bidi w:val="0"/>
        <w:outlineLvl w:val="4"/>
        <w:rPr>
          <w:rFonts w:asciiTheme="majorHAnsi" w:hAnsiTheme="majorHAnsi" w:cs="Arial"/>
        </w:rPr>
      </w:pPr>
    </w:p>
    <w:p w:rsidR="00D82A6E" w:rsidRPr="00DF16E6" w:rsidP="00D82A6E">
      <w:pPr>
        <w:bidi w:val="0"/>
        <w:ind w:firstLine="708"/>
        <w:outlineLvl w:val="4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 xml:space="preserve">2. </w:t>
      </w:r>
      <w:r>
        <w:rPr>
          <w:rFonts w:asciiTheme="majorHAnsi" w:hAnsiTheme="majorHAnsi" w:cs="Arial"/>
        </w:rPr>
        <w:t>V d</w:t>
      </w:r>
      <w:r w:rsidRPr="00DF16E6">
        <w:rPr>
          <w:rFonts w:asciiTheme="majorHAnsi" w:hAnsiTheme="majorHAnsi" w:cs="Arial"/>
        </w:rPr>
        <w:t xml:space="preserve">eviatej časti prechodné a záverečné ustanovenia sa dopĺňa § 142d , ktorý znie: 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„O umiestnení a odstránení informačných zariadení, reklamných zariadení a propagačných zariadení rozhoduje obec na území, ktorej sa informačné zariadenie, reklamné zariadenia a propagačné zariadenie nachádza. Obec všeobecne záväzným nariadením ustanoví pravidlá umiestňovania, užívania, povoľovania, spoplatňovania a odstraňovania informačných zariadení, reklamných zariadení a propagačných zariadení. Obec môže všeobecne záväzným nariadením ustanoviť aj podrobnosti o umiestňovaní, užívaní a odstraňovaní informačných zariadení, reklamných zariadení a propagačných zariadení s prihliadnutím na miestne pomery a regulatívy územnoplánovacej dokumentácie a zastavovacie podmienky. Obec môže všeobecne záväzným nariadením zakázať umiestnenie informačných zariadení, reklamných zariadení a propagačných zariadení na celom svojom území alebo jeho časti.</w:t>
      </w:r>
    </w:p>
    <w:p w:rsidR="00D82A6E" w:rsidRPr="00DF16E6" w:rsidP="00D82A6E">
      <w:pPr>
        <w:bidi w:val="0"/>
        <w:ind w:left="720"/>
        <w:outlineLvl w:val="4"/>
        <w:rPr>
          <w:rFonts w:asciiTheme="majorHAnsi" w:hAnsiTheme="majorHAnsi" w:cs="Arial"/>
        </w:rPr>
      </w:pPr>
    </w:p>
    <w:p w:rsidR="00D82A6E" w:rsidRPr="00DF16E6" w:rsidP="00D82A6E">
      <w:pPr>
        <w:bidi w:val="0"/>
        <w:outlineLvl w:val="4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  <w:b/>
        </w:rPr>
      </w:pPr>
      <w:r w:rsidRPr="00DF16E6">
        <w:rPr>
          <w:rFonts w:asciiTheme="majorHAnsi" w:hAnsiTheme="majorHAnsi" w:cs="Arial"/>
          <w:b/>
        </w:rPr>
        <w:t>Čl. II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  <w:b/>
        </w:rPr>
      </w:pPr>
    </w:p>
    <w:p w:rsidR="00D82A6E" w:rsidRPr="00DF16E6" w:rsidP="00D82A6E">
      <w:pPr>
        <w:bidi w:val="0"/>
        <w:ind w:firstLine="708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Zákon č. 582/2004 Z. z. o miestnych daniach a miestnom poplatku za komunálne odpady a drobné stavebné odpady v znení zákona č. 733/2004 Z. z., zákona, č. 747/2004 Z. z., zákona č. 171/2005 Z. z., zákona č. 517/2005 Z. z., zákona č. 120/2006 Z. z., zákona č. 460/2007 Z. z., zákona č. 538/2007 Z. z., zákona</w:t>
      </w:r>
      <w:r>
        <w:rPr>
          <w:rFonts w:asciiTheme="majorHAnsi" w:hAnsiTheme="majorHAnsi" w:cs="Arial"/>
        </w:rPr>
        <w:t xml:space="preserve"> </w:t>
      </w:r>
      <w:r w:rsidRPr="00DF16E6">
        <w:rPr>
          <w:rFonts w:asciiTheme="majorHAnsi" w:hAnsiTheme="majorHAnsi" w:cs="Arial"/>
        </w:rPr>
        <w:t>č. 465/2008 Z. z., zákona č. 535/2008 Z. z., zákona č. 467/2009 Z. z., zákona č. 527/2010 Z. z. a zákona č. 406/2011 Z. z., zákona č. 460/2011 Z. z., zákona č. 548/2011 Z. z., zákona č. 68/2012 Z. z., zákona č. 460/2011 Z. z., zákona č. 286/2012 Z. z., zákona č. 343/2012 Z. z. sa mení a dopĺňa takto: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numPr>
          <w:numId w:val="1"/>
        </w:num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V § 2 ods. 1 sa dopĺňa písmeno i), ktoré znie: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„i) daň za vonkajšiu reklamu“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numPr>
          <w:numId w:val="1"/>
        </w:num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V § 3 sa za „písmenom f)“ nahrádza „a čiarkou“ a za „písmeno h)“ sa dopĺňa „ a písmeno i)“.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numPr>
          <w:numId w:val="1"/>
        </w:num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Za deviatu časť sa vkladá nová desiata časť, ktorá znie:</w:t>
      </w:r>
    </w:p>
    <w:p w:rsidR="00D82A6E" w:rsidRPr="00DF16E6" w:rsidP="00D82A6E">
      <w:pPr>
        <w:bidi w:val="0"/>
        <w:ind w:left="72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„DESIATA ČASŤ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DAŇ ZA VONKAJŠIU REKLAMU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§ 76a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Predmet dane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(1) Predmetom dane za vonkajšiu reklamu je umiestnenie informačného zariadenia, reklamného zariadenia a propagačného zariadenia (ďalej len „zariadenie“) na území obce bez ohľadu na právny vzťah k pozemku, na ktorom sa zariadenie nachádza.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§ 76b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Daňovník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Daňovníkom je fyzická osoba alebo právnická osoba, ktorá má umiestnené zariadenia na území obce.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§ 76c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Základ dane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Základom dane za vonkajšiu reklamu je výmera plochy zariadenia v m2.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§ 76d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Sadzba dane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Ročnú sadzbu dane za vonkajšiu reklamu určí obec v eurách za každý aj začatý m2 plochy zariadenia.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§ 76e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Vznik a zánik daňovej povinnosti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Daňová povinnosť vzniká dňom právoplatnosti rozhodnutia o umiestnení zariadenia a zaniká dňom právoplatnosti rozhodnutia o odstránení zariadenia, alebo odstránením zariadenia.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§ 76f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Oznamovacia povinnosť,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vyrubenie dane a platenie dane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(1) Daňovník je povinný oznámiť správcovi dane vznik daňovej povinnosti najneskôr v deň právoplatného rozhodnutia o umiestnení zariadenia a zánik daňovej povinnosti do 30 dní odo dňa zániku daňovej povinnosti.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(2) Obec vyrubí daň rozhodnutím najskôr v deň vzniku daňovej povinnosti. Vyrubená daň je splatná do 15 dní odo dňa nadobudnutia právoplatnosti rozhodnutia. Obec môže určiť splátky dane a lehotu ich splatnosti v rozhodnutí.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§ 76g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Správa dane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Miestne príslušnou obcou je obec, na ktorej území sa vonkajšia reklama nachádza.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§ 76h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Splnomocňovacie ustanovenie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Obec ustanoví všeobecne záväzným nariadením</w:t>
      </w:r>
      <w:r w:rsidRPr="00DF16E6">
        <w:rPr>
          <w:rFonts w:asciiTheme="majorHAnsi" w:hAnsiTheme="majorHAnsi" w:cs="Arial"/>
          <w:vertAlign w:val="superscript"/>
        </w:rPr>
        <w:t>11)</w:t>
      </w:r>
      <w:r w:rsidRPr="00DF16E6">
        <w:rPr>
          <w:rFonts w:asciiTheme="majorHAnsi" w:hAnsiTheme="majorHAnsi" w:cs="Arial"/>
        </w:rPr>
        <w:t xml:space="preserve"> najmä sadzbu dane, prípadne rôzne sadzby dane podľa určených kritérií, náležitosti oznamovacej povinnosti, prípadné oslobodenia od tejto dane alebo zníženia dane.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numPr>
          <w:numId w:val="1"/>
        </w:num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Pôvodné časti desať až trinásť sa prečíslujú na jedenásť až štrnásť.</w:t>
      </w:r>
    </w:p>
    <w:p w:rsidR="00D82A6E" w:rsidRPr="00DF16E6" w:rsidP="00D82A6E">
      <w:pPr>
        <w:bidi w:val="0"/>
        <w:jc w:val="center"/>
        <w:rPr>
          <w:rFonts w:asciiTheme="majorHAnsi" w:hAnsiTheme="majorHAnsi" w:cs="Arial"/>
          <w:b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  <w:b/>
        </w:rPr>
      </w:pPr>
      <w:r w:rsidRPr="00DF16E6">
        <w:rPr>
          <w:rFonts w:asciiTheme="majorHAnsi" w:hAnsiTheme="majorHAnsi" w:cs="Arial"/>
          <w:b/>
        </w:rPr>
        <w:t>Čl. III.</w:t>
      </w:r>
    </w:p>
    <w:p w:rsidR="00D82A6E" w:rsidRPr="00DF16E6" w:rsidP="00D82A6E">
      <w:pPr>
        <w:bidi w:val="0"/>
        <w:rPr>
          <w:rFonts w:asciiTheme="majorHAnsi" w:hAnsiTheme="majorHAnsi" w:cs="Arial"/>
        </w:rPr>
      </w:pPr>
    </w:p>
    <w:p w:rsidR="00D82A6E" w:rsidRPr="00DF16E6" w:rsidP="00D82A6E">
      <w:pPr>
        <w:bidi w:val="0"/>
        <w:ind w:firstLine="708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Zákon č. 135/1961 Zb. o pozemných komunikáciách (cestný zákon)  v znení zákona č.72/1969 Zb., zákona č. 27/1984 Zb., zákona č. 139/1982 Zb., zákona č. 27/1984 Zb., zákona č. 160/1996 Z. z., zákona č. 58/1997 Z. z., zákona č.  395/1998 Z. z., zákona č. 343/1999 Z. z., zákona č. 524/2003 Z. z., zákona č.  639/2004 Z. z., zákona č. 388/2000 Z. z., zákona č. 439/2001 Z. z. zákona č. 639/2004 Z. z., zákona č. 416/2001 Z. z., zákona č. 416/2001 Z. z., zákona č. 524/2003 Z. z., zákona č. 534/2003 Z. z., zákona č. 8/2009 Z. z., zákona č. 639/2004 Z. z., zákona č. 725/2004 Z. z., zákona č. 93/2005 Z. z., zákona č. 479/2005 Z. z., zákona č. 25/2007 Z. z., zákona č. 275/2007 Z. z., zákona č. 664/2007 Z. z., zákona č. 86/2008 Z. z., zákona č. 8/2009 Z. z., zákona č. 70/2009 Z. z., zákona č. 60/2010 Z. z., zákona č. 144/2010 Z. z., zákona č. 249/2011 Z. z., zákona č. 249/2011 Z. z., zákona č. 317/2012 Z. z., zákona č. 345/2012 Z. z. sa mení a dopĺňa takto:</w:t>
      </w:r>
    </w:p>
    <w:p w:rsidR="00D82A6E" w:rsidRPr="00DF16E6" w:rsidP="00D82A6E">
      <w:pPr>
        <w:bidi w:val="0"/>
        <w:rPr>
          <w:rFonts w:asciiTheme="majorHAnsi" w:hAnsiTheme="majorHAnsi" w:cs="Arial"/>
        </w:rPr>
      </w:pPr>
    </w:p>
    <w:p w:rsidR="00D82A6E" w:rsidRPr="00DF16E6" w:rsidP="00D82A6E">
      <w:pPr>
        <w:numPr>
          <w:numId w:val="2"/>
        </w:numPr>
        <w:bidi w:val="0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V § 11 odsek 1 znie:</w:t>
      </w:r>
    </w:p>
    <w:p w:rsidR="00D82A6E" w:rsidRPr="00DF16E6" w:rsidP="00D82A6E">
      <w:pPr>
        <w:bidi w:val="0"/>
        <w:ind w:left="360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„Na ochranu diaľnic, ciest a miestnych komunikácií I. až III. triedy a premávky na nich mimo zastavaného územia alebo územia určeného na súvislé zastavanie slúžia cestné ochranné pásma. Pre jednotlivé druhy a kategórie týchto komunikácií určí šírku ochranných pásem vykonávací predpis, a to pri diaľniciach, cestách budovaných ako rýchlostná komunikácia, cestách I. triedy a  miestnych komunikáciách budovaných ako rýchlostná komunikácia  minimálne 200 metrov  od osi priľahlého jazdného pásu, pri cestách II. a III. triedy a miestnych komunikáciách I. až III. triedy minimálne 100 metrov od osi priľahlého jazdného pásu, nad a pod pozemnou komunikáciou. Cestné ochranné pásmo pre novobudované alebo rekonštruované diaľnice, cesty a miestne komunikácie vzniká dňom nadobudnutia právoplatnosti územného rozhodnutia.“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P="00D82A6E">
      <w:pPr>
        <w:numPr>
          <w:numId w:val="2"/>
        </w:num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 xml:space="preserve">Za § 24d sa vkladá nový § 24e Prechodné ustanovenia k úpravám účinným od </w:t>
      </w:r>
      <w:r>
        <w:rPr>
          <w:rFonts w:asciiTheme="majorHAnsi" w:hAnsiTheme="majorHAnsi" w:cs="Arial"/>
        </w:rPr>
        <w:t>1. januára 2014</w:t>
      </w:r>
      <w:r w:rsidRPr="00DF16E6">
        <w:rPr>
          <w:rFonts w:asciiTheme="majorHAnsi" w:hAnsiTheme="majorHAnsi" w:cs="Arial"/>
        </w:rPr>
        <w:t>, ktorý znie:</w:t>
      </w:r>
    </w:p>
    <w:p w:rsidR="00D82A6E" w:rsidRPr="00DF16E6" w:rsidP="00D82A6E">
      <w:pPr>
        <w:bidi w:val="0"/>
        <w:ind w:left="720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„(1) Reklamné, informačné a propagačné zariadenia umiestnené predo dňom účinnosti tohto zákona na diaľniciach, cestách, medzinárodných cestných ťahoch, miestnych komunikáciách I. až III. triedy a v ich ochranných pásmach sú vlastníci alebo správcovia týchto zariadení povinní odstrániť ich do jedného odo dňa nadobudnutia účinnosti tohto zákona.</w:t>
      </w: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both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(2) Po uplynutí doby uvedenej v odseku 1 sú správcovia diaľnic, ciest, medzinárodných cestných ťahov a miestnych komunikáciách I. až III. triedy oprávnení podať návrh na odstránenie reklamných, informačných a propagačných zariadení (stavieb) podľa osobitného zákona</w:t>
      </w:r>
      <w:r w:rsidRPr="00DF16E6">
        <w:rPr>
          <w:rFonts w:asciiTheme="majorHAnsi" w:hAnsiTheme="majorHAnsi" w:cs="Arial"/>
          <w:vertAlign w:val="superscript"/>
        </w:rPr>
        <w:t>11)</w:t>
      </w:r>
      <w:r w:rsidRPr="00DF16E6">
        <w:rPr>
          <w:rFonts w:asciiTheme="majorHAnsi" w:hAnsiTheme="majorHAnsi" w:cs="Arial"/>
        </w:rPr>
        <w:t>“</w:t>
      </w:r>
    </w:p>
    <w:p w:rsidR="00D82A6E" w:rsidRPr="00DF16E6" w:rsidP="00D82A6E">
      <w:pPr>
        <w:bidi w:val="0"/>
        <w:rPr>
          <w:rFonts w:asciiTheme="majorHAnsi" w:hAnsiTheme="majorHAnsi" w:cs="Arial"/>
        </w:rPr>
      </w:pPr>
    </w:p>
    <w:p w:rsidR="00D82A6E" w:rsidRPr="00DF16E6" w:rsidP="00D82A6E">
      <w:pPr>
        <w:bidi w:val="0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  <w:b/>
        </w:rPr>
      </w:pPr>
      <w:r w:rsidRPr="00DF16E6">
        <w:rPr>
          <w:rFonts w:asciiTheme="majorHAnsi" w:hAnsiTheme="majorHAnsi" w:cs="Arial"/>
          <w:b/>
        </w:rPr>
        <w:t>Čl. IV</w:t>
      </w:r>
    </w:p>
    <w:p w:rsidR="00D82A6E" w:rsidRPr="00DF16E6" w:rsidP="00D82A6E">
      <w:pPr>
        <w:bidi w:val="0"/>
        <w:rPr>
          <w:rFonts w:asciiTheme="majorHAnsi" w:hAnsiTheme="majorHAnsi" w:cs="Arial"/>
        </w:rPr>
      </w:pPr>
    </w:p>
    <w:p w:rsidR="00D82A6E" w:rsidRPr="00DF16E6" w:rsidP="00D82A6E">
      <w:pPr>
        <w:bidi w:val="0"/>
        <w:jc w:val="center"/>
        <w:rPr>
          <w:rFonts w:asciiTheme="majorHAnsi" w:hAnsiTheme="majorHAnsi" w:cs="Arial"/>
        </w:rPr>
      </w:pPr>
      <w:r w:rsidRPr="00DF16E6">
        <w:rPr>
          <w:rFonts w:asciiTheme="majorHAnsi" w:hAnsiTheme="majorHAnsi" w:cs="Arial"/>
        </w:rPr>
        <w:t>Tento zákon nado</w:t>
      </w:r>
      <w:r>
        <w:rPr>
          <w:rFonts w:asciiTheme="majorHAnsi" w:hAnsiTheme="majorHAnsi" w:cs="Arial"/>
        </w:rPr>
        <w:t>búda účinnosť 1. januára 2014.</w:t>
      </w:r>
    </w:p>
    <w:p w:rsidR="00D82A6E" w:rsidRPr="00DF16E6" w:rsidP="00D82A6E">
      <w:pPr>
        <w:bidi w:val="0"/>
        <w:rPr>
          <w:rFonts w:asciiTheme="majorHAnsi" w:hAnsiTheme="majorHAnsi"/>
        </w:rPr>
      </w:pPr>
    </w:p>
    <w:p w:rsidR="0026271D" w:rsidP="00D82A6E">
      <w:pPr>
        <w:bidi w:val="0"/>
        <w:rPr>
          <w:rFonts w:ascii="Times New Roman" w:hAnsi="Times New Roman"/>
        </w:rPr>
      </w:pPr>
    </w:p>
    <w:sectPr w:rsidSect="002C1B8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265"/>
    <w:multiLevelType w:val="hybridMultilevel"/>
    <w:tmpl w:val="209C6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D380810"/>
    <w:multiLevelType w:val="hybridMultilevel"/>
    <w:tmpl w:val="AE64E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6B11319C"/>
    <w:multiLevelType w:val="hybridMultilevel"/>
    <w:tmpl w:val="D7CC4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82A6E"/>
    <w:rsid w:val="00154FA5"/>
    <w:rsid w:val="0026271D"/>
    <w:rsid w:val="00471421"/>
    <w:rsid w:val="00787AAA"/>
    <w:rsid w:val="008341F7"/>
    <w:rsid w:val="009E3E66"/>
    <w:rsid w:val="00B801F7"/>
    <w:rsid w:val="00D62FC0"/>
    <w:rsid w:val="00D82A6E"/>
    <w:rsid w:val="00DF16E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x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x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x2" w:themeShade="FF"/>
      <w:spacing w:val="20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x2" w:themeShade="FF" w:themeTint="BF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x2" w:themeShade="FF" w:themeTint="BF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g2" w:themeShade="7F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g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g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g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71421"/>
    <w:rPr>
      <w:rFonts w:asciiTheme="majorHAnsi" w:eastAsiaTheme="majorEastAsia" w:hAnsiTheme="majorHAnsi" w:cstheme="majorBidi"/>
      <w:smallCaps/>
      <w:color w:val="0F243E" w:themeColor="tx2" w:themeShade="7F"/>
      <w:spacing w:val="20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71421"/>
    <w:rPr>
      <w:rFonts w:asciiTheme="majorHAnsi" w:eastAsiaTheme="majorEastAsia" w:hAnsiTheme="majorHAnsi" w:cstheme="majorBidi"/>
      <w:smallCaps/>
      <w:color w:val="17365D" w:themeColor="tx2" w:themeShade="BF"/>
      <w:spacing w:val="20"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71421"/>
    <w:rPr>
      <w:rFonts w:asciiTheme="majorHAnsi" w:eastAsiaTheme="majorEastAsia" w:hAnsiTheme="majorHAnsi" w:cstheme="majorBidi"/>
      <w:smallCaps/>
      <w:color w:val="1F497D" w:themeColor="tx2" w:themeShade="FF"/>
      <w:spacing w:val="20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471421"/>
    <w:rPr>
      <w:rFonts w:asciiTheme="majorHAnsi" w:eastAsiaTheme="majorEastAsia" w:hAnsiTheme="majorHAnsi" w:cstheme="majorBidi"/>
      <w:b/>
      <w:bCs/>
      <w:smallCaps/>
      <w:color w:val="3071C3" w:themeColor="tx2" w:themeShade="FF" w:themeTint="BF"/>
      <w:spacing w:val="20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471421"/>
    <w:rPr>
      <w:rFonts w:asciiTheme="majorHAnsi" w:eastAsiaTheme="majorEastAsia" w:hAnsiTheme="majorHAnsi" w:cstheme="majorBidi"/>
      <w:smallCaps/>
      <w:color w:val="3071C3" w:themeColor="tx2" w:themeShade="FF" w:themeTint="BF"/>
      <w:spacing w:val="20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471421"/>
    <w:rPr>
      <w:rFonts w:asciiTheme="majorHAnsi" w:eastAsiaTheme="majorEastAsia" w:hAnsiTheme="majorHAnsi" w:cstheme="majorBidi"/>
      <w:smallCaps/>
      <w:color w:val="938953" w:themeColor="bg2" w:themeShade="7F"/>
      <w:spacing w:val="20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471421"/>
    <w:rPr>
      <w:rFonts w:asciiTheme="majorHAnsi" w:eastAsiaTheme="majorEastAsia" w:hAnsiTheme="majorHAnsi" w:cstheme="majorBidi"/>
      <w:b/>
      <w:bCs/>
      <w:smallCaps/>
      <w:color w:val="938953" w:themeColor="bg2" w:themeShade="7F"/>
      <w:spacing w:val="20"/>
      <w:sz w:val="16"/>
      <w:szCs w:val="16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471421"/>
    <w:rPr>
      <w:rFonts w:asciiTheme="majorHAnsi" w:eastAsiaTheme="majorEastAsia" w:hAnsiTheme="majorHAnsi" w:cstheme="majorBidi"/>
      <w:b/>
      <w:smallCaps/>
      <w:color w:val="938953" w:themeColor="bg2" w:themeShade="7F"/>
      <w:spacing w:val="20"/>
      <w:sz w:val="16"/>
      <w:szCs w:val="16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471421"/>
    <w:rPr>
      <w:rFonts w:asciiTheme="majorHAnsi" w:eastAsiaTheme="majorEastAsia" w:hAnsiTheme="majorHAnsi" w:cstheme="majorBidi"/>
      <w:smallCaps/>
      <w:color w:val="938953" w:themeColor="bg2" w:themeShade="7F"/>
      <w:spacing w:val="20"/>
      <w:sz w:val="16"/>
      <w:szCs w:val="16"/>
      <w:rtl w:val="0"/>
      <w:cs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 w:themeColor="tx2" w:themeShade="FF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Theme="majorHAnsi" w:eastAsiaTheme="majorEastAsia" w:hAnsiTheme="majorHAnsi" w:cstheme="majorBidi"/>
      <w:smallCaps/>
      <w:color w:val="17365D" w:themeColor="tx2" w:themeShade="BF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basedOn w:val="DefaultParagraphFont"/>
    <w:link w:val="Title"/>
    <w:uiPriority w:val="10"/>
    <w:locked/>
    <w:rsid w:val="00471421"/>
    <w:rPr>
      <w:rFonts w:asciiTheme="majorHAnsi" w:eastAsiaTheme="majorEastAsia" w:hAnsiTheme="majorHAnsi" w:cstheme="majorBidi"/>
      <w:smallCaps/>
      <w:color w:val="17365D" w:themeColor="tx2" w:themeShade="BF"/>
      <w:spacing w:val="5"/>
      <w:sz w:val="72"/>
      <w:szCs w:val="72"/>
      <w:rtl w:val="0"/>
      <w:cs w:val="0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Theme="minorHAnsi" w:hAnsiTheme="minorHAnsi" w:cstheme="minorBidi"/>
      <w:smallCaps/>
      <w:color w:val="938953" w:themeColor="bg2" w:themeShade="7F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471421"/>
    <w:rPr>
      <w:rFonts w:cs="Times New Roman"/>
      <w:smallCaps/>
      <w:color w:val="938953" w:themeColor="bg2" w:themeShade="7F"/>
      <w:spacing w:val="5"/>
      <w:sz w:val="28"/>
      <w:szCs w:val="28"/>
      <w:rtl w:val="0"/>
      <w:cs w:val="0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 w:themeColor="tx1" w:themeShade="FF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basedOn w:val="DefaultParagraphFont"/>
    <w:link w:val="Quote"/>
    <w:uiPriority w:val="29"/>
    <w:locked/>
    <w:rsid w:val="00471421"/>
    <w:rPr>
      <w:rFonts w:cs="Times New Roman"/>
      <w:i/>
      <w:iCs/>
      <w:color w:val="5A5A5A" w:themeColor="tx1" w:themeShade="FF" w:themeTint="A5"/>
      <w:sz w:val="20"/>
      <w:szCs w:val="20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4714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rtl w:val="0"/>
      <w:cs w:val="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 w:themeColor="tx1" w:themeShade="FF" w:themeTint="A5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 w:themeColor="accent1" w:themeShade="FF"/>
      <w:spacing w:val="40"/>
    </w:rPr>
  </w:style>
  <w:style w:type="character" w:styleId="SubtleReference">
    <w:name w:val="Subtle Reference"/>
    <w:uiPriority w:val="31"/>
    <w:qFormat/>
    <w:rsid w:val="00471421"/>
    <w:rPr>
      <w:rFonts w:asciiTheme="majorHAnsi" w:eastAsiaTheme="majorEastAsia" w:hAnsiTheme="majorHAnsi"/>
      <w:i/>
      <w:smallCaps/>
      <w:color w:val="5A5A5A" w:themeColor="tx1" w:themeShade="FF" w:themeTint="A5"/>
      <w:spacing w:val="20"/>
    </w:rPr>
  </w:style>
  <w:style w:type="character" w:styleId="IntenseReference">
    <w:name w:val="Intense Reference"/>
    <w:uiPriority w:val="32"/>
    <w:qFormat/>
    <w:rsid w:val="00471421"/>
    <w:rPr>
      <w:rFonts w:asciiTheme="majorHAnsi" w:eastAsiaTheme="majorEastAsia" w:hAnsiTheme="majorHAnsi"/>
      <w:b/>
      <w:i/>
      <w:smallCaps/>
      <w:color w:val="17365D" w:themeColor="tx2" w:themeShade="BF"/>
      <w:spacing w:val="20"/>
    </w:rPr>
  </w:style>
  <w:style w:type="character" w:styleId="BookTitle">
    <w:name w:val="Book Title"/>
    <w:uiPriority w:val="33"/>
    <w:qFormat/>
    <w:rsid w:val="00471421"/>
    <w:rPr>
      <w:rFonts w:asciiTheme="majorHAnsi" w:eastAsiaTheme="majorEastAsia" w:hAnsiTheme="majorHAnsi"/>
      <w:b/>
      <w:smallCaps/>
      <w:color w:val="17365D" w:themeColor="tx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jc w:val="left"/>
      <w:outlineLvl w:val="9"/>
    </w:pPr>
  </w:style>
  <w:style w:type="paragraph" w:customStyle="1" w:styleId="NormlnsWWW">
    <w:name w:val="Normální (síť WWW)"/>
    <w:basedOn w:val="Normal"/>
    <w:rsid w:val="00D82A6E"/>
    <w:pPr>
      <w:spacing w:before="100" w:after="100"/>
      <w:jc w:val="left"/>
    </w:pPr>
    <w:rPr>
      <w:rFonts w:ascii="Verdana" w:eastAsia="Arial Unicode MS" w:hAnsi="Verdana"/>
      <w:sz w:val="15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1155</Words>
  <Characters>6590</Characters>
  <Application>Microsoft Office Word</Application>
  <DocSecurity>0</DocSecurity>
  <Lines>0</Lines>
  <Paragraphs>0</Paragraphs>
  <ScaleCrop>false</ScaleCrop>
  <Company>Kancelaria NR SR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</cp:lastModifiedBy>
  <cp:revision>2</cp:revision>
  <dcterms:created xsi:type="dcterms:W3CDTF">2013-08-19T15:23:00Z</dcterms:created>
  <dcterms:modified xsi:type="dcterms:W3CDTF">2013-08-19T15:23:00Z</dcterms:modified>
</cp:coreProperties>
</file>