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filled="t">
      <v:shadow color="black"/>
    </v:background>
  </w:background>
  <w:body>
    <w:p w:rsidR="00AA3139">
      <w:pPr>
        <w:bidi w:val="0"/>
        <w:jc w:val="center"/>
        <w:rPr>
          <w:rFonts w:ascii="Times New Roman" w:hAnsi="Times New Roman"/>
          <w:b/>
        </w:rPr>
      </w:pPr>
      <w:r>
        <w:rPr>
          <w:rFonts w:ascii="Times New Roman" w:hAnsi="Times New Roman"/>
          <w:b/>
        </w:rPr>
        <w:t>PREDKLADACIA SPRÁVA</w:t>
      </w:r>
    </w:p>
    <w:p w:rsidR="00AA3139">
      <w:pPr>
        <w:bidi w:val="0"/>
        <w:jc w:val="center"/>
        <w:rPr>
          <w:rFonts w:ascii="Times New Roman" w:hAnsi="Times New Roman"/>
          <w:b/>
        </w:rPr>
      </w:pPr>
    </w:p>
    <w:p w:rsidR="00AA3139">
      <w:pPr>
        <w:bidi w:val="0"/>
        <w:jc w:val="both"/>
        <w:rPr>
          <w:rFonts w:ascii="Times New Roman" w:hAnsi="Times New Roman"/>
          <w:b/>
        </w:rPr>
      </w:pPr>
    </w:p>
    <w:p w:rsidR="00AA3139">
      <w:pPr>
        <w:bidi w:val="0"/>
        <w:ind w:firstLine="708"/>
        <w:jc w:val="both"/>
        <w:rPr>
          <w:rFonts w:ascii="Times New Roman" w:hAnsi="Times New Roman"/>
        </w:rPr>
      </w:pPr>
      <w:r>
        <w:rPr>
          <w:rFonts w:ascii="Times New Roman" w:hAnsi="Times New Roman"/>
        </w:rPr>
        <w:t xml:space="preserve">Predkladaný materiál obsahuje </w:t>
      </w:r>
      <w:r w:rsidR="00D832CF">
        <w:rPr>
          <w:rFonts w:ascii="Times New Roman" w:hAnsi="Times New Roman"/>
        </w:rPr>
        <w:t>text</w:t>
      </w:r>
      <w:r>
        <w:rPr>
          <w:rFonts w:ascii="Times New Roman" w:hAnsi="Times New Roman"/>
        </w:rPr>
        <w:t xml:space="preserve"> Zmluvy </w:t>
      </w:r>
      <w:r w:rsidR="00E30ABB">
        <w:rPr>
          <w:rFonts w:ascii="Times New Roman" w:hAnsi="Times New Roman"/>
        </w:rPr>
        <w:t xml:space="preserve">o stabilite, koordinácii a správe </w:t>
      </w:r>
      <w:r w:rsidR="00B24F91">
        <w:rPr>
          <w:rFonts w:ascii="Times New Roman" w:hAnsi="Times New Roman"/>
        </w:rPr>
        <w:t xml:space="preserve">                       </w:t>
      </w:r>
      <w:r w:rsidR="00E30ABB">
        <w:rPr>
          <w:rFonts w:ascii="Times New Roman" w:hAnsi="Times New Roman"/>
        </w:rPr>
        <w:t xml:space="preserve">v hospodárskej a menovej únii </w:t>
      </w:r>
      <w:r>
        <w:rPr>
          <w:rFonts w:ascii="Times New Roman" w:hAnsi="Times New Roman"/>
        </w:rPr>
        <w:t>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(ďalej len „Zmluva“).</w:t>
      </w:r>
    </w:p>
    <w:p w:rsidR="00AA3139">
      <w:pPr>
        <w:bidi w:val="0"/>
        <w:jc w:val="both"/>
        <w:rPr>
          <w:rFonts w:ascii="Times New Roman" w:hAnsi="Times New Roman"/>
        </w:rPr>
      </w:pPr>
    </w:p>
    <w:p w:rsidR="00AA3139">
      <w:pPr>
        <w:bidi w:val="0"/>
        <w:ind w:firstLine="708"/>
        <w:jc w:val="both"/>
        <w:rPr>
          <w:rFonts w:ascii="Times New Roman" w:hAnsi="Times New Roman"/>
        </w:rPr>
      </w:pPr>
      <w:r>
        <w:rPr>
          <w:rFonts w:ascii="Times New Roman" w:hAnsi="Times New Roman"/>
        </w:rPr>
        <w:t xml:space="preserve">Zmluvné strany </w:t>
      </w:r>
      <w:r w:rsidR="00D832CF">
        <w:rPr>
          <w:rFonts w:ascii="Times New Roman" w:hAnsi="Times New Roman"/>
        </w:rPr>
        <w:t xml:space="preserve">ako členské štáty Európskej únie prostredníctvom Zmluvy s posilnením ekonomického piliera </w:t>
      </w:r>
      <w:r>
        <w:rPr>
          <w:rFonts w:ascii="Times New Roman" w:hAnsi="Times New Roman"/>
        </w:rPr>
        <w:t>hospodársk</w:t>
      </w:r>
      <w:r w:rsidR="00D832CF">
        <w:rPr>
          <w:rFonts w:ascii="Times New Roman" w:hAnsi="Times New Roman"/>
        </w:rPr>
        <w:t>ej</w:t>
      </w:r>
      <w:r>
        <w:rPr>
          <w:rFonts w:ascii="Times New Roman" w:hAnsi="Times New Roman"/>
        </w:rPr>
        <w:t xml:space="preserve"> a menov</w:t>
      </w:r>
      <w:r w:rsidR="00D832CF">
        <w:rPr>
          <w:rFonts w:ascii="Times New Roman" w:hAnsi="Times New Roman"/>
        </w:rPr>
        <w:t>ej</w:t>
      </w:r>
      <w:r>
        <w:rPr>
          <w:rFonts w:ascii="Times New Roman" w:hAnsi="Times New Roman"/>
        </w:rPr>
        <w:t xml:space="preserve"> úni</w:t>
      </w:r>
      <w:r w:rsidR="00D832CF">
        <w:rPr>
          <w:rFonts w:ascii="Times New Roman" w:hAnsi="Times New Roman"/>
        </w:rPr>
        <w:t>e</w:t>
      </w:r>
      <w:r>
        <w:rPr>
          <w:rFonts w:ascii="Times New Roman" w:hAnsi="Times New Roman"/>
        </w:rPr>
        <w:t xml:space="preserve"> </w:t>
      </w:r>
      <w:r w:rsidR="00D832CF">
        <w:rPr>
          <w:rFonts w:ascii="Times New Roman" w:hAnsi="Times New Roman"/>
        </w:rPr>
        <w:t>prostredníctvom</w:t>
      </w:r>
      <w:r>
        <w:rPr>
          <w:rFonts w:ascii="Times New Roman" w:hAnsi="Times New Roman"/>
        </w:rPr>
        <w:t xml:space="preserve"> prijat</w:t>
      </w:r>
      <w:r w:rsidR="00D832CF">
        <w:rPr>
          <w:rFonts w:ascii="Times New Roman" w:hAnsi="Times New Roman"/>
        </w:rPr>
        <w:t>ia súboru</w:t>
      </w:r>
      <w:r>
        <w:rPr>
          <w:rFonts w:ascii="Times New Roman" w:hAnsi="Times New Roman"/>
        </w:rPr>
        <w:t xml:space="preserve"> pravidiel určených na posilnenie rozpočtovej disciplíny a posilnenie koordinácie hospodárskych politík. Zmluvnými stranami tejto zmluvy sú členské štáty eurozóny a ďalšie štáty Európskej únie, ktoré k nej dobrovoľne pristúpili. Zmluva je v súlade s primárnymi prameňmi úniového práva, pričom sa vykladá do tej miery, v akej je s ním v súlade a nezasahuje do právomocí </w:t>
      </w:r>
      <w:r w:rsidR="00D832CF">
        <w:rPr>
          <w:rFonts w:ascii="Times New Roman" w:hAnsi="Times New Roman"/>
        </w:rPr>
        <w:t>Európskej ú</w:t>
      </w:r>
      <w:r>
        <w:rPr>
          <w:rFonts w:ascii="Times New Roman" w:hAnsi="Times New Roman"/>
        </w:rPr>
        <w:t xml:space="preserve">nie konať v oblasti hospodárskej únie. Zmluva má pôsobiť v spojení so </w:t>
      </w:r>
      <w:r w:rsidR="004D6265">
        <w:rPr>
          <w:rFonts w:ascii="Times New Roman" w:hAnsi="Times New Roman"/>
        </w:rPr>
        <w:t>Z</w:t>
      </w:r>
      <w:r>
        <w:rPr>
          <w:rFonts w:ascii="Times New Roman" w:hAnsi="Times New Roman"/>
        </w:rPr>
        <w:t>mluvou</w:t>
      </w:r>
      <w:r w:rsidR="004D6265">
        <w:rPr>
          <w:rFonts w:ascii="Times New Roman" w:hAnsi="Times New Roman"/>
        </w:rPr>
        <w:t>, ktorou sa zriaďuje</w:t>
      </w:r>
      <w:r>
        <w:rPr>
          <w:rFonts w:ascii="Times New Roman" w:hAnsi="Times New Roman"/>
        </w:rPr>
        <w:t xml:space="preserve"> Európsk</w:t>
      </w:r>
      <w:r w:rsidR="004D6265">
        <w:rPr>
          <w:rFonts w:ascii="Times New Roman" w:hAnsi="Times New Roman"/>
        </w:rPr>
        <w:t>y</w:t>
      </w:r>
      <w:r>
        <w:rPr>
          <w:rFonts w:ascii="Times New Roman" w:hAnsi="Times New Roman"/>
        </w:rPr>
        <w:t xml:space="preserve"> mechanizmu</w:t>
      </w:r>
      <w:r w:rsidR="004D6265">
        <w:rPr>
          <w:rFonts w:ascii="Times New Roman" w:hAnsi="Times New Roman"/>
        </w:rPr>
        <w:t>s</w:t>
      </w:r>
      <w:r>
        <w:rPr>
          <w:rFonts w:ascii="Times New Roman" w:hAnsi="Times New Roman"/>
        </w:rPr>
        <w:t xml:space="preserve"> pre stabilitu (ďalej len „EMS“) a jej reálnej aplikácii do praxe má napomôcť práve skutočnosť, že poskytnutie akejkoľvek pomoci z prostriedkov EMS bude viazané na ratifikáciu a implementáciu Zmluvy do vnútroštátnej legislatívy žiadateľského štátu.</w:t>
      </w:r>
    </w:p>
    <w:p w:rsidR="00AA3139">
      <w:pPr>
        <w:bidi w:val="0"/>
        <w:ind w:firstLine="709"/>
        <w:jc w:val="both"/>
        <w:rPr>
          <w:rFonts w:ascii="Times New Roman" w:hAnsi="Times New Roman"/>
        </w:rPr>
      </w:pPr>
    </w:p>
    <w:p w:rsidR="004D6265" w:rsidP="004D6265">
      <w:pPr>
        <w:bidi w:val="0"/>
        <w:ind w:firstLine="708"/>
        <w:jc w:val="both"/>
        <w:rPr>
          <w:rFonts w:ascii="Times New Roman" w:hAnsi="Times New Roman"/>
        </w:rPr>
      </w:pPr>
      <w:r>
        <w:rPr>
          <w:rFonts w:ascii="Times New Roman" w:hAnsi="Times New Roman"/>
        </w:rPr>
        <w:t>Nadobudnutie účinnosti Zmluvy je založené na princípe opcie, keď na rozdiel od Rámcovej zmluve o Európskom finančnom stabilizačnom nástroji</w:t>
      </w:r>
      <w:r>
        <w:rPr>
          <w:rStyle w:val="FootnoteCharacters"/>
          <w:rFonts w:ascii="Times New Roman" w:hAnsi="Times New Roman"/>
          <w:rtl w:val="0"/>
        </w:rPr>
        <w:footnoteReference w:id="2"/>
      </w:r>
      <w:r>
        <w:rPr>
          <w:rFonts w:ascii="Times New Roman" w:hAnsi="Times New Roman"/>
        </w:rPr>
        <w:t xml:space="preserve"> nie je potrebný súhlas všetkých členov eurozóny. Zmluva v zmysle článku 14 odsek 2 nadobudne platnosť 1. januára 2013 sa predpokladu, že dvanásť zmluvných strán, ktorých menou je euro, uložilo ich ratifikačnú listinu, alebo prvým dňom mesiaca nasledujúceho po uložení dvanástej ratifikačnej </w:t>
      </w:r>
      <w:r w:rsidR="00861D10">
        <w:rPr>
          <w:rFonts w:ascii="Times New Roman" w:hAnsi="Times New Roman"/>
        </w:rPr>
        <w:t>listiny</w:t>
      </w:r>
      <w:r>
        <w:rPr>
          <w:rFonts w:ascii="Times New Roman" w:hAnsi="Times New Roman"/>
        </w:rPr>
        <w:t xml:space="preserve"> zmluvnej strany, ktorej menou je euro, podľa toho, čo nastane skôr. Pre úplnosť je potrebné dodať, že táto Zmluva neobsahuje spôsob vystúpenia zmluvnej strany z nej.</w:t>
      </w:r>
    </w:p>
    <w:p w:rsidR="004D6265">
      <w:pPr>
        <w:bidi w:val="0"/>
        <w:ind w:firstLine="426"/>
        <w:jc w:val="both"/>
        <w:rPr>
          <w:rFonts w:ascii="Times New Roman" w:hAnsi="Times New Roman"/>
        </w:rPr>
      </w:pPr>
    </w:p>
    <w:p w:rsidR="00AA3139" w:rsidP="004D6265">
      <w:pPr>
        <w:bidi w:val="0"/>
        <w:ind w:firstLine="708"/>
        <w:jc w:val="both"/>
        <w:rPr>
          <w:rFonts w:ascii="Times New Roman" w:hAnsi="Times New Roman"/>
        </w:rPr>
      </w:pPr>
      <w:r>
        <w:rPr>
          <w:rFonts w:ascii="Times New Roman" w:hAnsi="Times New Roman"/>
        </w:rPr>
        <w:t>Zmluva obsahuje rad fiškálnych pravidiel, pravidiel k správe, koordinácii a konvergencii hospodárskej a menovej únie. Obsahuje záväzok ratifikujúceho štátu hospodáriť s vyrovnaným alebo prebytkovým rozpočtom verejnej správy, s výnimkou ak ročné štrukturálne saldo verejnej správy</w:t>
      </w:r>
      <w:r>
        <w:rPr>
          <w:rStyle w:val="FootnoteCharacters"/>
          <w:rFonts w:ascii="Times New Roman" w:hAnsi="Times New Roman"/>
          <w:rtl w:val="0"/>
        </w:rPr>
        <w:footnoteReference w:id="3"/>
      </w:r>
      <w:r>
        <w:rPr>
          <w:rFonts w:ascii="Times New Roman" w:hAnsi="Times New Roman"/>
        </w:rPr>
        <w:t xml:space="preserve"> nepresiahne špecifický strednodobý cieľ pre príslušnú krajinu, ktorý je vymedzený v revidovanom Pakte stability a rastu, pričom dolná hranica štrukturálneho deficitu je 0,5 % HDP. Ak je pomer hrubého dlhu verejnej správy </w:t>
      </w:r>
      <w:r w:rsidR="004D6265">
        <w:rPr>
          <w:rFonts w:ascii="Times New Roman" w:hAnsi="Times New Roman"/>
        </w:rPr>
        <w:t xml:space="preserve">              </w:t>
      </w:r>
      <w:r>
        <w:rPr>
          <w:rFonts w:ascii="Times New Roman" w:hAnsi="Times New Roman"/>
        </w:rPr>
        <w:t>k HDP výrazne pod 60 % a riziká spojené s dlhodobou udržateľnosťou verejných financií sú nízke, dolná hranica štrukturálneho deficitu môže byť najviac 1,0 % HDP. Od tohto cieľa je možné sa odchýliť iba ak nastanú výnimočné okolnosti definované v Zmluve</w:t>
      </w:r>
      <w:r>
        <w:rPr>
          <w:rStyle w:val="FootnoteCharacters"/>
          <w:rFonts w:ascii="Times New Roman" w:hAnsi="Times New Roman"/>
          <w:rtl w:val="0"/>
        </w:rPr>
        <w:footnoteReference w:id="4"/>
      </w:r>
      <w:r>
        <w:rPr>
          <w:rFonts w:ascii="Times New Roman" w:hAnsi="Times New Roman"/>
        </w:rPr>
        <w:t>. V prípade zaznamenaných výrazných odchýlok od strednodobého cieľa alebo postupu úpravy vedúceho k tomuto cieľu sa automaticky uplatní korekčný mechanizmus. Toto pravidlo je potrebné implementovať do vnútroštátnej legislatívy najneskôr do jedného roka od nadobudnutia platnosti Zmluvy</w:t>
      </w:r>
      <w:r w:rsidR="004D6265">
        <w:rPr>
          <w:rFonts w:ascii="Times New Roman" w:hAnsi="Times New Roman"/>
        </w:rPr>
        <w:t>.</w:t>
      </w:r>
    </w:p>
    <w:p w:rsidR="00AA3139">
      <w:pPr>
        <w:bidi w:val="0"/>
        <w:jc w:val="both"/>
        <w:rPr>
          <w:rFonts w:ascii="Times New Roman" w:hAnsi="Times New Roman"/>
        </w:rPr>
      </w:pPr>
    </w:p>
    <w:p w:rsidR="00AA3139">
      <w:pPr>
        <w:bidi w:val="0"/>
        <w:jc w:val="both"/>
        <w:rPr>
          <w:rFonts w:ascii="Times New Roman" w:hAnsi="Times New Roman"/>
        </w:rPr>
      </w:pPr>
      <w:r>
        <w:rPr>
          <w:rFonts w:ascii="Times New Roman" w:hAnsi="Times New Roman"/>
        </w:rPr>
        <w:tab/>
        <w:t xml:space="preserve">Európska komisia bude informovať o ustanoveniach, ktoré každá zmluvná strana prijala v súlade s uvedenými črtami pravidla o štrukturálnom salde verejnej správy (článok 3, odsek 2), pričom, ak ich poruší, jedna alebo viacero zmluvných strán predloží túto záležitosť Súdnemu dvoru EÚ. Takýto rozsudok je záväzný. V prípade, že ho žalovaná zmluvná strana nebude rešpektovať, iná zmluvná strana sa môže na Súdnom dvore domáhať uloženia finančných sankcií. Takáto sankcia musí byť primeraná a nesmie presahovať 0,1 % HDP krajiny. Ak je zmluvná strana členom eurozóny, tieto prostriedky sa odvádzajú do EMS, </w:t>
      </w:r>
      <w:r w:rsidR="00930BA1">
        <w:rPr>
          <w:rFonts w:ascii="Times New Roman" w:hAnsi="Times New Roman"/>
        </w:rPr>
        <w:t>v inom prípade do</w:t>
      </w:r>
      <w:r>
        <w:rPr>
          <w:rFonts w:ascii="Times New Roman" w:hAnsi="Times New Roman"/>
        </w:rPr>
        <w:t xml:space="preserve"> rozpočtu </w:t>
      </w:r>
      <w:r w:rsidR="00930BA1">
        <w:rPr>
          <w:rFonts w:ascii="Times New Roman" w:hAnsi="Times New Roman"/>
        </w:rPr>
        <w:t xml:space="preserve">Európskej </w:t>
      </w:r>
      <w:r>
        <w:rPr>
          <w:rFonts w:ascii="Times New Roman" w:hAnsi="Times New Roman"/>
        </w:rPr>
        <w:t>únie.</w:t>
      </w:r>
    </w:p>
    <w:p w:rsidR="00AA3139">
      <w:pPr>
        <w:bidi w:val="0"/>
        <w:jc w:val="both"/>
        <w:rPr>
          <w:rFonts w:ascii="Times New Roman" w:hAnsi="Times New Roman"/>
        </w:rPr>
      </w:pPr>
    </w:p>
    <w:p w:rsidR="00AA3139">
      <w:pPr>
        <w:bidi w:val="0"/>
        <w:jc w:val="both"/>
        <w:rPr>
          <w:rFonts w:ascii="Times New Roman" w:hAnsi="Times New Roman"/>
        </w:rPr>
      </w:pPr>
      <w:r>
        <w:rPr>
          <w:rFonts w:ascii="Times New Roman" w:hAnsi="Times New Roman"/>
        </w:rPr>
        <w:tab/>
        <w:t>Zmluvné strany sa zároveň zaviazali snažiť sa dosiahnuť, aby ich pomer dlhu verejnej správy k HDP nepresiahol referenčnú hodnotu 60 %. Ak už túto hodnotu presiahol, zmluvná strana sa bude snažiť rozdiel dlhu voči referenčnej hodnote znižovať tempom jedna dvadsatina ročne. Zmluvná strana, voči ktorej sa bude uplatňovať postup pri nadmernom deficite, bude povinná zaviesť program rozpočtového a ekonomického partnerstva, ktorý bude obsahovať podrobný opis štrukturálnych reforiem, ktoré sa musia zaviesť a vykonať na účely zabezpečenia korekcie jej nadmerného deficitu. Vykonávanie tohto programu a súvisiacich plánov bude monitorovať Rada a Komisia.</w:t>
      </w:r>
    </w:p>
    <w:p w:rsidR="00AA3139">
      <w:pPr>
        <w:bidi w:val="0"/>
        <w:jc w:val="both"/>
        <w:rPr>
          <w:rFonts w:ascii="Times New Roman" w:hAnsi="Times New Roman"/>
        </w:rPr>
      </w:pPr>
    </w:p>
    <w:p w:rsidR="00AA3139">
      <w:pPr>
        <w:bidi w:val="0"/>
        <w:jc w:val="both"/>
        <w:rPr>
          <w:rFonts w:ascii="Times New Roman" w:hAnsi="Times New Roman"/>
        </w:rPr>
      </w:pPr>
      <w:r>
        <w:rPr>
          <w:rFonts w:ascii="Times New Roman" w:hAnsi="Times New Roman"/>
        </w:rPr>
        <w:tab/>
        <w:t>S cieľom lepšie skoordinovať emisie štátnych dlhopisov budú zmluvné strany predbežne informovať Radu a Komisiu o pripravovaných emisiách štátnych dlhopisov a pokladničných poukážok.</w:t>
      </w:r>
      <w:r>
        <w:rPr>
          <w:rFonts w:ascii="Times New Roman" w:hAnsi="Times New Roman"/>
          <w:b/>
          <w:i/>
        </w:rPr>
        <w:t xml:space="preserve"> </w:t>
      </w:r>
      <w:r>
        <w:rPr>
          <w:rFonts w:ascii="Times New Roman" w:hAnsi="Times New Roman"/>
        </w:rPr>
        <w:t xml:space="preserve">Zmluvné strany sa tiež rozhodli spoločne pracovať na hospodárskej politike podporujúcej riadne fungovanie hospodárskej a menovej únie a hospodársky rast prostredníctvom zvýšenej konvergencie a konkurencieschopnosti. Na tento účel prijmú príslušné opatrenia, využívajúc všetky špecifické opatrenia, ktoré im umožňuje primárne úniové právo. Rovnako medzi sebou </w:t>
      </w:r>
      <w:r w:rsidR="002911A0">
        <w:rPr>
          <w:rFonts w:ascii="Times New Roman" w:hAnsi="Times New Roman"/>
        </w:rPr>
        <w:t xml:space="preserve">prerokujú </w:t>
      </w:r>
      <w:r>
        <w:rPr>
          <w:rFonts w:ascii="Times New Roman" w:hAnsi="Times New Roman"/>
        </w:rPr>
        <w:t xml:space="preserve">a prípadne </w:t>
      </w:r>
      <w:r w:rsidR="002911A0">
        <w:rPr>
          <w:rFonts w:ascii="Times New Roman" w:hAnsi="Times New Roman"/>
        </w:rPr>
        <w:t xml:space="preserve">koordinujú </w:t>
      </w:r>
      <w:r>
        <w:rPr>
          <w:rFonts w:ascii="Times New Roman" w:hAnsi="Times New Roman"/>
        </w:rPr>
        <w:t>všetky hlavné reformy hospodárskej politiky, ktoré plánujú vykonať. Takáto koordinácie zahŕňa inštitúcie EÚ.</w:t>
      </w:r>
    </w:p>
    <w:p w:rsidR="00AA3139">
      <w:pPr>
        <w:bidi w:val="0"/>
        <w:jc w:val="both"/>
        <w:rPr>
          <w:rFonts w:ascii="Times New Roman" w:hAnsi="Times New Roman"/>
        </w:rPr>
      </w:pPr>
    </w:p>
    <w:p w:rsidR="00AA3139">
      <w:pPr>
        <w:bidi w:val="0"/>
        <w:jc w:val="both"/>
        <w:rPr>
          <w:rFonts w:ascii="Times New Roman" w:hAnsi="Times New Roman"/>
        </w:rPr>
      </w:pPr>
      <w:r>
        <w:rPr>
          <w:rFonts w:ascii="Times New Roman" w:hAnsi="Times New Roman"/>
        </w:rPr>
        <w:tab/>
        <w:t>Hlavy štátov alebo predsedovia vlád štátov eurozóny sa neformálne stretávajú na samitoch eurozóny za účasti predsedu Komisie, pričom na takéto zasadnutia sa pozýva prezident ECB. Predsedu takéhoto samitu vymenujú v čase, kedy Rada volí svojho predsedu, funkčné obdobia majú zhodné. Samity sa konajú podľa potreby, najmenej dvakrát ročne. Na tieto rokovania sú prizvané aj hlavy štátov alebo predsedovia vlád ostatných zmluvných strán, ak sa rokovania týkajú konkurencieschopnosti, úprav globálnej architektúry eurozóny a základných pravidiel, ktoré sa na ňu budú uplatňovať v budúcnosti, no najmenej raz ročne. Predseda samitu eurozóny bude zabezpečovať ich kontinuitu v spolupráci s predsedom Komisie. Podklady bude pripravovať Euroskupina. Samit si môže pozvať na vypočutie predsedu Európskeho parlamentu, pričom ten predloží po každom rokovaní samitu Parlamentu správu. Predseda samitu zasa pravidelne informuje o výsledkoch samitov zmluvné strany, ktorých menou nie je euro.</w:t>
      </w:r>
    </w:p>
    <w:p w:rsidR="00AA3139">
      <w:pPr>
        <w:bidi w:val="0"/>
        <w:rPr>
          <w:rFonts w:ascii="Times New Roman" w:hAnsi="Times New Roman"/>
        </w:rPr>
      </w:pPr>
    </w:p>
    <w:p w:rsidR="00AA3139">
      <w:pPr>
        <w:bidi w:val="0"/>
        <w:rPr>
          <w:rFonts w:ascii="Times New Roman" w:hAnsi="Times New Roman"/>
        </w:rPr>
      </w:pPr>
      <w:r>
        <w:rPr>
          <w:rFonts w:ascii="Times New Roman" w:hAnsi="Times New Roman"/>
        </w:rPr>
        <w:tab/>
        <w:t>Európsky parlament bude pravidelne organizovať konferencie parlamentných výborov s cieľom rokovať o ro</w:t>
      </w:r>
      <w:r w:rsidR="002911A0">
        <w:rPr>
          <w:rFonts w:ascii="Times New Roman" w:hAnsi="Times New Roman"/>
        </w:rPr>
        <w:t>z</w:t>
      </w:r>
      <w:r>
        <w:rPr>
          <w:rFonts w:ascii="Times New Roman" w:hAnsi="Times New Roman"/>
        </w:rPr>
        <w:t xml:space="preserve">počtových politikách a ďalších otázkach ktoré obsahovo tvoria predmet tejto Zmluvy. </w:t>
      </w:r>
    </w:p>
    <w:p w:rsidR="00AA3139">
      <w:pPr>
        <w:bidi w:val="0"/>
        <w:rPr>
          <w:rFonts w:ascii="Times New Roman" w:hAnsi="Times New Roman"/>
        </w:rPr>
      </w:pPr>
    </w:p>
    <w:p w:rsidR="00AA3139">
      <w:pPr>
        <w:pStyle w:val="Odsekzoznamu"/>
        <w:bidi w:val="0"/>
        <w:ind w:left="0"/>
        <w:jc w:val="both"/>
        <w:rPr>
          <w:rFonts w:ascii="Times New Roman" w:hAnsi="Times New Roman"/>
        </w:rPr>
      </w:pPr>
      <w:r>
        <w:rPr>
          <w:rFonts w:ascii="Times New Roman" w:hAnsi="Times New Roman"/>
        </w:rPr>
        <w:tab/>
        <w:t>Zmluva sa uzatvára medzi suverénnymi štátmi eurozóny a neviaže sa na žiadne práva a povinnosti členských štátov Európskej únie vyplývajúce zo Zmluvy o fungovaní Európskej únie, aj keď na ňu Zmluva niekoľko krát odkazuje. Z tohto dôvodu nemajú orgány Európskej únie žiadne kontrolné alebo vynucovanie právomoci voči členským štátom eurozóny, ktoré budú aj zmluvnými stranami Zmluvy. Celé fungovanie Zmluvy je založené</w:t>
      </w:r>
      <w:r>
        <w:rPr>
          <w:rFonts w:ascii="Times New Roman" w:hAnsi="Times New Roman"/>
          <w:b/>
        </w:rPr>
        <w:t xml:space="preserve"> </w:t>
      </w:r>
      <w:r>
        <w:rPr>
          <w:rFonts w:ascii="Times New Roman" w:hAnsi="Times New Roman"/>
        </w:rPr>
        <w:t xml:space="preserve">na viackrát opakovanej a vzájomnej spolupráci medzi zmluvnými stranami Zmluvy. Tá spočíva napríklad v tom, že si zmluvné strany spoločne uznávajú pôsobnosť Súdneho dvora Európskej únie (ďalej len „Súdny dvor EÚ“) vo veci uloženia nápravy spočívajúcej v znížení deficitu (článok 8), že budú dodržiavať rozpočtové princípy Zmluvy alebo rešpektovať odporúčania Európskej komisie (napríklad článok 7). </w:t>
      </w:r>
    </w:p>
    <w:p w:rsidR="00AA3139">
      <w:pPr>
        <w:pStyle w:val="Odsekzoznamu"/>
        <w:bidi w:val="0"/>
        <w:ind w:left="0"/>
        <w:jc w:val="both"/>
        <w:rPr>
          <w:rFonts w:ascii="Times New Roman" w:hAnsi="Times New Roman"/>
        </w:rPr>
      </w:pPr>
    </w:p>
    <w:p w:rsidR="00AA3139">
      <w:pPr>
        <w:pStyle w:val="Odsekzoznamu"/>
        <w:bidi w:val="0"/>
        <w:ind w:left="0"/>
        <w:jc w:val="both"/>
        <w:rPr>
          <w:rFonts w:ascii="Times New Roman" w:hAnsi="Times New Roman"/>
        </w:rPr>
      </w:pPr>
      <w:r>
        <w:rPr>
          <w:rFonts w:ascii="Times New Roman" w:hAnsi="Times New Roman"/>
        </w:rPr>
        <w:tab/>
        <w:t>Vzhľadom k tomu, že Zmluva má samostatné postavenia a neviaže sa na  Zmluvu o fungovaní Európskej únie, majú orgány</w:t>
      </w:r>
      <w:r>
        <w:rPr>
          <w:rStyle w:val="FootnoteCharacters"/>
          <w:rFonts w:ascii="Times New Roman" w:hAnsi="Times New Roman"/>
          <w:rtl w:val="0"/>
        </w:rPr>
        <w:footnoteReference w:id="5"/>
      </w:r>
      <w:r>
        <w:rPr>
          <w:rFonts w:ascii="Times New Roman" w:hAnsi="Times New Roman"/>
        </w:rPr>
        <w:t xml:space="preserve"> Európskej únie (Európska komisia, rada Európskej únie) len monitorovacie a poradné postavenie. Ich úloha nie je preto kontrolná voči zmluvným stranám (t. j. členským štátom eurozóny)</w:t>
      </w:r>
      <w:r w:rsidR="002911A0">
        <w:rPr>
          <w:rFonts w:ascii="Times New Roman" w:hAnsi="Times New Roman"/>
        </w:rPr>
        <w:t>,</w:t>
      </w:r>
      <w:r>
        <w:rPr>
          <w:rFonts w:ascii="Times New Roman" w:hAnsi="Times New Roman"/>
        </w:rPr>
        <w:t xml:space="preserve"> ale odporúčacia (napríklad článok 3, odsek 1 (b) alebo článok 5 odsek 2). V Zmluve je daná výlučne len  právomoc Súdneho dvora EÚ, na ktorej sa výslovne dohodli všetky zmluvné strany. </w:t>
      </w:r>
    </w:p>
    <w:p w:rsidR="00AA3139">
      <w:pPr>
        <w:pStyle w:val="Odsekzoznamu"/>
        <w:bidi w:val="0"/>
        <w:ind w:left="0"/>
        <w:jc w:val="both"/>
        <w:rPr>
          <w:rFonts w:ascii="Times New Roman" w:hAnsi="Times New Roman"/>
        </w:rPr>
      </w:pPr>
    </w:p>
    <w:p w:rsidR="00AA3139">
      <w:pPr>
        <w:pStyle w:val="Odsekzoznamu"/>
        <w:bidi w:val="0"/>
        <w:ind w:left="0"/>
        <w:jc w:val="both"/>
        <w:rPr>
          <w:rFonts w:ascii="Times New Roman" w:hAnsi="Times New Roman"/>
          <w:b/>
          <w:i/>
        </w:rPr>
      </w:pPr>
      <w:r>
        <w:rPr>
          <w:rFonts w:ascii="Times New Roman" w:hAnsi="Times New Roman"/>
        </w:rPr>
        <w:tab/>
        <w:t xml:space="preserve">Na vnútroštátnej úrovni sa od zmluvných strán vyžaduje, aby pravidlá zakotvené v Zmluve nadobudli vo vnútroštátnom práve zmluvných strán účinnosť najneskôr do jedného roka po nadobudnutí platnosti tejto Zmluvy, a to prostredníctvom ustanovení, ktoré sú záväzné, trvalé a  v optimálnom prípade ústavného charakteru, alebo v prípade ktorých je inak zaručené ich úplné dodržiavanie a zachovávanie v rámci vnútroštátnych rozpočtových postupov.  V Zmluve je zakotvená povinnosť zmluvnej strany zabezpečiť vo svojej legislatíve automatický korekčný mechanizmus v prípade zaznamenaných významných odchýlok  od definovaného rozpočtového pravidla. Tento mechanizmus obsahuje povinnosť dotknutej zmluvnej strany vykonať opatrenia s cieľom odstrániť odchýlky v stanovenej lehote.  </w:t>
      </w:r>
    </w:p>
    <w:p w:rsidR="00AA3139">
      <w:pPr>
        <w:bidi w:val="0"/>
        <w:jc w:val="both"/>
        <w:rPr>
          <w:rFonts w:ascii="Times New Roman" w:hAnsi="Times New Roman"/>
          <w:b/>
          <w:i/>
        </w:rPr>
      </w:pPr>
    </w:p>
    <w:p w:rsidR="00AA3139">
      <w:pPr>
        <w:bidi w:val="0"/>
        <w:jc w:val="both"/>
        <w:rPr>
          <w:rFonts w:ascii="Times New Roman" w:hAnsi="Times New Roman"/>
          <w:b/>
          <w:i/>
        </w:rPr>
      </w:pPr>
      <w:r>
        <w:rPr>
          <w:rFonts w:ascii="Times New Roman" w:hAnsi="Times New Roman"/>
        </w:rPr>
        <w:tab/>
        <w:t>Napriek tomu, že Zmluva je založená na princípe spolupráce medzi zmluvnými stranami (článok 9) a dodržiavania povinností a pravidiel vyplývajúcich z nej, Zmluva upravuje prípady jej porušovania. Vzhľadom k tomu, že orgány Európskej komisie nevstupujú do náprav fiškálnej politiky štátu, Zmluva zveruje možnosť vynútenia nápravy ostatným zmluvným stranám (resp. len jednej zmluvnej strane). Ak  sa jedna zmluvná strana domnieva, že druhá zmluvná strana nezabezpečila pravidlá vyplývajúce z článku 3, môže na ňu podať žalobu na Súdny dvor EÚ, ktorý môže rozsudkom uložiť odstránenie nežiaduceho stavu a prijatie nápravných opatrení. Kontrola plnenia tohto</w:t>
      </w:r>
      <w:bookmarkStart w:id="0" w:name="_GoBack"/>
      <w:bookmarkEnd w:id="0"/>
      <w:r>
        <w:rPr>
          <w:rFonts w:ascii="Times New Roman" w:hAnsi="Times New Roman"/>
        </w:rPr>
        <w:t xml:space="preserve"> rozsudku je opäť zverená ostatným zmluvným stranám. Ak sa zmluvná strana na základe vlastného hodnotenia alebo hodnotenia Európskej komisie domnieva, že porušujúca zmluvná strana neprijala všetky opatrenia vyplývajúce z rozsudku Súdneho dvora EÚ, môže sa táto dožadovať uloženia finančných sankcií v súlade článkom 260 Zmluvy o fungovaní Európskej únie. Ak Súdny dvor EÚ rozhodne, že dotknutá zmluvná strana nedosiahla súlad s jeho rozsudkom, môže jej uložiť paušálnu pokutu alebo penále, a to vo výške, ktorá bude primeraná okolnostiam a nepresiahne 0,1 % jej hrubého domáceho produktu. Sumy uložené zmluvnej strane, ktorého menou je euro, sa uhrádzajú do ESM. V ostatných prípadoch sa platby uhrádzajú do všeobecného rozpočtu Európskej únie.</w:t>
      </w:r>
    </w:p>
    <w:p w:rsidR="00AA3139">
      <w:pPr>
        <w:bidi w:val="0"/>
        <w:jc w:val="both"/>
        <w:rPr>
          <w:rFonts w:ascii="Times New Roman" w:hAnsi="Times New Roman"/>
          <w:b/>
          <w:i/>
        </w:rPr>
      </w:pPr>
    </w:p>
    <w:p w:rsidR="00AA3139">
      <w:pPr>
        <w:bidi w:val="0"/>
        <w:jc w:val="both"/>
        <w:rPr>
          <w:rStyle w:val="hps"/>
          <w:rFonts w:ascii="Times New Roman" w:hAnsi="Times New Roman"/>
          <w:shd w:val="clear" w:color="auto" w:fill="auto"/>
        </w:rPr>
      </w:pPr>
      <w:r>
        <w:rPr>
          <w:rFonts w:ascii="Times New Roman" w:hAnsi="Times New Roman"/>
        </w:rPr>
        <w:tab/>
        <w:t>Táto Zmluva nie je podmienená doteraz schválenými stabilizačnými mechanizmami (Európskym finančným stabilizačným nástrojom ani E</w:t>
      </w:r>
      <w:r w:rsidR="003F411E">
        <w:rPr>
          <w:rFonts w:ascii="Times New Roman" w:hAnsi="Times New Roman"/>
        </w:rPr>
        <w:t>MS)</w:t>
      </w:r>
      <w:r>
        <w:rPr>
          <w:rFonts w:ascii="Times New Roman" w:hAnsi="Times New Roman"/>
        </w:rPr>
        <w:t xml:space="preserve">. Zmluva len prízvukuje možnosť využitia týchto stabilizačných mechanizmov čerpania pomoci, ktoré sú k dispozícii zmluvným stranám na základe článku 136 Zmluvy o fungovaní Európskej únie (článok 10). Naopak však platí, </w:t>
      </w:r>
      <w:r>
        <w:rPr>
          <w:rStyle w:val="hps"/>
          <w:rFonts w:ascii="Times New Roman" w:hAnsi="Times New Roman"/>
          <w:shd w:val="clear" w:color="auto" w:fill="auto"/>
        </w:rPr>
        <w:t>že udelenie finančnej pomoci v rámci nových programov podľa ESM bude od 1. marca 2013 podmienené ratifikáciou tejto Zmluvy dotknutou zmluvnou stranou</w:t>
      </w:r>
      <w:r>
        <w:rPr>
          <w:rStyle w:val="FootnoteCharacters"/>
          <w:rFonts w:ascii="Times New Roman" w:hAnsi="Times New Roman"/>
          <w:rtl w:val="0"/>
        </w:rPr>
        <w:footnoteReference w:id="6"/>
      </w:r>
      <w:r>
        <w:rPr>
          <w:rStyle w:val="hps"/>
          <w:rFonts w:ascii="Times New Roman" w:hAnsi="Times New Roman"/>
          <w:shd w:val="clear" w:color="auto" w:fill="auto"/>
        </w:rPr>
        <w:t xml:space="preserve">. </w:t>
      </w:r>
    </w:p>
    <w:p w:rsidR="003F411E">
      <w:pPr>
        <w:bidi w:val="0"/>
        <w:jc w:val="both"/>
        <w:rPr>
          <w:rStyle w:val="hps"/>
          <w:rFonts w:ascii="Times New Roman" w:hAnsi="Times New Roman"/>
          <w:shd w:val="clear" w:color="auto" w:fill="auto"/>
        </w:rPr>
      </w:pPr>
    </w:p>
    <w:p w:rsidR="003F411E" w:rsidP="006E5624">
      <w:pPr>
        <w:bidi w:val="0"/>
        <w:ind w:firstLine="708"/>
        <w:jc w:val="both"/>
        <w:rPr>
          <w:rFonts w:ascii="Times New Roman" w:hAnsi="Times New Roman"/>
        </w:rPr>
      </w:pPr>
      <w:r w:rsidR="006E5624">
        <w:rPr>
          <w:rFonts w:ascii="Times New Roman" w:hAnsi="Times New Roman"/>
        </w:rPr>
        <w:t>Zmluvu za Slovenskú republiku podpísala Iveta Radičová, predsedníčka vlády Slovenskej republiky dňa 2. marca 2012.</w:t>
      </w:r>
    </w:p>
    <w:p w:rsidR="006E5624">
      <w:pPr>
        <w:bidi w:val="0"/>
        <w:jc w:val="both"/>
        <w:rPr>
          <w:rFonts w:ascii="Times New Roman" w:hAnsi="Times New Roman"/>
        </w:rPr>
      </w:pPr>
    </w:p>
    <w:p w:rsidR="006E5624" w:rsidRPr="0020593E" w:rsidP="006E5624">
      <w:pPr>
        <w:pStyle w:val="NormalWeb"/>
        <w:bidi w:val="0"/>
        <w:spacing w:before="0" w:after="0"/>
        <w:ind w:firstLine="708"/>
        <w:jc w:val="both"/>
        <w:rPr>
          <w:rFonts w:ascii="Times New Roman" w:hAnsi="Times New Roman"/>
        </w:rPr>
      </w:pPr>
      <w:r w:rsidRPr="002A6EED">
        <w:rPr>
          <w:rFonts w:ascii="Times New Roman" w:hAnsi="Times New Roman"/>
        </w:rPr>
        <w:t>Zmluva je prezidentskou zmluvou, na vykonanie ktorej je potrebný zákon. Podľa článku 7 odseku 4 Ústavy Slovenskej republiky sa pred ratifikáciou zmluvy vyžaduje súhlas Národnej rady Slovenskej</w:t>
      </w:r>
      <w:r>
        <w:rPr>
          <w:rFonts w:ascii="Times New Roman" w:hAnsi="Times New Roman"/>
        </w:rPr>
        <w:t xml:space="preserve"> republiky. Na jej</w:t>
      </w:r>
      <w:r w:rsidRPr="0020593E">
        <w:rPr>
          <w:rFonts w:ascii="Times New Roman" w:hAnsi="Times New Roman"/>
        </w:rPr>
        <w:t xml:space="preserve"> vykonateľnosť a záväznosť </w:t>
      </w:r>
      <w:r>
        <w:rPr>
          <w:rFonts w:ascii="Times New Roman" w:hAnsi="Times New Roman"/>
        </w:rPr>
        <w:t>bude potrebné vytvoriť nový legislatívny rámec</w:t>
      </w:r>
      <w:r w:rsidRPr="0020593E">
        <w:rPr>
          <w:rFonts w:ascii="Times New Roman" w:hAnsi="Times New Roman"/>
        </w:rPr>
        <w:t xml:space="preserve">. </w:t>
      </w:r>
      <w:r>
        <w:rPr>
          <w:rFonts w:ascii="Times New Roman" w:hAnsi="Times New Roman"/>
        </w:rPr>
        <w:t xml:space="preserve">Zmluva nemá </w:t>
      </w:r>
      <w:r w:rsidRPr="0020593E">
        <w:rPr>
          <w:rFonts w:ascii="Times New Roman" w:hAnsi="Times New Roman"/>
        </w:rPr>
        <w:t xml:space="preserve">prednosť pred zákonmi podľa článku 7 odseku 5 Ústavy Slovenskej republiky. </w:t>
      </w:r>
    </w:p>
    <w:p w:rsidR="00AA3139">
      <w:pPr>
        <w:bidi w:val="0"/>
        <w:jc w:val="both"/>
        <w:rPr>
          <w:rFonts w:ascii="Times New Roman" w:hAnsi="Times New Roman"/>
        </w:rPr>
      </w:pPr>
    </w:p>
    <w:p w:rsidR="00AA3139" w:rsidP="003F411E">
      <w:pPr>
        <w:bidi w:val="0"/>
        <w:jc w:val="both"/>
        <w:rPr>
          <w:rFonts w:ascii="Times New Roman" w:hAnsi="Times New Roman"/>
        </w:rPr>
      </w:pPr>
    </w:p>
    <w:sectPr>
      <w:footerReference w:type="default" r:id="rId5"/>
      <w:pgSz w:w="11906" w:h="16838"/>
      <w:pgMar w:top="1276" w:right="1417" w:bottom="1417" w:left="1417" w:header="708"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39">
    <w:pPr>
      <w:pStyle w:val="Footer"/>
      <w:bidi w:val="0"/>
      <w:ind w:right="360"/>
      <w:jc w:val="right"/>
      <w:rPr>
        <w:rFonts w:ascii="Times New Roman" w:hAnsi="Times New Roman"/>
      </w:rPr>
    </w:pPr>
    <w:r>
      <w:rPr>
        <w:rFonts w:ascii="Times New Roman" w:hAnsi="Times New Roman"/>
      </w:rPr>
      <w:pict>
        <v:shapetype id="_x0000_t202" coordsize="21600,21600" o:spt="202" path="m,l,21600r21600,l21600,xe">
          <v:stroke joinstyle="miter"/>
          <v:path gradientshapeok="t" o:connecttype="rect"/>
        </v:shapetype>
        <v:shape id="_x0000_s2049" type="#_x0000_t202" style="width:5.95pt;height:13.7pt;margin-top:0.05pt;margin-left:518.4pt;mso-position-horizontal-relative:page;mso-wrap-distance-left:0;mso-wrap-distance-right:0;position:absolute;z-index:251658240" filled="t" stroked="f">
          <v:fill opacity="0" color2="black"/>
          <o:diagram v:ext="edit"/>
          <v:textbox inset="0,0,0,0">
            <w:txbxContent>
              <w:p w:rsidR="00AA3139">
                <w:pPr>
                  <w:pStyle w:val="Footer"/>
                  <w:bidi w:val="0"/>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DA761B">
                  <w:rPr>
                    <w:rStyle w:val="PageNumber"/>
                    <w:rFonts w:ascii="Times New Roman" w:hAnsi="Times New Roman"/>
                    <w:noProof/>
                  </w:rPr>
                  <w:t>1</w:t>
                </w:r>
                <w:r>
                  <w:rPr>
                    <w:rStyle w:val="PageNumber"/>
                    <w:rFonts w:ascii="Times New Roman" w:hAnsi="Times New Roman"/>
                  </w:rPr>
                  <w:fldChar w:fldCharType="end"/>
                </w:r>
              </w:p>
            </w:txbxContent>
          </v:textbox>
          <w10:wrap type="square" side="largest"/>
        </v:shape>
      </w:pict>
    </w:r>
  </w:p>
  <w:p w:rsidR="00AA3139">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64A">
      <w:pPr>
        <w:bidi w:val="0"/>
        <w:rPr>
          <w:rFonts w:ascii="Times New Roman" w:hAnsi="Times New Roman"/>
        </w:rPr>
      </w:pPr>
      <w:r>
        <w:rPr>
          <w:rFonts w:ascii="Times New Roman" w:hAnsi="Times New Roman"/>
        </w:rPr>
        <w:separator/>
      </w:r>
    </w:p>
  </w:footnote>
  <w:footnote w:type="continuationSeparator" w:id="1">
    <w:p w:rsidR="00F2264A">
      <w:pPr>
        <w:bidi w:val="0"/>
        <w:rPr>
          <w:rFonts w:ascii="Times New Roman" w:hAnsi="Times New Roman"/>
        </w:rPr>
      </w:pPr>
      <w:r>
        <w:rPr>
          <w:rFonts w:ascii="Times New Roman" w:hAnsi="Times New Roman"/>
        </w:rPr>
        <w:continuationSeparator/>
      </w:r>
    </w:p>
  </w:footnote>
  <w:footnote w:id="2">
    <w:p w:rsidP="004D6265">
      <w:pPr>
        <w:pStyle w:val="FootnoteText"/>
        <w:bidi w:val="0"/>
        <w:rPr>
          <w:rFonts w:ascii="Times New Roman" w:hAnsi="Times New Roman"/>
        </w:rPr>
      </w:pPr>
      <w:r w:rsidR="004D6265">
        <w:rPr>
          <w:rStyle w:val="FootnoteCharacters"/>
          <w:rFonts w:ascii="Times New Roman" w:hAnsi="Times New Roman"/>
        </w:rPr>
        <w:footnoteRef/>
      </w:r>
      <w:r w:rsidR="004D6265">
        <w:rPr>
          <w:rFonts w:ascii="Times New Roman" w:hAnsi="Times New Roman"/>
        </w:rPr>
        <w:t xml:space="preserve"> Oznámenie Ministerstva zahraničných vecí Slovenskej republiky č. 380/2010 Z. z..</w:t>
      </w:r>
    </w:p>
  </w:footnote>
  <w:footnote w:id="3">
    <w:p>
      <w:pPr>
        <w:pStyle w:val="FootnoteText"/>
        <w:bidi w:val="0"/>
        <w:rPr>
          <w:rFonts w:ascii="Times New Roman" w:hAnsi="Times New Roman"/>
        </w:rPr>
      </w:pPr>
      <w:r w:rsidR="00AA3139">
        <w:rPr>
          <w:rStyle w:val="FootnoteCharacters"/>
          <w:rFonts w:ascii="Times New Roman" w:hAnsi="Times New Roman"/>
        </w:rPr>
        <w:footnoteRef/>
      </w:r>
      <w:r w:rsidR="004D6265">
        <w:rPr>
          <w:rFonts w:ascii="Times New Roman" w:hAnsi="Times New Roman"/>
        </w:rPr>
        <w:t xml:space="preserve"> </w:t>
      </w:r>
      <w:r w:rsidR="00AA3139">
        <w:rPr>
          <w:rFonts w:ascii="Times New Roman" w:hAnsi="Times New Roman"/>
        </w:rPr>
        <w:t>Ide o cyklicky očistené saldo verejnej správy upravené o jednorazové vplyvy.</w:t>
      </w:r>
    </w:p>
  </w:footnote>
  <w:footnote w:id="4">
    <w:p>
      <w:pPr>
        <w:pStyle w:val="FootnoteText"/>
        <w:bidi w:val="0"/>
        <w:jc w:val="both"/>
        <w:rPr>
          <w:rFonts w:ascii="Times New Roman" w:hAnsi="Times New Roman"/>
        </w:rPr>
      </w:pPr>
      <w:r w:rsidR="00AA3139">
        <w:rPr>
          <w:rStyle w:val="FootnoteCharacters"/>
          <w:rFonts w:ascii="Times New Roman" w:hAnsi="Times New Roman"/>
        </w:rPr>
        <w:footnoteRef/>
      </w:r>
      <w:r w:rsidR="004D6265">
        <w:rPr>
          <w:rFonts w:ascii="Times New Roman" w:hAnsi="Times New Roman"/>
        </w:rPr>
        <w:t xml:space="preserve"> </w:t>
      </w:r>
      <w:r w:rsidR="00AA3139">
        <w:rPr>
          <w:rFonts w:ascii="Times New Roman" w:hAnsi="Times New Roman"/>
        </w:rPr>
        <w:t>Možnosť prekročenia deficitu je prípustná len v stave výnimočných dočasných okolností, ako je nezvyčajná udalosť mimo kontroly dotknutej zmluvnej strany, ktorá má veľký vplyv na finančnú pozíciu verejnej správy alebo obdobia prudkého hospodárskeho poklesu, v zmysle ich vymedzenia v revidovanom Pakte stability a rastu, a to za predpokladu, že dočasné odchýlenie sa dotknutej zmluvnej strany od jej strednodobého cieľa neohrozí fiškálnu udržateľnosť v strednodobom horizonte.</w:t>
      </w:r>
    </w:p>
  </w:footnote>
  <w:footnote w:id="5">
    <w:p>
      <w:pPr>
        <w:pStyle w:val="FootnoteText"/>
        <w:bidi w:val="0"/>
        <w:rPr>
          <w:rFonts w:ascii="Times New Roman" w:hAnsi="Times New Roman"/>
        </w:rPr>
      </w:pPr>
      <w:r w:rsidR="00AA3139">
        <w:rPr>
          <w:rStyle w:val="FootnoteCharacters"/>
          <w:rFonts w:ascii="Times New Roman" w:hAnsi="Times New Roman"/>
        </w:rPr>
        <w:footnoteRef/>
      </w:r>
      <w:r w:rsidR="003F411E">
        <w:rPr>
          <w:rFonts w:ascii="Times New Roman" w:hAnsi="Times New Roman"/>
        </w:rPr>
        <w:t xml:space="preserve"> </w:t>
      </w:r>
      <w:r w:rsidR="00AA3139">
        <w:rPr>
          <w:rFonts w:ascii="Times New Roman" w:hAnsi="Times New Roman"/>
        </w:rPr>
        <w:t>Okrem Súdneho dvora EÚ.</w:t>
      </w:r>
    </w:p>
  </w:footnote>
  <w:footnote w:id="6">
    <w:p>
      <w:pPr>
        <w:pStyle w:val="FootnoteText"/>
        <w:bidi w:val="0"/>
        <w:rPr>
          <w:rFonts w:ascii="Times New Roman" w:hAnsi="Times New Roman"/>
        </w:rPr>
      </w:pPr>
      <w:r w:rsidR="00AA3139">
        <w:rPr>
          <w:rStyle w:val="FootnoteCharacters"/>
          <w:rFonts w:ascii="Times New Roman" w:hAnsi="Times New Roman"/>
        </w:rPr>
        <w:footnoteRef/>
      </w:r>
      <w:r w:rsidR="003F411E">
        <w:rPr>
          <w:rFonts w:ascii="Times New Roman" w:hAnsi="Times New Roman"/>
        </w:rPr>
        <w:t xml:space="preserve"> </w:t>
      </w:r>
      <w:r w:rsidR="00AA3139">
        <w:rPr>
          <w:rFonts w:ascii="Times New Roman" w:hAnsi="Times New Roman"/>
        </w:rPr>
        <w:t>Preambula, odsek 5 Zmluvy</w:t>
      </w:r>
      <w:r w:rsidR="003F411E">
        <w:rPr>
          <w:rFonts w:ascii="Times New Roman" w:hAnsi="Times New Roman"/>
        </w:rPr>
        <w:t>, ktorou sa zriaďuje</w:t>
      </w:r>
      <w:r w:rsidR="00AA3139">
        <w:rPr>
          <w:rFonts w:ascii="Times New Roman" w:hAnsi="Times New Roman"/>
        </w:rPr>
        <w:t> EM</w:t>
      </w:r>
      <w:r w:rsidR="003F411E">
        <w:rPr>
          <w:rFonts w:ascii="Times New Roman" w:hAnsi="Times New Roman"/>
        </w:rPr>
        <w:t>S</w:t>
      </w:r>
      <w:r w:rsidR="00AA3139">
        <w:rPr>
          <w:rFonts w:ascii="Times New Roman" w:hAnsi="Times New Roman"/>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0000"/>
  <w:doNotTrackMoves/>
  <w:defaultTabStop w:val="708"/>
  <w:drawingGridHorizontalSpacing w:val="0"/>
  <w:drawingGridVerticalSpacing w:val="0"/>
  <w:displayHorizontalDrawingGridEvery w:val="0"/>
  <w:displayVerticalDrawingGridEvery w:val="0"/>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F149CF"/>
    <w:rsid w:val="0020593E"/>
    <w:rsid w:val="002911A0"/>
    <w:rsid w:val="002A6EED"/>
    <w:rsid w:val="003F411E"/>
    <w:rsid w:val="004D6265"/>
    <w:rsid w:val="006E5624"/>
    <w:rsid w:val="00861D10"/>
    <w:rsid w:val="00930BA1"/>
    <w:rsid w:val="00973A26"/>
    <w:rsid w:val="00AA3139"/>
    <w:rsid w:val="00AE291E"/>
    <w:rsid w:val="00B24F91"/>
    <w:rsid w:val="00BD3464"/>
    <w:rsid w:val="00D832CF"/>
    <w:rsid w:val="00DA761B"/>
    <w:rsid w:val="00E30ABB"/>
    <w:rsid w:val="00EA2226"/>
    <w:rsid w:val="00F149CF"/>
    <w:rsid w:val="00F2264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suppressAutoHyphens/>
      <w:autoSpaceDE/>
      <w:autoSpaceDN/>
      <w:adjustRightInd/>
      <w:ind w:left="0" w:right="0"/>
      <w:jc w:val="left"/>
      <w:textAlignment w:val="auto"/>
    </w:pPr>
    <w:rPr>
      <w:rFonts w:cs="Times New Roman"/>
      <w:sz w:val="24"/>
      <w:szCs w:val="24"/>
      <w:rtl w:val="0"/>
      <w:cs w:val="0"/>
      <w:lang w:val="sk-SK" w:eastAsia="ar-SA"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4z0">
    <w:name w:val="WW8Num4z0"/>
    <w:rPr>
      <w:i w:val="0"/>
      <w:color w:val="auto"/>
    </w:rPr>
  </w:style>
  <w:style w:type="character" w:customStyle="1" w:styleId="WW8Num6z0">
    <w:name w:val="WW8Num6z0"/>
    <w:rPr>
      <w:rFonts w:ascii="Symbol" w:hAnsi="Symbol" w:cs="Symbol"/>
    </w:rPr>
  </w:style>
  <w:style w:type="character" w:customStyle="1" w:styleId="WW8Num7z0">
    <w:name w:val="WW8Num7z0"/>
    <w:rPr>
      <w:b/>
    </w:rPr>
  </w:style>
  <w:style w:type="character" w:customStyle="1" w:styleId="WW8Num8z0">
    <w:name w:val="WW8Num8z0"/>
    <w:rPr>
      <w:rFonts w:ascii="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Calibri" w:eastAsia="Calibri" w:hAnsi="Calibri"/>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Arial Narrow" w:hAnsi="Arial Narrow" w:cs="Arial Narrow"/>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Times New Roman" w:hAnsi="Times New Roman" w:cs="Times New Roman"/>
    </w:rPr>
  </w:style>
  <w:style w:type="character" w:customStyle="1" w:styleId="WW8Num18z2">
    <w:name w:val="WW8Num18z2"/>
    <w:rPr>
      <w:rFonts w:ascii="Wingdings" w:hAnsi="Wingdings" w:cs="Wingdings"/>
    </w:rPr>
  </w:style>
  <w:style w:type="character" w:customStyle="1" w:styleId="WW8Num18z4">
    <w:name w:val="WW8Num18z4"/>
    <w:rPr>
      <w:rFonts w:ascii="Courier New" w:hAnsi="Courier New" w:cs="Courier New"/>
    </w:rPr>
  </w:style>
  <w:style w:type="character" w:customStyle="1" w:styleId="WW8Num19z0">
    <w:name w:val="WW8Num19z0"/>
    <w:rPr>
      <w:rFonts w:ascii="Symbol" w:hAnsi="Symbol" w:cs="Symbol"/>
      <w:sz w:val="24"/>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Predvolenpsmoodseku1">
    <w:name w:val="Predvolené písmo odseku1"/>
  </w:style>
  <w:style w:type="character" w:customStyle="1" w:styleId="Odkaznakomentr1">
    <w:name w:val="Odkaz na komentár1"/>
    <w:rPr>
      <w:sz w:val="16"/>
    </w:rPr>
  </w:style>
  <w:style w:type="character" w:customStyle="1" w:styleId="TextkomentraChar">
    <w:name w:val="Text komentára Char"/>
    <w:rPr>
      <w:rFonts w:ascii="Times New Roman" w:hAnsi="Times New Roman" w:cs="Times New Roman"/>
      <w:sz w:val="20"/>
    </w:rPr>
  </w:style>
  <w:style w:type="character" w:customStyle="1" w:styleId="PredmetkomentraChar">
    <w:name w:val="Predmet komentára Char"/>
    <w:rPr>
      <w:rFonts w:ascii="Times New Roman" w:hAnsi="Times New Roman" w:cs="Times New Roman"/>
      <w:b/>
      <w:sz w:val="20"/>
    </w:rPr>
  </w:style>
  <w:style w:type="character" w:customStyle="1" w:styleId="TextbublinyChar">
    <w:name w:val="Text bubliny Char"/>
    <w:rPr>
      <w:rFonts w:ascii="Tahoma" w:hAnsi="Tahoma" w:cs="Tahoma"/>
      <w:sz w:val="16"/>
    </w:rPr>
  </w:style>
  <w:style w:type="character" w:customStyle="1" w:styleId="HlavikaChar">
    <w:name w:val="Hlavička Char"/>
    <w:rPr>
      <w:rFonts w:ascii="Times New Roman" w:hAnsi="Times New Roman" w:cs="Times New Roman"/>
      <w:sz w:val="24"/>
      <w:lang w:val="sk-SK" w:eastAsia="x-none"/>
    </w:rPr>
  </w:style>
  <w:style w:type="character" w:customStyle="1" w:styleId="PtaChar">
    <w:name w:val="Päta Char"/>
    <w:rPr>
      <w:rFonts w:ascii="Times New Roman" w:hAnsi="Times New Roman" w:cs="Times New Roman"/>
      <w:sz w:val="24"/>
      <w:lang w:val="sk-SK" w:eastAsia="x-none"/>
    </w:rPr>
  </w:style>
  <w:style w:type="character" w:customStyle="1" w:styleId="TextpoznmkypodiarouChar">
    <w:name w:val="Text poznámky pod čiarou Char"/>
    <w:rPr>
      <w:rFonts w:ascii="Times New Roman" w:hAnsi="Times New Roman" w:cs="Times New Roman"/>
      <w:lang w:val="sk-SK" w:eastAsia="x-none"/>
    </w:rPr>
  </w:style>
  <w:style w:type="character" w:customStyle="1" w:styleId="FootnoteCharacters">
    <w:name w:val="Footnote Characters"/>
    <w:rPr>
      <w:vertAlign w:val="superscript"/>
    </w:rPr>
  </w:style>
  <w:style w:type="character" w:styleId="PageNumber">
    <w:name w:val="page number"/>
    <w:basedOn w:val="Predvolenpsmoodseku1"/>
    <w:rPr>
      <w:rFonts w:cs="Times New Roman"/>
      <w:rtl w:val="0"/>
      <w:cs w:val="0"/>
    </w:rPr>
  </w:style>
  <w:style w:type="character" w:customStyle="1" w:styleId="apple-converted-space">
    <w:name w:val="apple-converted-space"/>
    <w:basedOn w:val="Predvolenpsmoodseku1"/>
    <w:rPr>
      <w:rFonts w:cs="Times New Roman"/>
      <w:rtl w:val="0"/>
      <w:cs w:val="0"/>
    </w:rPr>
  </w:style>
  <w:style w:type="character" w:customStyle="1" w:styleId="apple-style-span">
    <w:name w:val="apple-style-span"/>
    <w:basedOn w:val="Predvolenpsmoodseku1"/>
    <w:rPr>
      <w:rFonts w:cs="Times New Roman"/>
      <w:rtl w:val="0"/>
      <w:cs w:val="0"/>
    </w:rPr>
  </w:style>
  <w:style w:type="character" w:customStyle="1" w:styleId="ObyajntextChar">
    <w:name w:val="Obyčajný text Char"/>
    <w:rPr>
      <w:rFonts w:ascii="Arial Narrow" w:hAnsi="Arial Narrow" w:cs="Arial Narrow"/>
      <w:sz w:val="22"/>
    </w:rPr>
  </w:style>
  <w:style w:type="character" w:customStyle="1" w:styleId="ObyajntextChar1">
    <w:name w:val="Obyčajný text Char1"/>
    <w:rPr>
      <w:rFonts w:ascii="Courier New" w:hAnsi="Courier New" w:cs="Courier New"/>
    </w:rPr>
  </w:style>
  <w:style w:type="character" w:customStyle="1" w:styleId="ZarkazkladnhotextuChar">
    <w:name w:val="Zarážka základného textu Char"/>
    <w:rPr>
      <w:rFonts w:ascii="Times New Roman" w:hAnsi="Times New Roman" w:cs="Times New Roman"/>
      <w:sz w:val="24"/>
    </w:rPr>
  </w:style>
  <w:style w:type="character" w:customStyle="1" w:styleId="hps">
    <w:name w:val="hps"/>
    <w:rPr>
      <w:shd w:val="clear" w:color="auto" w:fill="auto"/>
    </w:rPr>
  </w:style>
  <w:style w:type="character" w:customStyle="1" w:styleId="hpsatn">
    <w:name w:val="hps atn"/>
    <w:rPr>
      <w:shd w:val="clear" w:color="auto" w:fill="auto"/>
    </w:rPr>
  </w:style>
  <w:style w:type="character" w:styleId="Strong">
    <w:name w:val="Strong"/>
    <w:qFormat/>
    <w:rPr>
      <w:b/>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jc w:val="left"/>
    </w:pPr>
    <w:rPr>
      <w:rFonts w:ascii="Arial" w:eastAsia="Microsoft YaHei" w:hAnsi="Arial" w:cs="Mangal"/>
      <w:sz w:val="28"/>
      <w:szCs w:val="28"/>
    </w:rPr>
  </w:style>
  <w:style w:type="paragraph" w:styleId="BodyText">
    <w:name w:val="Body Text"/>
    <w:basedOn w:val="Normal"/>
    <w:pPr>
      <w:spacing w:after="120"/>
      <w:jc w:val="left"/>
    </w:pPr>
  </w:style>
  <w:style w:type="paragraph" w:styleId="List">
    <w:name w:val="List"/>
    <w:basedOn w:val="BodyText"/>
    <w:pPr>
      <w:jc w:val="left"/>
    </w:pPr>
    <w:rPr>
      <w:rFonts w:cs="Mangal"/>
    </w:rPr>
  </w:style>
  <w:style w:type="paragraph" w:customStyle="1" w:styleId="Caption1">
    <w:name w:val="Caption1"/>
    <w:basedOn w:val="Normal"/>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customStyle="1" w:styleId="Textkomentra1">
    <w:name w:val="Text komentára1"/>
    <w:basedOn w:val="Normal"/>
    <w:pPr>
      <w:jc w:val="left"/>
    </w:pPr>
    <w:rPr>
      <w:sz w:val="20"/>
      <w:szCs w:val="20"/>
    </w:rPr>
  </w:style>
  <w:style w:type="paragraph" w:styleId="CommentSubject">
    <w:name w:val="annotation subject"/>
    <w:basedOn w:val="Textkomentra1"/>
    <w:next w:val="Textkomentra1"/>
    <w:pPr>
      <w:jc w:val="left"/>
    </w:pPr>
    <w:rPr>
      <w:b/>
      <w:bCs/>
    </w:rPr>
  </w:style>
  <w:style w:type="paragraph" w:styleId="BalloonText">
    <w:name w:val="Balloon Text"/>
    <w:basedOn w:val="Normal"/>
    <w:pPr>
      <w:jc w:val="left"/>
    </w:pPr>
    <w:rPr>
      <w:rFonts w:ascii="Tahoma" w:hAnsi="Tahoma" w:cs="Tahoma"/>
      <w:sz w:val="16"/>
      <w:szCs w:val="16"/>
    </w:rPr>
  </w:style>
  <w:style w:type="paragraph" w:customStyle="1" w:styleId="Odsekzoznamu">
    <w:name w:val="Odsek zoznamu"/>
    <w:basedOn w:val="Normal"/>
    <w:qFormat/>
    <w:pPr>
      <w:ind w:left="720"/>
      <w:jc w:val="left"/>
    </w:pPr>
  </w:style>
  <w:style w:type="paragraph" w:styleId="Header">
    <w:name w:val="header"/>
    <w:basedOn w:val="Normal"/>
    <w:pPr>
      <w:tabs>
        <w:tab w:val="center" w:pos="4703"/>
        <w:tab w:val="right" w:pos="9406"/>
      </w:tabs>
      <w:jc w:val="left"/>
    </w:pPr>
  </w:style>
  <w:style w:type="paragraph" w:styleId="Footer">
    <w:name w:val="footer"/>
    <w:basedOn w:val="Normal"/>
    <w:pPr>
      <w:tabs>
        <w:tab w:val="center" w:pos="4703"/>
        <w:tab w:val="right" w:pos="9406"/>
      </w:tabs>
      <w:jc w:val="left"/>
    </w:pPr>
  </w:style>
  <w:style w:type="paragraph" w:styleId="FootnoteText">
    <w:name w:val="footnote text"/>
    <w:basedOn w:val="Normal"/>
    <w:pPr>
      <w:jc w:val="left"/>
    </w:pPr>
    <w:rPr>
      <w:sz w:val="20"/>
      <w:szCs w:val="20"/>
    </w:rPr>
  </w:style>
  <w:style w:type="paragraph" w:styleId="NormalWeb">
    <w:name w:val="Normal (Web)"/>
    <w:basedOn w:val="Normal"/>
    <w:pPr>
      <w:spacing w:before="280" w:after="280"/>
      <w:jc w:val="left"/>
    </w:pPr>
  </w:style>
  <w:style w:type="paragraph" w:customStyle="1" w:styleId="Obyajntext1">
    <w:name w:val="Obyčajný text1"/>
    <w:basedOn w:val="Normal"/>
    <w:pPr>
      <w:jc w:val="left"/>
    </w:pPr>
    <w:rPr>
      <w:rFonts w:ascii="Arial Narrow" w:eastAsia="Calibri" w:hAnsi="Arial Narrow" w:cs="Arial Narrow"/>
      <w:sz w:val="22"/>
      <w:szCs w:val="22"/>
    </w:rPr>
  </w:style>
  <w:style w:type="paragraph" w:styleId="BodyTextIndent">
    <w:name w:val="Body Text Indent"/>
    <w:basedOn w:val="Normal"/>
    <w:pPr>
      <w:ind w:firstLine="720"/>
      <w:jc w:val="both"/>
    </w:pPr>
  </w:style>
  <w:style w:type="paragraph" w:customStyle="1" w:styleId="Zkladntext">
    <w:name w:val="Základní text"/>
    <w:pPr>
      <w:framePr w:wrap="auto"/>
      <w:widowControl/>
      <w:suppressAutoHyphens/>
      <w:autoSpaceDE/>
      <w:autoSpaceDN/>
      <w:adjustRightInd/>
      <w:ind w:left="0" w:right="0"/>
      <w:jc w:val="left"/>
      <w:textAlignment w:val="auto"/>
    </w:pPr>
    <w:rPr>
      <w:rFonts w:cs="Times New Roman"/>
      <w:color w:val="000000"/>
      <w:sz w:val="24"/>
      <w:szCs w:val="24"/>
      <w:rtl w:val="0"/>
      <w:cs w:val="0"/>
      <w:lang w:val="sk-SK" w:eastAsia="ar-SA" w:bidi="ar-SA"/>
    </w:rPr>
  </w:style>
  <w:style w:type="paragraph" w:customStyle="1" w:styleId="CarcterCarcterCharCarcterCarcterCharCarcterCarcterCharCharCarcterCarcter">
    <w:name w:val="Carácter Carácter Char Carácter Carácter Char Carácter Carácter Char Char Carácter Carácter"/>
    <w:basedOn w:val="Normal"/>
    <w:pPr>
      <w:jc w:val="left"/>
    </w:pPr>
    <w:rPr>
      <w:lang w:val="pl-PL"/>
    </w:rPr>
  </w:style>
  <w:style w:type="paragraph" w:styleId="TOC5">
    <w:name w:val="toc 5"/>
    <w:basedOn w:val="Normal"/>
    <w:next w:val="Normal"/>
    <w:pPr>
      <w:widowControl w:val="0"/>
      <w:tabs>
        <w:tab w:val="left" w:pos="2835"/>
        <w:tab w:val="right" w:leader="dot" w:pos="9639"/>
      </w:tabs>
      <w:spacing w:line="360" w:lineRule="auto"/>
      <w:ind w:left="2835" w:right="567" w:hanging="567"/>
      <w:jc w:val="left"/>
    </w:pPr>
    <w:rPr>
      <w:szCs w:val="20"/>
    </w:rPr>
  </w:style>
  <w:style w:type="paragraph" w:customStyle="1" w:styleId="Framecontents">
    <w:name w:val="Frame contents"/>
    <w:basedOn w:val="BodyText"/>
    <w:pPr>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1628</Words>
  <Characters>9284</Characters>
  <Application>Microsoft Office Word</Application>
  <DocSecurity>0</DocSecurity>
  <Lines>0</Lines>
  <Paragraphs>0</Paragraphs>
  <ScaleCrop>false</ScaleCrop>
  <Company>mfsr</Company>
  <LinksUpToDate>false</LinksUpToDate>
  <CharactersWithSpaces>10891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Európsky finančný stabilizačný mechanizmus</dc:title>
  <dc:creator>msapak</dc:creator>
  <cp:lastModifiedBy>Gašparíková, Jarmila</cp:lastModifiedBy>
  <cp:revision>2</cp:revision>
  <cp:lastPrinted>2012-02-20T08:43:00Z</cp:lastPrinted>
  <dcterms:created xsi:type="dcterms:W3CDTF">2012-11-16T09:27:00Z</dcterms:created>
  <dcterms:modified xsi:type="dcterms:W3CDTF">2012-11-16T09:27:00Z</dcterms:modified>
</cp:coreProperties>
</file>